
<file path=[Content_Types].xml><?xml version="1.0" encoding="utf-8"?>
<Types xmlns="http://schemas.openxmlformats.org/package/2006/content-types">
  <Default Extension="jpg"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745E" w14:textId="77777777" w:rsidR="00A13CD3" w:rsidRDefault="00A13CD3" w:rsidP="00A13CD3"/>
    <w:p w14:paraId="290BFB1D" w14:textId="77777777" w:rsidR="00A13CD3" w:rsidRDefault="00A13CD3" w:rsidP="00A13CD3"/>
    <w:p w14:paraId="4BAD4D85" w14:textId="77777777" w:rsidR="00A13CD3" w:rsidRDefault="00A13CD3" w:rsidP="00A13CD3"/>
    <w:p w14:paraId="5283B3D1" w14:textId="77777777" w:rsidR="00A13CD3" w:rsidRDefault="00A13CD3" w:rsidP="00A13CD3"/>
    <w:p w14:paraId="2196443A" w14:textId="753DB213" w:rsidR="00A13CD3" w:rsidRPr="00A13CD3" w:rsidRDefault="003B2680" w:rsidP="00A13CD3">
      <w:pPr>
        <w:pStyle w:val="Title"/>
        <w:widowControl/>
        <w:suppressAutoHyphens w:val="0"/>
        <w:autoSpaceDE/>
        <w:spacing w:line="480" w:lineRule="auto"/>
        <w:rPr>
          <w:bCs/>
        </w:rPr>
      </w:pPr>
      <w:r w:rsidRPr="003B2680">
        <w:rPr>
          <w:rFonts w:asciiTheme="minorHAnsi" w:eastAsiaTheme="minorHAnsi" w:hAnsiTheme="minorHAnsi" w:cstheme="minorBidi"/>
          <w:bCs/>
          <w:caps w:val="0"/>
          <w:sz w:val="22"/>
          <w:szCs w:val="22"/>
          <w:lang w:eastAsia="en-US"/>
        </w:rPr>
        <w:t xml:space="preserve">A Quantitative Framework for Assessing Benefit-Risk in Healthcare Applications </w:t>
      </w:r>
    </w:p>
    <w:p w14:paraId="1CC41CBF" w14:textId="77777777" w:rsidR="00A13CD3" w:rsidRDefault="00A13CD3" w:rsidP="00A13CD3">
      <w:pPr>
        <w:pStyle w:val="Subtitle"/>
      </w:pPr>
      <w:r>
        <w:t xml:space="preserve"> </w:t>
      </w:r>
    </w:p>
    <w:p w14:paraId="2A8F7D4A" w14:textId="77777777" w:rsidR="00A13CD3" w:rsidRDefault="00A13CD3" w:rsidP="00A13CD3">
      <w:pPr>
        <w:pStyle w:val="Subtitle"/>
        <w:widowControl/>
        <w:suppressAutoHyphens w:val="0"/>
        <w:autoSpaceDE/>
        <w:spacing w:after="0"/>
      </w:pPr>
      <w:r w:rsidRPr="00A13CD3">
        <w:rPr>
          <w:rFonts w:asciiTheme="minorHAnsi" w:eastAsiaTheme="minorHAnsi" w:hAnsiTheme="minorHAnsi" w:cstheme="minorBidi"/>
          <w:sz w:val="22"/>
          <w:szCs w:val="22"/>
          <w:lang w:eastAsia="en-US"/>
        </w:rPr>
        <w:t>Richard Matt</w:t>
      </w:r>
    </w:p>
    <w:p w14:paraId="5DC658AC" w14:textId="77777777" w:rsidR="00A13CD3" w:rsidRDefault="00A13CD3" w:rsidP="00A13CD3"/>
    <w:p w14:paraId="1D44A1B1" w14:textId="77777777" w:rsidR="00A13CD3" w:rsidRDefault="00A13CD3" w:rsidP="00A13CD3"/>
    <w:p w14:paraId="6CFBC9A8" w14:textId="77777777" w:rsidR="00A13CD3" w:rsidRDefault="00A13CD3" w:rsidP="00A13CD3"/>
    <w:p w14:paraId="12742161" w14:textId="77777777" w:rsidR="00A13CD3" w:rsidRDefault="00A13CD3" w:rsidP="00A13CD3"/>
    <w:p w14:paraId="0C3136B8" w14:textId="77777777" w:rsidR="00A13CD3" w:rsidRDefault="00A13CD3" w:rsidP="00A13CD3"/>
    <w:p w14:paraId="570CF853" w14:textId="77777777" w:rsidR="00A13CD3" w:rsidRDefault="00A13CD3" w:rsidP="00A13CD3"/>
    <w:p w14:paraId="279F6CEF" w14:textId="77777777" w:rsidR="00A13CD3" w:rsidRDefault="00A13CD3" w:rsidP="00A13CD3"/>
    <w:p w14:paraId="2A22CC11" w14:textId="77777777" w:rsidR="00A13CD3" w:rsidRDefault="00A13CD3" w:rsidP="00A13CD3"/>
    <w:p w14:paraId="3B37818F" w14:textId="77777777" w:rsidR="00A13CD3" w:rsidRDefault="00A13CD3" w:rsidP="00A13CD3"/>
    <w:p w14:paraId="705B54F0" w14:textId="77777777" w:rsidR="00A13CD3" w:rsidRDefault="00A13CD3" w:rsidP="00A13CD3"/>
    <w:p w14:paraId="7AD65D7D" w14:textId="77777777" w:rsidR="00A13CD3" w:rsidRDefault="00A13CD3" w:rsidP="00A13CD3"/>
    <w:p w14:paraId="0CCD909B" w14:textId="77777777" w:rsidR="00A13CD3" w:rsidRDefault="00A13CD3" w:rsidP="00A13CD3"/>
    <w:p w14:paraId="45313817" w14:textId="77777777" w:rsidR="00A13CD3" w:rsidRDefault="00A13CD3" w:rsidP="00A13CD3"/>
    <w:p w14:paraId="0C41A386" w14:textId="6091DD0E" w:rsidR="00A13CD3" w:rsidRDefault="005A5862" w:rsidP="00A13CD3">
      <w:pPr>
        <w:pStyle w:val="SectionTitle"/>
      </w:pPr>
      <w:r w:rsidRPr="005A5862">
        <w:t>Author Attribution</w:t>
      </w:r>
      <w:r w:rsidR="00A13CD3" w:rsidRPr="00FD478C">
        <w:t xml:space="preserve"> </w:t>
      </w:r>
    </w:p>
    <w:p w14:paraId="4AA40A70" w14:textId="77777777" w:rsidR="005A5862" w:rsidRDefault="005A5862" w:rsidP="005A5862">
      <w:r>
        <w:t xml:space="preserve">Richard Matt is the sole proprietor at Midwest Consulting in Grayslake, Illinois.  Email: richard.matt@mindspring.com   Richard has over 30 years’ experience with risk management in both product development and remediation for a broad range of medical products, from Class I, II, and III medical devices and combination products.  In this time, Richard observed many instances of the need for a more-objective approach to assess whether a product’s benefits exceed its risks.  The ideas in this paper were developed in response to that need.   </w:t>
      </w:r>
    </w:p>
    <w:p w14:paraId="0621CC19" w14:textId="77777777" w:rsidR="005A5862" w:rsidRDefault="005A5862" w:rsidP="00CD4BB7">
      <w:pPr>
        <w:pStyle w:val="SectionTitle"/>
        <w:spacing w:before="360"/>
      </w:pPr>
      <w:r>
        <w:t xml:space="preserve">Disclosure </w:t>
      </w:r>
    </w:p>
    <w:p w14:paraId="058B4400" w14:textId="2CC9C85A" w:rsidR="005A5862" w:rsidRDefault="005A5862" w:rsidP="00A13CD3">
      <w:r>
        <w:t xml:space="preserve">A provisional patent (no. 63,461,562) has been issued for the ideas expressed in this </w:t>
      </w:r>
      <w:r w:rsidR="00CD4BB7">
        <w:t>paper</w:t>
      </w:r>
      <w:r>
        <w:t xml:space="preserve">.  </w:t>
      </w:r>
      <w:r w:rsidR="00A13CD3" w:rsidRPr="00FD478C">
        <w:t xml:space="preserve"> </w:t>
      </w:r>
      <w:bookmarkStart w:id="0" w:name="_Hlk149311546"/>
      <w:bookmarkStart w:id="1" w:name="_Hlk149311482"/>
    </w:p>
    <w:p w14:paraId="4ABC7A6F" w14:textId="58F2270D" w:rsidR="00A13CD3" w:rsidRDefault="005A5862" w:rsidP="005A5862">
      <w:pPr>
        <w:pStyle w:val="SectionTitle"/>
      </w:pPr>
      <w:r>
        <w:br w:type="page"/>
      </w:r>
      <w:sdt>
        <w:sdtPr>
          <w:id w:val="-1254123792"/>
          <w:placeholder>
            <w:docPart w:val="F41E8152B2524C0395C5725047D67052"/>
          </w:placeholder>
          <w:temporary/>
          <w15:appearance w15:val="hidden"/>
        </w:sdtPr>
        <w:sdtContent>
          <w:r w:rsidR="00A13CD3" w:rsidRPr="576062CF">
            <w:t>Abstract</w:t>
          </w:r>
        </w:sdtContent>
      </w:sdt>
      <w:r w:rsidR="00A13CD3" w:rsidRPr="00FD478C">
        <w:t xml:space="preserve"> </w:t>
      </w:r>
    </w:p>
    <w:p w14:paraId="7814707F" w14:textId="77777777" w:rsidR="008C4FFF" w:rsidRPr="00E65D8B" w:rsidRDefault="008C4FFF" w:rsidP="008C4FFF">
      <w:pPr>
        <w:spacing w:line="360" w:lineRule="auto"/>
        <w:rPr>
          <w:kern w:val="0"/>
          <w14:ligatures w14:val="none"/>
        </w:rPr>
      </w:pPr>
      <w:r w:rsidRPr="00E65D8B">
        <w:rPr>
          <w:kern w:val="0"/>
          <w14:ligatures w14:val="none"/>
        </w:rPr>
        <w:t xml:space="preserve">Evidence that the Benefit of a medical procedure exceeds its Risk is fundamental to all branches of medicine.  From Hippocrates’ “First, do no harm” to the European Union’s Medical Device Regulations, the concept that a patient will be helped by a medical procedure more than they will be hurt is the gating medical criteria to a host of events, from releasing new products to the market, to responding to complaints, to judging whether a product should be recalled, to evaluating gaps and improvements to Quality Systems. </w:t>
      </w:r>
    </w:p>
    <w:p w14:paraId="432CBB09" w14:textId="77777777" w:rsidR="008C4FFF" w:rsidRPr="00E65D8B" w:rsidRDefault="008C4FFF" w:rsidP="008C4FFF">
      <w:pPr>
        <w:spacing w:line="360" w:lineRule="auto"/>
        <w:rPr>
          <w:kern w:val="0"/>
          <w14:ligatures w14:val="none"/>
        </w:rPr>
      </w:pPr>
      <w:r w:rsidRPr="00E65D8B">
        <w:rPr>
          <w:kern w:val="0"/>
          <w14:ligatures w14:val="none"/>
        </w:rPr>
        <w:t xml:space="preserve">Despite the critical importance of showing whether benefit exceeds risk, industry and academia have not found an agreed-upon method.  As medicine continues to march forward, this subject has become the topic of increasingly frequent conferences, papers, and research.  Unfortunately, these increasing efforts have, to date, merely created more options but no clearly superior approach.  </w:t>
      </w:r>
    </w:p>
    <w:p w14:paraId="26102EB3" w14:textId="3D6EE4FD" w:rsidR="008C4FFF" w:rsidRPr="00E65D8B" w:rsidRDefault="008C4FFF" w:rsidP="008C4FFF">
      <w:pPr>
        <w:spacing w:line="360" w:lineRule="auto"/>
        <w:rPr>
          <w:kern w:val="0"/>
          <w14:ligatures w14:val="none"/>
        </w:rPr>
      </w:pPr>
      <w:r w:rsidRPr="00E65D8B">
        <w:rPr>
          <w:kern w:val="0"/>
          <w14:ligatures w14:val="none"/>
        </w:rPr>
        <w:t xml:space="preserve">This </w:t>
      </w:r>
      <w:r w:rsidR="001F4C7E">
        <w:rPr>
          <w:kern w:val="0"/>
          <w14:ligatures w14:val="none"/>
        </w:rPr>
        <w:t>paper</w:t>
      </w:r>
      <w:r w:rsidRPr="00E65D8B">
        <w:rPr>
          <w:kern w:val="0"/>
          <w14:ligatures w14:val="none"/>
        </w:rPr>
        <w:t xml:space="preserve"> discusses a novel method to determine whether benefit exceeds risk.  Most fundamentally, th</w:t>
      </w:r>
      <w:r w:rsidR="00F54069">
        <w:rPr>
          <w:kern w:val="0"/>
          <w14:ligatures w14:val="none"/>
        </w:rPr>
        <w:t>is</w:t>
      </w:r>
      <w:r w:rsidRPr="00E65D8B">
        <w:rPr>
          <w:kern w:val="0"/>
          <w14:ligatures w14:val="none"/>
        </w:rPr>
        <w:t xml:space="preserve"> method </w:t>
      </w:r>
      <w:r w:rsidR="00F54069">
        <w:rPr>
          <w:kern w:val="0"/>
          <w14:ligatures w14:val="none"/>
        </w:rPr>
        <w:t xml:space="preserve">separates itself from prior work by </w:t>
      </w:r>
      <w:r w:rsidRPr="00E65D8B">
        <w:rPr>
          <w:kern w:val="0"/>
          <w14:ligatures w14:val="none"/>
        </w:rPr>
        <w:t>establish</w:t>
      </w:r>
      <w:r w:rsidR="00F54069">
        <w:rPr>
          <w:kern w:val="0"/>
          <w14:ligatures w14:val="none"/>
        </w:rPr>
        <w:t>ing</w:t>
      </w:r>
      <w:r w:rsidRPr="00E65D8B">
        <w:rPr>
          <w:kern w:val="0"/>
          <w14:ligatures w14:val="none"/>
        </w:rPr>
        <w:t xml:space="preserve"> a more objective, common metric for measuring both benefits and risks.  Another novel element is avoiding the </w:t>
      </w:r>
      <w:r w:rsidR="00F54069">
        <w:rPr>
          <w:kern w:val="0"/>
          <w14:ligatures w14:val="none"/>
        </w:rPr>
        <w:t xml:space="preserve">universal </w:t>
      </w:r>
      <w:r w:rsidRPr="00E65D8B">
        <w:rPr>
          <w:kern w:val="0"/>
          <w14:ligatures w14:val="none"/>
        </w:rPr>
        <w:t xml:space="preserve">mistake of mapping risk to numbers for ease of manipulation.  Instead, this method </w:t>
      </w:r>
      <w:r w:rsidR="00F54069">
        <w:rPr>
          <w:kern w:val="0"/>
          <w14:ligatures w14:val="none"/>
        </w:rPr>
        <w:t xml:space="preserve">works with </w:t>
      </w:r>
      <w:r w:rsidRPr="00E65D8B">
        <w:rPr>
          <w:kern w:val="0"/>
          <w14:ligatures w14:val="none"/>
        </w:rPr>
        <w:t>the benefit and risk metrics directly, without conversion to numbers</w:t>
      </w:r>
      <w:r w:rsidR="00F54069">
        <w:rPr>
          <w:kern w:val="0"/>
          <w14:ligatures w14:val="none"/>
        </w:rPr>
        <w:t xml:space="preserve"> </w:t>
      </w:r>
      <w:r w:rsidRPr="00E65D8B">
        <w:rPr>
          <w:kern w:val="0"/>
          <w14:ligatures w14:val="none"/>
        </w:rPr>
        <w:t xml:space="preserve">and </w:t>
      </w:r>
      <w:r w:rsidR="0069699B">
        <w:rPr>
          <w:kern w:val="0"/>
          <w14:ligatures w14:val="none"/>
        </w:rPr>
        <w:t xml:space="preserve">creates a ‘risk algebra’ to </w:t>
      </w:r>
      <w:r w:rsidRPr="00E65D8B">
        <w:rPr>
          <w:kern w:val="0"/>
          <w14:ligatures w14:val="none"/>
        </w:rPr>
        <w:t>simplif</w:t>
      </w:r>
      <w:r w:rsidR="0069699B">
        <w:rPr>
          <w:kern w:val="0"/>
          <w14:ligatures w14:val="none"/>
        </w:rPr>
        <w:t>y</w:t>
      </w:r>
      <w:r w:rsidRPr="00E65D8B">
        <w:rPr>
          <w:kern w:val="0"/>
          <w14:ligatures w14:val="none"/>
        </w:rPr>
        <w:t xml:space="preserve"> these metrics until it becomes clear whether benefit exceeds risk, or vice versa. </w:t>
      </w:r>
      <w:r w:rsidR="0069699B">
        <w:rPr>
          <w:kern w:val="0"/>
          <w14:ligatures w14:val="none"/>
        </w:rPr>
        <w:t xml:space="preserve"> </w:t>
      </w:r>
      <w:r w:rsidR="00330566">
        <w:rPr>
          <w:kern w:val="0"/>
          <w14:ligatures w14:val="none"/>
        </w:rPr>
        <w:t xml:space="preserve">This </w:t>
      </w:r>
      <w:r w:rsidR="00330566" w:rsidRPr="00E65D8B">
        <w:rPr>
          <w:kern w:val="0"/>
          <w14:ligatures w14:val="none"/>
        </w:rPr>
        <w:t xml:space="preserve">method is </w:t>
      </w:r>
      <w:r w:rsidR="00330566">
        <w:rPr>
          <w:kern w:val="0"/>
          <w14:ligatures w14:val="none"/>
        </w:rPr>
        <w:t>unusual</w:t>
      </w:r>
      <w:r w:rsidR="00330566" w:rsidRPr="00E65D8B">
        <w:rPr>
          <w:kern w:val="0"/>
          <w14:ligatures w14:val="none"/>
        </w:rPr>
        <w:t xml:space="preserve"> in </w:t>
      </w:r>
      <w:r w:rsidR="00330566">
        <w:rPr>
          <w:kern w:val="0"/>
          <w14:ligatures w14:val="none"/>
        </w:rPr>
        <w:t xml:space="preserve">the </w:t>
      </w:r>
      <w:r w:rsidR="00330566" w:rsidRPr="00E65D8B">
        <w:rPr>
          <w:kern w:val="0"/>
          <w14:ligatures w14:val="none"/>
        </w:rPr>
        <w:t xml:space="preserve">ease </w:t>
      </w:r>
      <w:r w:rsidR="00330566">
        <w:rPr>
          <w:kern w:val="0"/>
          <w14:ligatures w14:val="none"/>
        </w:rPr>
        <w:t xml:space="preserve">with which it can be applied to </w:t>
      </w:r>
      <w:r w:rsidR="00330566" w:rsidRPr="00E65D8B">
        <w:rPr>
          <w:kern w:val="0"/>
          <w14:ligatures w14:val="none"/>
        </w:rPr>
        <w:t>any medical procedure, any patient population, and any number o</w:t>
      </w:r>
      <w:r w:rsidR="00330566">
        <w:rPr>
          <w:kern w:val="0"/>
          <w14:ligatures w14:val="none"/>
        </w:rPr>
        <w:t>r</w:t>
      </w:r>
      <w:r w:rsidR="00330566" w:rsidRPr="00E65D8B">
        <w:rPr>
          <w:kern w:val="0"/>
          <w14:ligatures w14:val="none"/>
        </w:rPr>
        <w:t xml:space="preserve"> type of risks or benefits.  </w:t>
      </w:r>
      <w:r w:rsidR="0069699B">
        <w:rPr>
          <w:kern w:val="0"/>
          <w14:ligatures w14:val="none"/>
        </w:rPr>
        <w:t xml:space="preserve">The result is a method to determine whether benefit exceeds risk that is </w:t>
      </w:r>
      <w:r w:rsidR="00F54069">
        <w:rPr>
          <w:kern w:val="0"/>
          <w14:ligatures w14:val="none"/>
        </w:rPr>
        <w:t xml:space="preserve">both dramatically more objective than dominant methods and </w:t>
      </w:r>
      <w:r w:rsidR="0069699B">
        <w:rPr>
          <w:kern w:val="0"/>
          <w14:ligatures w14:val="none"/>
        </w:rPr>
        <w:t>intuitively clear, making conclusion</w:t>
      </w:r>
      <w:r w:rsidR="003B087C">
        <w:rPr>
          <w:kern w:val="0"/>
          <w14:ligatures w14:val="none"/>
        </w:rPr>
        <w:t>s</w:t>
      </w:r>
      <w:r w:rsidR="0069699B">
        <w:rPr>
          <w:kern w:val="0"/>
          <w14:ligatures w14:val="none"/>
        </w:rPr>
        <w:t xml:space="preserve"> </w:t>
      </w:r>
      <w:r w:rsidR="00F54069">
        <w:rPr>
          <w:kern w:val="0"/>
          <w14:ligatures w14:val="none"/>
        </w:rPr>
        <w:t xml:space="preserve">significantly </w:t>
      </w:r>
      <w:r w:rsidR="003B087C">
        <w:rPr>
          <w:kern w:val="0"/>
          <w14:ligatures w14:val="none"/>
        </w:rPr>
        <w:t xml:space="preserve">more </w:t>
      </w:r>
      <w:r w:rsidR="0069699B">
        <w:rPr>
          <w:kern w:val="0"/>
          <w14:ligatures w14:val="none"/>
        </w:rPr>
        <w:t xml:space="preserve">compelling. </w:t>
      </w:r>
    </w:p>
    <w:p w14:paraId="55DC481E" w14:textId="4491420A" w:rsidR="008C4FFF" w:rsidRDefault="00F54069" w:rsidP="008C4FFF">
      <w:pPr>
        <w:spacing w:line="360" w:lineRule="auto"/>
      </w:pPr>
      <w:r>
        <w:rPr>
          <w:kern w:val="0"/>
          <w14:ligatures w14:val="none"/>
        </w:rPr>
        <w:t xml:space="preserve">Building on this foundation, </w:t>
      </w:r>
      <w:r w:rsidR="00330566">
        <w:rPr>
          <w:kern w:val="0"/>
          <w14:ligatures w14:val="none"/>
        </w:rPr>
        <w:t xml:space="preserve">over a dozen </w:t>
      </w:r>
      <w:r>
        <w:rPr>
          <w:kern w:val="0"/>
          <w14:ligatures w14:val="none"/>
        </w:rPr>
        <w:t>a</w:t>
      </w:r>
      <w:r w:rsidR="008C4FFF" w:rsidRPr="00E65D8B">
        <w:rPr>
          <w:kern w:val="0"/>
          <w14:ligatures w14:val="none"/>
        </w:rPr>
        <w:t>pplications are discussed</w:t>
      </w:r>
      <w:r w:rsidR="00330566">
        <w:rPr>
          <w:kern w:val="0"/>
          <w14:ligatures w14:val="none"/>
        </w:rPr>
        <w:t xml:space="preserve">; e.g., </w:t>
      </w:r>
      <w:r w:rsidR="008C4FFF" w:rsidRPr="00E65D8B">
        <w:rPr>
          <w:kern w:val="0"/>
          <w14:ligatures w14:val="none"/>
        </w:rPr>
        <w:t xml:space="preserve">for systematically selecting the best therapy from among a list of alternatives, customizing the </w:t>
      </w:r>
      <w:r w:rsidR="00EC42E0">
        <w:rPr>
          <w:kern w:val="0"/>
          <w14:ligatures w14:val="none"/>
        </w:rPr>
        <w:t>Benefit-Risk</w:t>
      </w:r>
      <w:r w:rsidR="008C4FFF" w:rsidRPr="00E65D8B">
        <w:rPr>
          <w:kern w:val="0"/>
          <w14:ligatures w14:val="none"/>
        </w:rPr>
        <w:t xml:space="preserve"> analysis to small populations or even individuals, and variations on the method’s metrics </w:t>
      </w:r>
      <w:r>
        <w:rPr>
          <w:kern w:val="0"/>
          <w14:ligatures w14:val="none"/>
        </w:rPr>
        <w:t>to</w:t>
      </w:r>
      <w:r w:rsidR="008C4FFF" w:rsidRPr="00E65D8B">
        <w:rPr>
          <w:kern w:val="0"/>
          <w14:ligatures w14:val="none"/>
        </w:rPr>
        <w:t xml:space="preserve"> make traditionally difficult determinations of whether benefit exceeds risk (e.g., for a purely aesthetic purpose) significantly more objective.</w:t>
      </w:r>
      <w:r w:rsidR="0069699B">
        <w:rPr>
          <w:kern w:val="0"/>
          <w14:ligatures w14:val="none"/>
        </w:rPr>
        <w:t xml:space="preserve"> </w:t>
      </w:r>
    </w:p>
    <w:p w14:paraId="422F044E" w14:textId="77777777" w:rsidR="003F190A" w:rsidRDefault="003F190A" w:rsidP="00A13CD3">
      <w:pPr>
        <w:pStyle w:val="NoIndent"/>
      </w:pPr>
    </w:p>
    <w:p w14:paraId="2DC38401" w14:textId="19DCD6E5" w:rsidR="00A13CD3" w:rsidRPr="00456EA3" w:rsidRDefault="00000000" w:rsidP="00A13CD3">
      <w:pPr>
        <w:rPr>
          <w:rStyle w:val="Emphasis"/>
          <w:i w:val="0"/>
          <w:iCs w:val="0"/>
        </w:rPr>
      </w:pPr>
      <w:sdt>
        <w:sdtPr>
          <w:rPr>
            <w:rStyle w:val="Emphasis"/>
          </w:rPr>
          <w:id w:val="1557668240"/>
          <w:placeholder>
            <w:docPart w:val="AC33A4D9EC0F46A2A849281A1D274585"/>
          </w:placeholder>
          <w:temporary/>
          <w:showingPlcHdr/>
          <w15:appearance w15:val="hidden"/>
        </w:sdtPr>
        <w:sdtContent>
          <w:r w:rsidR="00A13CD3" w:rsidRPr="00500997">
            <w:rPr>
              <w:rStyle w:val="Emphasis"/>
            </w:rPr>
            <w:t>Keywords</w:t>
          </w:r>
          <w:r w:rsidR="00A13CD3">
            <w:t>:</w:t>
          </w:r>
        </w:sdtContent>
      </w:sdt>
      <w:r w:rsidR="00A13CD3" w:rsidRPr="00757FF8">
        <w:rPr>
          <w:rStyle w:val="Emphasis"/>
          <w:i w:val="0"/>
          <w:iCs w:val="0"/>
        </w:rPr>
        <w:t xml:space="preserve"> </w:t>
      </w:r>
      <w:r w:rsidR="00757FF8" w:rsidRPr="00757FF8">
        <w:rPr>
          <w:rStyle w:val="Emphasis"/>
          <w:i w:val="0"/>
          <w:iCs w:val="0"/>
        </w:rPr>
        <w:t xml:space="preserve">Benefit Exceeds Risk, </w:t>
      </w:r>
      <w:r w:rsidR="003F190A" w:rsidRPr="00757FF8">
        <w:rPr>
          <w:rStyle w:val="Emphasis"/>
          <w:i w:val="0"/>
          <w:iCs w:val="0"/>
        </w:rPr>
        <w:t>B</w:t>
      </w:r>
      <w:r w:rsidR="003F190A">
        <w:rPr>
          <w:rStyle w:val="Emphasis"/>
          <w:i w:val="0"/>
          <w:iCs w:val="0"/>
        </w:rPr>
        <w:t xml:space="preserve">enefit/Risk Ratio, Benefit-Risk, </w:t>
      </w:r>
      <w:r w:rsidR="00456EA3" w:rsidRPr="00456EA3">
        <w:rPr>
          <w:rStyle w:val="Emphasis"/>
          <w:i w:val="0"/>
          <w:iCs w:val="0"/>
        </w:rPr>
        <w:t>benefit:risk</w:t>
      </w:r>
      <w:r w:rsidR="00456EA3">
        <w:rPr>
          <w:rStyle w:val="Emphasis"/>
          <w:i w:val="0"/>
          <w:iCs w:val="0"/>
        </w:rPr>
        <w:t>,</w:t>
      </w:r>
      <w:r w:rsidR="00456EA3" w:rsidRPr="00456EA3">
        <w:rPr>
          <w:rStyle w:val="Emphasis"/>
          <w:i w:val="0"/>
          <w:iCs w:val="0"/>
        </w:rPr>
        <w:t xml:space="preserve"> benefit risk,</w:t>
      </w:r>
      <w:r w:rsidR="00456EA3">
        <w:rPr>
          <w:rStyle w:val="Emphasis"/>
          <w:i w:val="0"/>
          <w:iCs w:val="0"/>
        </w:rPr>
        <w:t xml:space="preserve"> </w:t>
      </w:r>
      <w:r w:rsidR="00E3050B">
        <w:rPr>
          <w:rStyle w:val="Emphasis"/>
          <w:i w:val="0"/>
          <w:iCs w:val="0"/>
        </w:rPr>
        <w:t xml:space="preserve">Risk-Benefit, </w:t>
      </w:r>
      <w:r w:rsidR="00456EA3">
        <w:rPr>
          <w:rStyle w:val="Emphasis"/>
          <w:i w:val="0"/>
          <w:iCs w:val="0"/>
        </w:rPr>
        <w:t xml:space="preserve">BRA, RBA, </w:t>
      </w:r>
      <w:r w:rsidR="003F190A">
        <w:rPr>
          <w:rStyle w:val="Emphasis"/>
          <w:i w:val="0"/>
          <w:iCs w:val="0"/>
        </w:rPr>
        <w:t>R</w:t>
      </w:r>
      <w:r w:rsidR="003F190A" w:rsidRPr="003F190A">
        <w:rPr>
          <w:rStyle w:val="Emphasis"/>
          <w:i w:val="0"/>
          <w:iCs w:val="0"/>
        </w:rPr>
        <w:t>isk Management,</w:t>
      </w:r>
      <w:r w:rsidR="003F190A">
        <w:rPr>
          <w:rStyle w:val="Emphasis"/>
          <w:i w:val="0"/>
          <w:iCs w:val="0"/>
        </w:rPr>
        <w:t xml:space="preserve"> </w:t>
      </w:r>
      <w:r w:rsidR="00A75668">
        <w:rPr>
          <w:rStyle w:val="Emphasis"/>
          <w:i w:val="0"/>
          <w:iCs w:val="0"/>
        </w:rPr>
        <w:t xml:space="preserve">Objective, </w:t>
      </w:r>
      <w:r w:rsidR="009457D9">
        <w:rPr>
          <w:rStyle w:val="Emphasis"/>
          <w:i w:val="0"/>
          <w:iCs w:val="0"/>
        </w:rPr>
        <w:t xml:space="preserve">Novel, </w:t>
      </w:r>
      <w:r w:rsidR="00A75668">
        <w:rPr>
          <w:rStyle w:val="Emphasis"/>
          <w:i w:val="0"/>
          <w:iCs w:val="0"/>
        </w:rPr>
        <w:t>Risk Algebra</w:t>
      </w:r>
      <w:r w:rsidR="00456EA3">
        <w:rPr>
          <w:rStyle w:val="Emphasis"/>
          <w:i w:val="0"/>
          <w:iCs w:val="0"/>
        </w:rPr>
        <w:t xml:space="preserve">, </w:t>
      </w:r>
      <w:r w:rsidR="00456EA3" w:rsidRPr="00456EA3">
        <w:rPr>
          <w:rStyle w:val="Emphasis"/>
          <w:i w:val="0"/>
          <w:iCs w:val="0"/>
        </w:rPr>
        <w:t>efficacy</w:t>
      </w:r>
      <w:r w:rsidR="00456EA3" w:rsidRPr="00456EA3">
        <w:rPr>
          <w:rStyle w:val="Emphasis"/>
        </w:rPr>
        <w:t>, </w:t>
      </w:r>
      <w:r w:rsidR="00456EA3" w:rsidRPr="00456EA3">
        <w:rPr>
          <w:rStyle w:val="Emphasis"/>
          <w:i w:val="0"/>
          <w:iCs w:val="0"/>
        </w:rPr>
        <w:t>safety</w:t>
      </w:r>
    </w:p>
    <w:p w14:paraId="40ABD448" w14:textId="77777777" w:rsidR="00A13CD3" w:rsidRPr="00456EA3" w:rsidRDefault="00A13CD3" w:rsidP="00A13CD3">
      <w:pPr>
        <w:rPr>
          <w:rStyle w:val="Emphasis"/>
        </w:rPr>
      </w:pPr>
      <w:r w:rsidRPr="00456EA3">
        <w:rPr>
          <w:rStyle w:val="Emphasis"/>
        </w:rPr>
        <w:br w:type="page"/>
      </w:r>
    </w:p>
    <w:sdt>
      <w:sdtPr>
        <w:rPr>
          <w:rFonts w:asciiTheme="minorHAnsi" w:eastAsiaTheme="minorHAnsi" w:hAnsiTheme="minorHAnsi" w:cstheme="minorBidi"/>
          <w:color w:val="auto"/>
          <w:kern w:val="2"/>
          <w:sz w:val="22"/>
          <w:szCs w:val="22"/>
          <w14:ligatures w14:val="standardContextual"/>
        </w:rPr>
        <w:id w:val="-252743992"/>
        <w:docPartObj>
          <w:docPartGallery w:val="Table of Contents"/>
          <w:docPartUnique/>
        </w:docPartObj>
      </w:sdtPr>
      <w:sdtEndPr>
        <w:rPr>
          <w:b/>
          <w:bCs/>
          <w:noProof/>
        </w:rPr>
      </w:sdtEndPr>
      <w:sdtContent>
        <w:p w14:paraId="1AFBB7A8" w14:textId="6C7837A8" w:rsidR="00A13CD3" w:rsidRDefault="00A13CD3" w:rsidP="00A13CD3">
          <w:pPr>
            <w:pStyle w:val="TOCHeading"/>
          </w:pPr>
          <w:r>
            <w:t>Contents</w:t>
          </w:r>
        </w:p>
        <w:p w14:paraId="5DE09C01" w14:textId="61DA09BA" w:rsidR="0029080F" w:rsidRDefault="002E233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6728636" w:history="1">
            <w:r w:rsidR="0029080F" w:rsidRPr="002E5EAE">
              <w:rPr>
                <w:rStyle w:val="Hyperlink"/>
                <w:b/>
                <w:bCs/>
                <w:noProof/>
              </w:rPr>
              <w:t>The Method</w:t>
            </w:r>
            <w:r w:rsidR="0029080F">
              <w:rPr>
                <w:noProof/>
                <w:webHidden/>
              </w:rPr>
              <w:tab/>
            </w:r>
            <w:r w:rsidR="0029080F">
              <w:rPr>
                <w:noProof/>
                <w:webHidden/>
              </w:rPr>
              <w:fldChar w:fldCharType="begin"/>
            </w:r>
            <w:r w:rsidR="0029080F">
              <w:rPr>
                <w:noProof/>
                <w:webHidden/>
              </w:rPr>
              <w:instrText xml:space="preserve"> PAGEREF _Toc156728636 \h </w:instrText>
            </w:r>
            <w:r w:rsidR="0029080F">
              <w:rPr>
                <w:noProof/>
                <w:webHidden/>
              </w:rPr>
            </w:r>
            <w:r w:rsidR="0029080F">
              <w:rPr>
                <w:noProof/>
                <w:webHidden/>
              </w:rPr>
              <w:fldChar w:fldCharType="separate"/>
            </w:r>
            <w:r w:rsidR="00D17C1D">
              <w:rPr>
                <w:noProof/>
                <w:webHidden/>
              </w:rPr>
              <w:t>5</w:t>
            </w:r>
            <w:r w:rsidR="0029080F">
              <w:rPr>
                <w:noProof/>
                <w:webHidden/>
              </w:rPr>
              <w:fldChar w:fldCharType="end"/>
            </w:r>
          </w:hyperlink>
        </w:p>
        <w:p w14:paraId="0CCDAF21" w14:textId="0F3BF1F1" w:rsidR="0029080F" w:rsidRDefault="00000000">
          <w:pPr>
            <w:pStyle w:val="TOC2"/>
            <w:rPr>
              <w:rFonts w:eastAsiaTheme="minorEastAsia"/>
              <w:noProof/>
              <w:kern w:val="2"/>
              <w14:ligatures w14:val="standardContextual"/>
            </w:rPr>
          </w:pPr>
          <w:hyperlink w:anchor="_Toc156728637" w:history="1">
            <w:r w:rsidR="0029080F" w:rsidRPr="002E5EAE">
              <w:rPr>
                <w:rStyle w:val="Hyperlink"/>
                <w:b/>
                <w:bCs/>
                <w:noProof/>
              </w:rPr>
              <w:t>The Need</w:t>
            </w:r>
            <w:r w:rsidR="0029080F">
              <w:rPr>
                <w:noProof/>
                <w:webHidden/>
              </w:rPr>
              <w:tab/>
            </w:r>
            <w:r w:rsidR="0029080F">
              <w:rPr>
                <w:noProof/>
                <w:webHidden/>
              </w:rPr>
              <w:fldChar w:fldCharType="begin"/>
            </w:r>
            <w:r w:rsidR="0029080F">
              <w:rPr>
                <w:noProof/>
                <w:webHidden/>
              </w:rPr>
              <w:instrText xml:space="preserve"> PAGEREF _Toc156728637 \h </w:instrText>
            </w:r>
            <w:r w:rsidR="0029080F">
              <w:rPr>
                <w:noProof/>
                <w:webHidden/>
              </w:rPr>
            </w:r>
            <w:r w:rsidR="0029080F">
              <w:rPr>
                <w:noProof/>
                <w:webHidden/>
              </w:rPr>
              <w:fldChar w:fldCharType="separate"/>
            </w:r>
            <w:r w:rsidR="00D17C1D">
              <w:rPr>
                <w:noProof/>
                <w:webHidden/>
              </w:rPr>
              <w:t>5</w:t>
            </w:r>
            <w:r w:rsidR="0029080F">
              <w:rPr>
                <w:noProof/>
                <w:webHidden/>
              </w:rPr>
              <w:fldChar w:fldCharType="end"/>
            </w:r>
          </w:hyperlink>
        </w:p>
        <w:p w14:paraId="49C43385" w14:textId="649C63A2" w:rsidR="0029080F" w:rsidRDefault="00000000">
          <w:pPr>
            <w:pStyle w:val="TOC2"/>
            <w:rPr>
              <w:rFonts w:eastAsiaTheme="minorEastAsia"/>
              <w:noProof/>
              <w:kern w:val="2"/>
              <w14:ligatures w14:val="standardContextual"/>
            </w:rPr>
          </w:pPr>
          <w:hyperlink w:anchor="_Toc156728638" w:history="1">
            <w:r w:rsidR="0029080F" w:rsidRPr="002E5EAE">
              <w:rPr>
                <w:rStyle w:val="Hyperlink"/>
                <w:b/>
                <w:bCs/>
                <w:noProof/>
              </w:rPr>
              <w:t>The Current State</w:t>
            </w:r>
            <w:r w:rsidR="0029080F">
              <w:rPr>
                <w:noProof/>
                <w:webHidden/>
              </w:rPr>
              <w:tab/>
            </w:r>
            <w:r w:rsidR="0029080F">
              <w:rPr>
                <w:noProof/>
                <w:webHidden/>
              </w:rPr>
              <w:fldChar w:fldCharType="begin"/>
            </w:r>
            <w:r w:rsidR="0029080F">
              <w:rPr>
                <w:noProof/>
                <w:webHidden/>
              </w:rPr>
              <w:instrText xml:space="preserve"> PAGEREF _Toc156728638 \h </w:instrText>
            </w:r>
            <w:r w:rsidR="0029080F">
              <w:rPr>
                <w:noProof/>
                <w:webHidden/>
              </w:rPr>
            </w:r>
            <w:r w:rsidR="0029080F">
              <w:rPr>
                <w:noProof/>
                <w:webHidden/>
              </w:rPr>
              <w:fldChar w:fldCharType="separate"/>
            </w:r>
            <w:r w:rsidR="00D17C1D">
              <w:rPr>
                <w:noProof/>
                <w:webHidden/>
              </w:rPr>
              <w:t>6</w:t>
            </w:r>
            <w:r w:rsidR="0029080F">
              <w:rPr>
                <w:noProof/>
                <w:webHidden/>
              </w:rPr>
              <w:fldChar w:fldCharType="end"/>
            </w:r>
          </w:hyperlink>
        </w:p>
        <w:p w14:paraId="06F94771" w14:textId="43506C5D" w:rsidR="0029080F" w:rsidRDefault="00000000">
          <w:pPr>
            <w:pStyle w:val="TOC2"/>
            <w:rPr>
              <w:rFonts w:eastAsiaTheme="minorEastAsia"/>
              <w:noProof/>
              <w:kern w:val="2"/>
              <w14:ligatures w14:val="standardContextual"/>
            </w:rPr>
          </w:pPr>
          <w:hyperlink w:anchor="_Toc156728639" w:history="1">
            <w:r w:rsidR="0029080F" w:rsidRPr="002E5EAE">
              <w:rPr>
                <w:rStyle w:val="Hyperlink"/>
                <w:b/>
                <w:bCs/>
                <w:noProof/>
              </w:rPr>
              <w:t>Moving to a Future State – A close look at Patient ‘Benefit’</w:t>
            </w:r>
            <w:r w:rsidR="0029080F">
              <w:rPr>
                <w:noProof/>
                <w:webHidden/>
              </w:rPr>
              <w:tab/>
            </w:r>
            <w:r w:rsidR="0029080F">
              <w:rPr>
                <w:noProof/>
                <w:webHidden/>
              </w:rPr>
              <w:fldChar w:fldCharType="begin"/>
            </w:r>
            <w:r w:rsidR="0029080F">
              <w:rPr>
                <w:noProof/>
                <w:webHidden/>
              </w:rPr>
              <w:instrText xml:space="preserve"> PAGEREF _Toc156728639 \h </w:instrText>
            </w:r>
            <w:r w:rsidR="0029080F">
              <w:rPr>
                <w:noProof/>
                <w:webHidden/>
              </w:rPr>
            </w:r>
            <w:r w:rsidR="0029080F">
              <w:rPr>
                <w:noProof/>
                <w:webHidden/>
              </w:rPr>
              <w:fldChar w:fldCharType="separate"/>
            </w:r>
            <w:r w:rsidR="00D17C1D">
              <w:rPr>
                <w:noProof/>
                <w:webHidden/>
              </w:rPr>
              <w:t>9</w:t>
            </w:r>
            <w:r w:rsidR="0029080F">
              <w:rPr>
                <w:noProof/>
                <w:webHidden/>
              </w:rPr>
              <w:fldChar w:fldCharType="end"/>
            </w:r>
          </w:hyperlink>
        </w:p>
        <w:p w14:paraId="24367087" w14:textId="2895A8CB" w:rsidR="0029080F" w:rsidRDefault="00000000">
          <w:pPr>
            <w:pStyle w:val="TOC3"/>
            <w:tabs>
              <w:tab w:val="right" w:leader="dot" w:pos="9350"/>
            </w:tabs>
            <w:rPr>
              <w:rFonts w:eastAsiaTheme="minorEastAsia"/>
              <w:noProof/>
              <w:kern w:val="2"/>
              <w14:ligatures w14:val="standardContextual"/>
            </w:rPr>
          </w:pPr>
          <w:hyperlink w:anchor="_Toc156728640" w:history="1">
            <w:r w:rsidR="0029080F" w:rsidRPr="002E5EAE">
              <w:rPr>
                <w:rStyle w:val="Hyperlink"/>
                <w:noProof/>
              </w:rPr>
              <w:t>A real-world example of benefit and risk tradeoffs</w:t>
            </w:r>
            <w:r w:rsidR="0029080F">
              <w:rPr>
                <w:noProof/>
                <w:webHidden/>
              </w:rPr>
              <w:tab/>
            </w:r>
            <w:r w:rsidR="0029080F">
              <w:rPr>
                <w:noProof/>
                <w:webHidden/>
              </w:rPr>
              <w:fldChar w:fldCharType="begin"/>
            </w:r>
            <w:r w:rsidR="0029080F">
              <w:rPr>
                <w:noProof/>
                <w:webHidden/>
              </w:rPr>
              <w:instrText xml:space="preserve"> PAGEREF _Toc156728640 \h </w:instrText>
            </w:r>
            <w:r w:rsidR="0029080F">
              <w:rPr>
                <w:noProof/>
                <w:webHidden/>
              </w:rPr>
            </w:r>
            <w:r w:rsidR="0029080F">
              <w:rPr>
                <w:noProof/>
                <w:webHidden/>
              </w:rPr>
              <w:fldChar w:fldCharType="separate"/>
            </w:r>
            <w:r w:rsidR="00D17C1D">
              <w:rPr>
                <w:noProof/>
                <w:webHidden/>
              </w:rPr>
              <w:t>10</w:t>
            </w:r>
            <w:r w:rsidR="0029080F">
              <w:rPr>
                <w:noProof/>
                <w:webHidden/>
              </w:rPr>
              <w:fldChar w:fldCharType="end"/>
            </w:r>
          </w:hyperlink>
        </w:p>
        <w:p w14:paraId="5787A08A" w14:textId="61324F1F" w:rsidR="0029080F" w:rsidRDefault="00000000">
          <w:pPr>
            <w:pStyle w:val="TOC2"/>
            <w:rPr>
              <w:rFonts w:eastAsiaTheme="minorEastAsia"/>
              <w:noProof/>
              <w:kern w:val="2"/>
              <w14:ligatures w14:val="standardContextual"/>
            </w:rPr>
          </w:pPr>
          <w:hyperlink w:anchor="_Toc156728641" w:history="1">
            <w:r w:rsidR="0029080F" w:rsidRPr="002E5EAE">
              <w:rPr>
                <w:rStyle w:val="Hyperlink"/>
                <w:b/>
                <w:bCs/>
                <w:noProof/>
              </w:rPr>
              <w:t>Moving to a Future State – Describing ‘Benefit’ with ‘Risk’</w:t>
            </w:r>
            <w:r w:rsidR="0029080F">
              <w:rPr>
                <w:noProof/>
                <w:webHidden/>
              </w:rPr>
              <w:tab/>
            </w:r>
            <w:r w:rsidR="0029080F">
              <w:rPr>
                <w:noProof/>
                <w:webHidden/>
              </w:rPr>
              <w:fldChar w:fldCharType="begin"/>
            </w:r>
            <w:r w:rsidR="0029080F">
              <w:rPr>
                <w:noProof/>
                <w:webHidden/>
              </w:rPr>
              <w:instrText xml:space="preserve"> PAGEREF _Toc156728641 \h </w:instrText>
            </w:r>
            <w:r w:rsidR="0029080F">
              <w:rPr>
                <w:noProof/>
                <w:webHidden/>
              </w:rPr>
            </w:r>
            <w:r w:rsidR="0029080F">
              <w:rPr>
                <w:noProof/>
                <w:webHidden/>
              </w:rPr>
              <w:fldChar w:fldCharType="separate"/>
            </w:r>
            <w:r w:rsidR="00D17C1D">
              <w:rPr>
                <w:noProof/>
                <w:webHidden/>
              </w:rPr>
              <w:t>11</w:t>
            </w:r>
            <w:r w:rsidR="0029080F">
              <w:rPr>
                <w:noProof/>
                <w:webHidden/>
              </w:rPr>
              <w:fldChar w:fldCharType="end"/>
            </w:r>
          </w:hyperlink>
        </w:p>
        <w:p w14:paraId="0926C280" w14:textId="5DB57AF0" w:rsidR="0029080F" w:rsidRDefault="00000000">
          <w:pPr>
            <w:pStyle w:val="TOC2"/>
            <w:rPr>
              <w:rFonts w:eastAsiaTheme="minorEastAsia"/>
              <w:noProof/>
              <w:kern w:val="2"/>
              <w14:ligatures w14:val="standardContextual"/>
            </w:rPr>
          </w:pPr>
          <w:hyperlink w:anchor="_Toc156728642" w:history="1">
            <w:r w:rsidR="0029080F" w:rsidRPr="002E5EAE">
              <w:rPr>
                <w:rStyle w:val="Hyperlink"/>
                <w:b/>
                <w:bCs/>
                <w:noProof/>
              </w:rPr>
              <w:t>Moving to a Future State – Establishing a Common Metric</w:t>
            </w:r>
            <w:r w:rsidR="0029080F">
              <w:rPr>
                <w:noProof/>
                <w:webHidden/>
              </w:rPr>
              <w:tab/>
            </w:r>
            <w:r w:rsidR="0029080F">
              <w:rPr>
                <w:noProof/>
                <w:webHidden/>
              </w:rPr>
              <w:fldChar w:fldCharType="begin"/>
            </w:r>
            <w:r w:rsidR="0029080F">
              <w:rPr>
                <w:noProof/>
                <w:webHidden/>
              </w:rPr>
              <w:instrText xml:space="preserve"> PAGEREF _Toc156728642 \h </w:instrText>
            </w:r>
            <w:r w:rsidR="0029080F">
              <w:rPr>
                <w:noProof/>
                <w:webHidden/>
              </w:rPr>
            </w:r>
            <w:r w:rsidR="0029080F">
              <w:rPr>
                <w:noProof/>
                <w:webHidden/>
              </w:rPr>
              <w:fldChar w:fldCharType="separate"/>
            </w:r>
            <w:r w:rsidR="00D17C1D">
              <w:rPr>
                <w:noProof/>
                <w:webHidden/>
              </w:rPr>
              <w:t>13</w:t>
            </w:r>
            <w:r w:rsidR="0029080F">
              <w:rPr>
                <w:noProof/>
                <w:webHidden/>
              </w:rPr>
              <w:fldChar w:fldCharType="end"/>
            </w:r>
          </w:hyperlink>
        </w:p>
        <w:p w14:paraId="2F005F59" w14:textId="501D80C4" w:rsidR="0029080F" w:rsidRDefault="00000000">
          <w:pPr>
            <w:pStyle w:val="TOC2"/>
            <w:rPr>
              <w:rFonts w:eastAsiaTheme="minorEastAsia"/>
              <w:noProof/>
              <w:kern w:val="2"/>
              <w14:ligatures w14:val="standardContextual"/>
            </w:rPr>
          </w:pPr>
          <w:hyperlink w:anchor="_Toc156728643" w:history="1">
            <w:r w:rsidR="0029080F" w:rsidRPr="002E5EAE">
              <w:rPr>
                <w:rStyle w:val="Hyperlink"/>
                <w:b/>
                <w:bCs/>
                <w:noProof/>
              </w:rPr>
              <w:t>Moving to a Future State – Organizing Risks</w:t>
            </w:r>
            <w:r w:rsidR="0029080F">
              <w:rPr>
                <w:noProof/>
                <w:webHidden/>
              </w:rPr>
              <w:tab/>
            </w:r>
            <w:r w:rsidR="0029080F">
              <w:rPr>
                <w:noProof/>
                <w:webHidden/>
              </w:rPr>
              <w:fldChar w:fldCharType="begin"/>
            </w:r>
            <w:r w:rsidR="0029080F">
              <w:rPr>
                <w:noProof/>
                <w:webHidden/>
              </w:rPr>
              <w:instrText xml:space="preserve"> PAGEREF _Toc156728643 \h </w:instrText>
            </w:r>
            <w:r w:rsidR="0029080F">
              <w:rPr>
                <w:noProof/>
                <w:webHidden/>
              </w:rPr>
            </w:r>
            <w:r w:rsidR="0029080F">
              <w:rPr>
                <w:noProof/>
                <w:webHidden/>
              </w:rPr>
              <w:fldChar w:fldCharType="separate"/>
            </w:r>
            <w:r w:rsidR="00D17C1D">
              <w:rPr>
                <w:noProof/>
                <w:webHidden/>
              </w:rPr>
              <w:t>15</w:t>
            </w:r>
            <w:r w:rsidR="0029080F">
              <w:rPr>
                <w:noProof/>
                <w:webHidden/>
              </w:rPr>
              <w:fldChar w:fldCharType="end"/>
            </w:r>
          </w:hyperlink>
        </w:p>
        <w:p w14:paraId="3C56B1AC" w14:textId="4EEA8B86" w:rsidR="0029080F" w:rsidRDefault="00000000">
          <w:pPr>
            <w:pStyle w:val="TOC2"/>
            <w:rPr>
              <w:rFonts w:eastAsiaTheme="minorEastAsia"/>
              <w:noProof/>
              <w:kern w:val="2"/>
              <w14:ligatures w14:val="standardContextual"/>
            </w:rPr>
          </w:pPr>
          <w:hyperlink w:anchor="_Toc156728644" w:history="1">
            <w:r w:rsidR="0029080F" w:rsidRPr="002E5EAE">
              <w:rPr>
                <w:rStyle w:val="Hyperlink"/>
                <w:b/>
                <w:bCs/>
                <w:noProof/>
              </w:rPr>
              <w:t>Implementation</w:t>
            </w:r>
            <w:r w:rsidR="0029080F">
              <w:rPr>
                <w:noProof/>
                <w:webHidden/>
              </w:rPr>
              <w:tab/>
            </w:r>
            <w:r w:rsidR="0029080F">
              <w:rPr>
                <w:noProof/>
                <w:webHidden/>
              </w:rPr>
              <w:fldChar w:fldCharType="begin"/>
            </w:r>
            <w:r w:rsidR="0029080F">
              <w:rPr>
                <w:noProof/>
                <w:webHidden/>
              </w:rPr>
              <w:instrText xml:space="preserve"> PAGEREF _Toc156728644 \h </w:instrText>
            </w:r>
            <w:r w:rsidR="0029080F">
              <w:rPr>
                <w:noProof/>
                <w:webHidden/>
              </w:rPr>
            </w:r>
            <w:r w:rsidR="0029080F">
              <w:rPr>
                <w:noProof/>
                <w:webHidden/>
              </w:rPr>
              <w:fldChar w:fldCharType="separate"/>
            </w:r>
            <w:r w:rsidR="00D17C1D">
              <w:rPr>
                <w:noProof/>
                <w:webHidden/>
              </w:rPr>
              <w:t>19</w:t>
            </w:r>
            <w:r w:rsidR="0029080F">
              <w:rPr>
                <w:noProof/>
                <w:webHidden/>
              </w:rPr>
              <w:fldChar w:fldCharType="end"/>
            </w:r>
          </w:hyperlink>
        </w:p>
        <w:p w14:paraId="64EAF33E" w14:textId="64ED2395" w:rsidR="0029080F" w:rsidRDefault="00000000">
          <w:pPr>
            <w:pStyle w:val="TOC2"/>
            <w:rPr>
              <w:rFonts w:eastAsiaTheme="minorEastAsia"/>
              <w:noProof/>
              <w:kern w:val="2"/>
              <w14:ligatures w14:val="standardContextual"/>
            </w:rPr>
          </w:pPr>
          <w:hyperlink w:anchor="_Toc156728645" w:history="1">
            <w:r w:rsidR="0029080F" w:rsidRPr="002E5EAE">
              <w:rPr>
                <w:rStyle w:val="Hyperlink"/>
                <w:b/>
                <w:bCs/>
                <w:noProof/>
              </w:rPr>
              <w:t>Conclusion</w:t>
            </w:r>
            <w:r w:rsidR="0029080F">
              <w:rPr>
                <w:noProof/>
                <w:webHidden/>
              </w:rPr>
              <w:tab/>
            </w:r>
            <w:r w:rsidR="0029080F">
              <w:rPr>
                <w:noProof/>
                <w:webHidden/>
              </w:rPr>
              <w:fldChar w:fldCharType="begin"/>
            </w:r>
            <w:r w:rsidR="0029080F">
              <w:rPr>
                <w:noProof/>
                <w:webHidden/>
              </w:rPr>
              <w:instrText xml:space="preserve"> PAGEREF _Toc156728645 \h </w:instrText>
            </w:r>
            <w:r w:rsidR="0029080F">
              <w:rPr>
                <w:noProof/>
                <w:webHidden/>
              </w:rPr>
            </w:r>
            <w:r w:rsidR="0029080F">
              <w:rPr>
                <w:noProof/>
                <w:webHidden/>
              </w:rPr>
              <w:fldChar w:fldCharType="separate"/>
            </w:r>
            <w:r w:rsidR="00D17C1D">
              <w:rPr>
                <w:noProof/>
                <w:webHidden/>
              </w:rPr>
              <w:t>20</w:t>
            </w:r>
            <w:r w:rsidR="0029080F">
              <w:rPr>
                <w:noProof/>
                <w:webHidden/>
              </w:rPr>
              <w:fldChar w:fldCharType="end"/>
            </w:r>
          </w:hyperlink>
        </w:p>
        <w:p w14:paraId="2482709C" w14:textId="3320854B" w:rsidR="0029080F" w:rsidRDefault="00000000">
          <w:pPr>
            <w:pStyle w:val="TOC1"/>
            <w:tabs>
              <w:tab w:val="right" w:leader="dot" w:pos="9350"/>
            </w:tabs>
            <w:rPr>
              <w:rFonts w:eastAsiaTheme="minorEastAsia"/>
              <w:noProof/>
              <w:kern w:val="2"/>
              <w14:ligatures w14:val="standardContextual"/>
            </w:rPr>
          </w:pPr>
          <w:hyperlink w:anchor="_Toc156728646" w:history="1">
            <w:r w:rsidR="0029080F" w:rsidRPr="002E5EAE">
              <w:rPr>
                <w:rStyle w:val="Hyperlink"/>
                <w:b/>
                <w:bCs/>
                <w:noProof/>
              </w:rPr>
              <w:t>Attachment A - Risk Algebra</w:t>
            </w:r>
            <w:r w:rsidR="0029080F">
              <w:rPr>
                <w:noProof/>
                <w:webHidden/>
              </w:rPr>
              <w:tab/>
            </w:r>
            <w:r w:rsidR="0029080F">
              <w:rPr>
                <w:noProof/>
                <w:webHidden/>
              </w:rPr>
              <w:fldChar w:fldCharType="begin"/>
            </w:r>
            <w:r w:rsidR="0029080F">
              <w:rPr>
                <w:noProof/>
                <w:webHidden/>
              </w:rPr>
              <w:instrText xml:space="preserve"> PAGEREF _Toc156728646 \h </w:instrText>
            </w:r>
            <w:r w:rsidR="0029080F">
              <w:rPr>
                <w:noProof/>
                <w:webHidden/>
              </w:rPr>
            </w:r>
            <w:r w:rsidR="0029080F">
              <w:rPr>
                <w:noProof/>
                <w:webHidden/>
              </w:rPr>
              <w:fldChar w:fldCharType="separate"/>
            </w:r>
            <w:r w:rsidR="00D17C1D">
              <w:rPr>
                <w:noProof/>
                <w:webHidden/>
              </w:rPr>
              <w:t>21</w:t>
            </w:r>
            <w:r w:rsidR="0029080F">
              <w:rPr>
                <w:noProof/>
                <w:webHidden/>
              </w:rPr>
              <w:fldChar w:fldCharType="end"/>
            </w:r>
          </w:hyperlink>
        </w:p>
        <w:p w14:paraId="3B26D768" w14:textId="35F84045" w:rsidR="0029080F" w:rsidRDefault="00000000">
          <w:pPr>
            <w:pStyle w:val="TOC2"/>
            <w:rPr>
              <w:rFonts w:eastAsiaTheme="minorEastAsia"/>
              <w:noProof/>
              <w:kern w:val="2"/>
              <w14:ligatures w14:val="standardContextual"/>
            </w:rPr>
          </w:pPr>
          <w:hyperlink w:anchor="_Toc156728647" w:history="1">
            <w:r w:rsidR="0029080F" w:rsidRPr="002E5EAE">
              <w:rPr>
                <w:rStyle w:val="Hyperlink"/>
                <w:rFonts w:eastAsia="TimesNewRomanPSMT" w:cs="TimesNewRomanPSMT"/>
                <w:b/>
                <w:noProof/>
              </w:rPr>
              <w:t>‘Risk Algebra’ Concepts</w:t>
            </w:r>
            <w:r w:rsidR="0029080F">
              <w:rPr>
                <w:noProof/>
                <w:webHidden/>
              </w:rPr>
              <w:tab/>
            </w:r>
            <w:r w:rsidR="0029080F">
              <w:rPr>
                <w:noProof/>
                <w:webHidden/>
              </w:rPr>
              <w:fldChar w:fldCharType="begin"/>
            </w:r>
            <w:r w:rsidR="0029080F">
              <w:rPr>
                <w:noProof/>
                <w:webHidden/>
              </w:rPr>
              <w:instrText xml:space="preserve"> PAGEREF _Toc156728647 \h </w:instrText>
            </w:r>
            <w:r w:rsidR="0029080F">
              <w:rPr>
                <w:noProof/>
                <w:webHidden/>
              </w:rPr>
            </w:r>
            <w:r w:rsidR="0029080F">
              <w:rPr>
                <w:noProof/>
                <w:webHidden/>
              </w:rPr>
              <w:fldChar w:fldCharType="separate"/>
            </w:r>
            <w:r w:rsidR="00D17C1D">
              <w:rPr>
                <w:noProof/>
                <w:webHidden/>
              </w:rPr>
              <w:t>21</w:t>
            </w:r>
            <w:r w:rsidR="0029080F">
              <w:rPr>
                <w:noProof/>
                <w:webHidden/>
              </w:rPr>
              <w:fldChar w:fldCharType="end"/>
            </w:r>
          </w:hyperlink>
        </w:p>
        <w:p w14:paraId="5C22763D" w14:textId="36683283" w:rsidR="0029080F" w:rsidRDefault="00000000">
          <w:pPr>
            <w:pStyle w:val="TOC2"/>
            <w:rPr>
              <w:rFonts w:eastAsiaTheme="minorEastAsia"/>
              <w:noProof/>
              <w:kern w:val="2"/>
              <w14:ligatures w14:val="standardContextual"/>
            </w:rPr>
          </w:pPr>
          <w:hyperlink w:anchor="_Toc156728648" w:history="1">
            <w:r w:rsidR="0029080F" w:rsidRPr="002E5EAE">
              <w:rPr>
                <w:rStyle w:val="Hyperlink"/>
                <w:rFonts w:eastAsia="TimesNewRomanPSMT" w:cs="TimesNewRomanPSMT"/>
                <w:b/>
                <w:noProof/>
              </w:rPr>
              <w:t>An Example for Illustration</w:t>
            </w:r>
            <w:r w:rsidR="0029080F">
              <w:rPr>
                <w:noProof/>
                <w:webHidden/>
              </w:rPr>
              <w:tab/>
            </w:r>
            <w:r w:rsidR="0029080F">
              <w:rPr>
                <w:noProof/>
                <w:webHidden/>
              </w:rPr>
              <w:fldChar w:fldCharType="begin"/>
            </w:r>
            <w:r w:rsidR="0029080F">
              <w:rPr>
                <w:noProof/>
                <w:webHidden/>
              </w:rPr>
              <w:instrText xml:space="preserve"> PAGEREF _Toc156728648 \h </w:instrText>
            </w:r>
            <w:r w:rsidR="0029080F">
              <w:rPr>
                <w:noProof/>
                <w:webHidden/>
              </w:rPr>
            </w:r>
            <w:r w:rsidR="0029080F">
              <w:rPr>
                <w:noProof/>
                <w:webHidden/>
              </w:rPr>
              <w:fldChar w:fldCharType="separate"/>
            </w:r>
            <w:r w:rsidR="00D17C1D">
              <w:rPr>
                <w:noProof/>
                <w:webHidden/>
              </w:rPr>
              <w:t>22</w:t>
            </w:r>
            <w:r w:rsidR="0029080F">
              <w:rPr>
                <w:noProof/>
                <w:webHidden/>
              </w:rPr>
              <w:fldChar w:fldCharType="end"/>
            </w:r>
          </w:hyperlink>
        </w:p>
        <w:p w14:paraId="311EEA9D" w14:textId="05480CBE" w:rsidR="0029080F" w:rsidRDefault="00000000">
          <w:pPr>
            <w:pStyle w:val="TOC2"/>
            <w:rPr>
              <w:rFonts w:eastAsiaTheme="minorEastAsia"/>
              <w:noProof/>
              <w:kern w:val="2"/>
              <w14:ligatures w14:val="standardContextual"/>
            </w:rPr>
          </w:pPr>
          <w:hyperlink w:anchor="_Toc156728649" w:history="1">
            <w:r w:rsidR="0029080F" w:rsidRPr="002E5EAE">
              <w:rPr>
                <w:rStyle w:val="Hyperlink"/>
                <w:rFonts w:eastAsia="TimesNewRomanPSMT" w:cs="TimesNewRomanPSMT"/>
                <w:b/>
                <w:noProof/>
              </w:rPr>
              <w:t>Removing Identical Risks</w:t>
            </w:r>
            <w:r w:rsidR="0029080F">
              <w:rPr>
                <w:noProof/>
                <w:webHidden/>
              </w:rPr>
              <w:tab/>
            </w:r>
            <w:r w:rsidR="0029080F">
              <w:rPr>
                <w:noProof/>
                <w:webHidden/>
              </w:rPr>
              <w:fldChar w:fldCharType="begin"/>
            </w:r>
            <w:r w:rsidR="0029080F">
              <w:rPr>
                <w:noProof/>
                <w:webHidden/>
              </w:rPr>
              <w:instrText xml:space="preserve"> PAGEREF _Toc156728649 \h </w:instrText>
            </w:r>
            <w:r w:rsidR="0029080F">
              <w:rPr>
                <w:noProof/>
                <w:webHidden/>
              </w:rPr>
            </w:r>
            <w:r w:rsidR="0029080F">
              <w:rPr>
                <w:noProof/>
                <w:webHidden/>
              </w:rPr>
              <w:fldChar w:fldCharType="separate"/>
            </w:r>
            <w:r w:rsidR="00D17C1D">
              <w:rPr>
                <w:noProof/>
                <w:webHidden/>
              </w:rPr>
              <w:t>22</w:t>
            </w:r>
            <w:r w:rsidR="0029080F">
              <w:rPr>
                <w:noProof/>
                <w:webHidden/>
              </w:rPr>
              <w:fldChar w:fldCharType="end"/>
            </w:r>
          </w:hyperlink>
        </w:p>
        <w:p w14:paraId="0A1B4475" w14:textId="6D0F247E" w:rsidR="0029080F" w:rsidRDefault="00000000">
          <w:pPr>
            <w:pStyle w:val="TOC2"/>
            <w:rPr>
              <w:rFonts w:eastAsiaTheme="minorEastAsia"/>
              <w:noProof/>
              <w:kern w:val="2"/>
              <w14:ligatures w14:val="standardContextual"/>
            </w:rPr>
          </w:pPr>
          <w:hyperlink w:anchor="_Toc156728650" w:history="1">
            <w:r w:rsidR="0029080F" w:rsidRPr="002E5EAE">
              <w:rPr>
                <w:rStyle w:val="Hyperlink"/>
                <w:rFonts w:eastAsia="TimesNewRomanPSMT" w:cs="TimesNewRomanPSMT"/>
                <w:b/>
                <w:noProof/>
              </w:rPr>
              <w:t>Moving Repeated Risks</w:t>
            </w:r>
            <w:r w:rsidR="0029080F">
              <w:rPr>
                <w:noProof/>
                <w:webHidden/>
              </w:rPr>
              <w:tab/>
            </w:r>
            <w:r w:rsidR="0029080F">
              <w:rPr>
                <w:noProof/>
                <w:webHidden/>
              </w:rPr>
              <w:fldChar w:fldCharType="begin"/>
            </w:r>
            <w:r w:rsidR="0029080F">
              <w:rPr>
                <w:noProof/>
                <w:webHidden/>
              </w:rPr>
              <w:instrText xml:space="preserve"> PAGEREF _Toc156728650 \h </w:instrText>
            </w:r>
            <w:r w:rsidR="0029080F">
              <w:rPr>
                <w:noProof/>
                <w:webHidden/>
              </w:rPr>
            </w:r>
            <w:r w:rsidR="0029080F">
              <w:rPr>
                <w:noProof/>
                <w:webHidden/>
              </w:rPr>
              <w:fldChar w:fldCharType="separate"/>
            </w:r>
            <w:r w:rsidR="00D17C1D">
              <w:rPr>
                <w:noProof/>
                <w:webHidden/>
              </w:rPr>
              <w:t>24</w:t>
            </w:r>
            <w:r w:rsidR="0029080F">
              <w:rPr>
                <w:noProof/>
                <w:webHidden/>
              </w:rPr>
              <w:fldChar w:fldCharType="end"/>
            </w:r>
          </w:hyperlink>
        </w:p>
        <w:p w14:paraId="531DF18D" w14:textId="7F648918" w:rsidR="0029080F" w:rsidRDefault="00000000">
          <w:pPr>
            <w:pStyle w:val="TOC2"/>
            <w:rPr>
              <w:rFonts w:eastAsiaTheme="minorEastAsia"/>
              <w:noProof/>
              <w:kern w:val="2"/>
              <w14:ligatures w14:val="standardContextual"/>
            </w:rPr>
          </w:pPr>
          <w:hyperlink w:anchor="_Toc156728651" w:history="1">
            <w:r w:rsidR="0029080F" w:rsidRPr="002E5EAE">
              <w:rPr>
                <w:rStyle w:val="Hyperlink"/>
                <w:rFonts w:eastAsia="TimesNewRomanPSMT" w:cs="TimesNewRomanPSMT"/>
                <w:b/>
                <w:noProof/>
              </w:rPr>
              <w:t>Moving Similar Risks</w:t>
            </w:r>
            <w:r w:rsidR="0029080F">
              <w:rPr>
                <w:noProof/>
                <w:webHidden/>
              </w:rPr>
              <w:tab/>
            </w:r>
            <w:r w:rsidR="0029080F">
              <w:rPr>
                <w:noProof/>
                <w:webHidden/>
              </w:rPr>
              <w:fldChar w:fldCharType="begin"/>
            </w:r>
            <w:r w:rsidR="0029080F">
              <w:rPr>
                <w:noProof/>
                <w:webHidden/>
              </w:rPr>
              <w:instrText xml:space="preserve"> PAGEREF _Toc156728651 \h </w:instrText>
            </w:r>
            <w:r w:rsidR="0029080F">
              <w:rPr>
                <w:noProof/>
                <w:webHidden/>
              </w:rPr>
            </w:r>
            <w:r w:rsidR="0029080F">
              <w:rPr>
                <w:noProof/>
                <w:webHidden/>
              </w:rPr>
              <w:fldChar w:fldCharType="separate"/>
            </w:r>
            <w:r w:rsidR="00D17C1D">
              <w:rPr>
                <w:noProof/>
                <w:webHidden/>
              </w:rPr>
              <w:t>27</w:t>
            </w:r>
            <w:r w:rsidR="0029080F">
              <w:rPr>
                <w:noProof/>
                <w:webHidden/>
              </w:rPr>
              <w:fldChar w:fldCharType="end"/>
            </w:r>
          </w:hyperlink>
        </w:p>
        <w:p w14:paraId="3EC89F24" w14:textId="4BA2887B" w:rsidR="0029080F" w:rsidRDefault="00000000">
          <w:pPr>
            <w:pStyle w:val="TOC2"/>
            <w:rPr>
              <w:rFonts w:eastAsiaTheme="minorEastAsia"/>
              <w:noProof/>
              <w:kern w:val="2"/>
              <w14:ligatures w14:val="standardContextual"/>
            </w:rPr>
          </w:pPr>
          <w:hyperlink w:anchor="_Toc156728652" w:history="1">
            <w:r w:rsidR="0029080F" w:rsidRPr="002E5EAE">
              <w:rPr>
                <w:rStyle w:val="Hyperlink"/>
                <w:rFonts w:eastAsia="TimesNewRomanPSMT" w:cs="TimesNewRomanPSMT"/>
                <w:b/>
                <w:noProof/>
              </w:rPr>
              <w:t>Removing Unequal Risks</w:t>
            </w:r>
            <w:r w:rsidR="0029080F">
              <w:rPr>
                <w:noProof/>
                <w:webHidden/>
              </w:rPr>
              <w:tab/>
            </w:r>
            <w:r w:rsidR="0029080F">
              <w:rPr>
                <w:noProof/>
                <w:webHidden/>
              </w:rPr>
              <w:fldChar w:fldCharType="begin"/>
            </w:r>
            <w:r w:rsidR="0029080F">
              <w:rPr>
                <w:noProof/>
                <w:webHidden/>
              </w:rPr>
              <w:instrText xml:space="preserve"> PAGEREF _Toc156728652 \h </w:instrText>
            </w:r>
            <w:r w:rsidR="0029080F">
              <w:rPr>
                <w:noProof/>
                <w:webHidden/>
              </w:rPr>
            </w:r>
            <w:r w:rsidR="0029080F">
              <w:rPr>
                <w:noProof/>
                <w:webHidden/>
              </w:rPr>
              <w:fldChar w:fldCharType="separate"/>
            </w:r>
            <w:r w:rsidR="00D17C1D">
              <w:rPr>
                <w:noProof/>
                <w:webHidden/>
              </w:rPr>
              <w:t>31</w:t>
            </w:r>
            <w:r w:rsidR="0029080F">
              <w:rPr>
                <w:noProof/>
                <w:webHidden/>
              </w:rPr>
              <w:fldChar w:fldCharType="end"/>
            </w:r>
          </w:hyperlink>
        </w:p>
        <w:p w14:paraId="318DF7A7" w14:textId="5EBB5B1F" w:rsidR="0029080F" w:rsidRDefault="00000000">
          <w:pPr>
            <w:pStyle w:val="TOC3"/>
            <w:tabs>
              <w:tab w:val="right" w:leader="dot" w:pos="9350"/>
            </w:tabs>
            <w:rPr>
              <w:rFonts w:eastAsiaTheme="minorEastAsia"/>
              <w:noProof/>
              <w:kern w:val="2"/>
              <w14:ligatures w14:val="standardContextual"/>
            </w:rPr>
          </w:pPr>
          <w:hyperlink w:anchor="_Toc156728653" w:history="1">
            <w:r w:rsidR="0029080F" w:rsidRPr="002E5EAE">
              <w:rPr>
                <w:rStyle w:val="Hyperlink"/>
                <w:noProof/>
              </w:rPr>
              <w:t>Theory:</w:t>
            </w:r>
            <w:r w:rsidR="0029080F">
              <w:rPr>
                <w:noProof/>
                <w:webHidden/>
              </w:rPr>
              <w:tab/>
            </w:r>
            <w:r w:rsidR="0029080F">
              <w:rPr>
                <w:noProof/>
                <w:webHidden/>
              </w:rPr>
              <w:fldChar w:fldCharType="begin"/>
            </w:r>
            <w:r w:rsidR="0029080F">
              <w:rPr>
                <w:noProof/>
                <w:webHidden/>
              </w:rPr>
              <w:instrText xml:space="preserve"> PAGEREF _Toc156728653 \h </w:instrText>
            </w:r>
            <w:r w:rsidR="0029080F">
              <w:rPr>
                <w:noProof/>
                <w:webHidden/>
              </w:rPr>
            </w:r>
            <w:r w:rsidR="0029080F">
              <w:rPr>
                <w:noProof/>
                <w:webHidden/>
              </w:rPr>
              <w:fldChar w:fldCharType="separate"/>
            </w:r>
            <w:r w:rsidR="00D17C1D">
              <w:rPr>
                <w:noProof/>
                <w:webHidden/>
              </w:rPr>
              <w:t>31</w:t>
            </w:r>
            <w:r w:rsidR="0029080F">
              <w:rPr>
                <w:noProof/>
                <w:webHidden/>
              </w:rPr>
              <w:fldChar w:fldCharType="end"/>
            </w:r>
          </w:hyperlink>
        </w:p>
        <w:p w14:paraId="2E6297C3" w14:textId="6CD97EB2" w:rsidR="0029080F" w:rsidRDefault="00000000">
          <w:pPr>
            <w:pStyle w:val="TOC3"/>
            <w:tabs>
              <w:tab w:val="right" w:leader="dot" w:pos="9350"/>
            </w:tabs>
            <w:rPr>
              <w:rFonts w:eastAsiaTheme="minorEastAsia"/>
              <w:noProof/>
              <w:kern w:val="2"/>
              <w14:ligatures w14:val="standardContextual"/>
            </w:rPr>
          </w:pPr>
          <w:hyperlink w:anchor="_Toc156728654" w:history="1">
            <w:r w:rsidR="0029080F" w:rsidRPr="002E5EAE">
              <w:rPr>
                <w:rStyle w:val="Hyperlink"/>
                <w:noProof/>
              </w:rPr>
              <w:t>Practice:</w:t>
            </w:r>
            <w:r w:rsidR="0029080F">
              <w:rPr>
                <w:noProof/>
                <w:webHidden/>
              </w:rPr>
              <w:tab/>
            </w:r>
            <w:r w:rsidR="0029080F">
              <w:rPr>
                <w:noProof/>
                <w:webHidden/>
              </w:rPr>
              <w:fldChar w:fldCharType="begin"/>
            </w:r>
            <w:r w:rsidR="0029080F">
              <w:rPr>
                <w:noProof/>
                <w:webHidden/>
              </w:rPr>
              <w:instrText xml:space="preserve"> PAGEREF _Toc156728654 \h </w:instrText>
            </w:r>
            <w:r w:rsidR="0029080F">
              <w:rPr>
                <w:noProof/>
                <w:webHidden/>
              </w:rPr>
            </w:r>
            <w:r w:rsidR="0029080F">
              <w:rPr>
                <w:noProof/>
                <w:webHidden/>
              </w:rPr>
              <w:fldChar w:fldCharType="separate"/>
            </w:r>
            <w:r w:rsidR="00D17C1D">
              <w:rPr>
                <w:noProof/>
                <w:webHidden/>
              </w:rPr>
              <w:t>32</w:t>
            </w:r>
            <w:r w:rsidR="0029080F">
              <w:rPr>
                <w:noProof/>
                <w:webHidden/>
              </w:rPr>
              <w:fldChar w:fldCharType="end"/>
            </w:r>
          </w:hyperlink>
        </w:p>
        <w:p w14:paraId="1764E25E" w14:textId="52D9F991" w:rsidR="0029080F" w:rsidRDefault="00000000">
          <w:pPr>
            <w:pStyle w:val="TOC2"/>
            <w:rPr>
              <w:rFonts w:eastAsiaTheme="minorEastAsia"/>
              <w:noProof/>
              <w:kern w:val="2"/>
              <w14:ligatures w14:val="standardContextual"/>
            </w:rPr>
          </w:pPr>
          <w:hyperlink w:anchor="_Toc156728655" w:history="1">
            <w:r w:rsidR="0029080F" w:rsidRPr="002E5EAE">
              <w:rPr>
                <w:rStyle w:val="Hyperlink"/>
                <w:rFonts w:eastAsia="TimesNewRomanPSMT" w:cs="TimesNewRomanPSMT"/>
                <w:b/>
                <w:noProof/>
              </w:rPr>
              <w:t>Review and Document Equation 9 and its Simplification</w:t>
            </w:r>
            <w:r w:rsidR="0029080F">
              <w:rPr>
                <w:noProof/>
                <w:webHidden/>
              </w:rPr>
              <w:tab/>
            </w:r>
            <w:r w:rsidR="0029080F">
              <w:rPr>
                <w:noProof/>
                <w:webHidden/>
              </w:rPr>
              <w:fldChar w:fldCharType="begin"/>
            </w:r>
            <w:r w:rsidR="0029080F">
              <w:rPr>
                <w:noProof/>
                <w:webHidden/>
              </w:rPr>
              <w:instrText xml:space="preserve"> PAGEREF _Toc156728655 \h </w:instrText>
            </w:r>
            <w:r w:rsidR="0029080F">
              <w:rPr>
                <w:noProof/>
                <w:webHidden/>
              </w:rPr>
            </w:r>
            <w:r w:rsidR="0029080F">
              <w:rPr>
                <w:noProof/>
                <w:webHidden/>
              </w:rPr>
              <w:fldChar w:fldCharType="separate"/>
            </w:r>
            <w:r w:rsidR="00D17C1D">
              <w:rPr>
                <w:noProof/>
                <w:webHidden/>
              </w:rPr>
              <w:t>35</w:t>
            </w:r>
            <w:r w:rsidR="0029080F">
              <w:rPr>
                <w:noProof/>
                <w:webHidden/>
              </w:rPr>
              <w:fldChar w:fldCharType="end"/>
            </w:r>
          </w:hyperlink>
        </w:p>
        <w:p w14:paraId="144CF16A" w14:textId="3E4BF7C0" w:rsidR="0029080F" w:rsidRDefault="00000000">
          <w:pPr>
            <w:pStyle w:val="TOC1"/>
            <w:tabs>
              <w:tab w:val="right" w:leader="dot" w:pos="9350"/>
            </w:tabs>
            <w:rPr>
              <w:rFonts w:eastAsiaTheme="minorEastAsia"/>
              <w:noProof/>
              <w:kern w:val="2"/>
              <w14:ligatures w14:val="standardContextual"/>
            </w:rPr>
          </w:pPr>
          <w:hyperlink w:anchor="_Toc156728656" w:history="1">
            <w:r w:rsidR="0029080F" w:rsidRPr="002E5EAE">
              <w:rPr>
                <w:rStyle w:val="Hyperlink"/>
                <w:b/>
                <w:bCs/>
                <w:noProof/>
              </w:rPr>
              <w:t>Attachment B – Practical Examples of Benefit / Risk Analysis</w:t>
            </w:r>
            <w:r w:rsidR="0029080F">
              <w:rPr>
                <w:noProof/>
                <w:webHidden/>
              </w:rPr>
              <w:tab/>
            </w:r>
            <w:r w:rsidR="0029080F">
              <w:rPr>
                <w:noProof/>
                <w:webHidden/>
              </w:rPr>
              <w:fldChar w:fldCharType="begin"/>
            </w:r>
            <w:r w:rsidR="0029080F">
              <w:rPr>
                <w:noProof/>
                <w:webHidden/>
              </w:rPr>
              <w:instrText xml:space="preserve"> PAGEREF _Toc156728656 \h </w:instrText>
            </w:r>
            <w:r w:rsidR="0029080F">
              <w:rPr>
                <w:noProof/>
                <w:webHidden/>
              </w:rPr>
            </w:r>
            <w:r w:rsidR="0029080F">
              <w:rPr>
                <w:noProof/>
                <w:webHidden/>
              </w:rPr>
              <w:fldChar w:fldCharType="separate"/>
            </w:r>
            <w:r w:rsidR="00D17C1D">
              <w:rPr>
                <w:noProof/>
                <w:webHidden/>
              </w:rPr>
              <w:t>37</w:t>
            </w:r>
            <w:r w:rsidR="0029080F">
              <w:rPr>
                <w:noProof/>
                <w:webHidden/>
              </w:rPr>
              <w:fldChar w:fldCharType="end"/>
            </w:r>
          </w:hyperlink>
        </w:p>
        <w:p w14:paraId="66D62B00" w14:textId="6994928A" w:rsidR="0029080F" w:rsidRDefault="00000000">
          <w:pPr>
            <w:pStyle w:val="TOC2"/>
            <w:rPr>
              <w:rFonts w:eastAsiaTheme="minorEastAsia"/>
              <w:noProof/>
              <w:kern w:val="2"/>
              <w14:ligatures w14:val="standardContextual"/>
            </w:rPr>
          </w:pPr>
          <w:hyperlink w:anchor="_Toc156728657" w:history="1">
            <w:r w:rsidR="0029080F" w:rsidRPr="002E5EAE">
              <w:rPr>
                <w:rStyle w:val="Hyperlink"/>
                <w:rFonts w:eastAsia="TimesNewRomanPSMT" w:cs="TimesNewRomanPSMT"/>
                <w:b/>
                <w:noProof/>
              </w:rPr>
              <w:t>Overview</w:t>
            </w:r>
            <w:r w:rsidR="0029080F">
              <w:rPr>
                <w:noProof/>
                <w:webHidden/>
              </w:rPr>
              <w:tab/>
            </w:r>
            <w:r w:rsidR="0029080F">
              <w:rPr>
                <w:noProof/>
                <w:webHidden/>
              </w:rPr>
              <w:fldChar w:fldCharType="begin"/>
            </w:r>
            <w:r w:rsidR="0029080F">
              <w:rPr>
                <w:noProof/>
                <w:webHidden/>
              </w:rPr>
              <w:instrText xml:space="preserve"> PAGEREF _Toc156728657 \h </w:instrText>
            </w:r>
            <w:r w:rsidR="0029080F">
              <w:rPr>
                <w:noProof/>
                <w:webHidden/>
              </w:rPr>
            </w:r>
            <w:r w:rsidR="0029080F">
              <w:rPr>
                <w:noProof/>
                <w:webHidden/>
              </w:rPr>
              <w:fldChar w:fldCharType="separate"/>
            </w:r>
            <w:r w:rsidR="00D17C1D">
              <w:rPr>
                <w:noProof/>
                <w:webHidden/>
              </w:rPr>
              <w:t>37</w:t>
            </w:r>
            <w:r w:rsidR="0029080F">
              <w:rPr>
                <w:noProof/>
                <w:webHidden/>
              </w:rPr>
              <w:fldChar w:fldCharType="end"/>
            </w:r>
          </w:hyperlink>
        </w:p>
        <w:p w14:paraId="413C8162" w14:textId="4712C878" w:rsidR="0029080F" w:rsidRDefault="00000000">
          <w:pPr>
            <w:pStyle w:val="TOC2"/>
            <w:rPr>
              <w:rFonts w:eastAsiaTheme="minorEastAsia"/>
              <w:noProof/>
              <w:kern w:val="2"/>
              <w14:ligatures w14:val="standardContextual"/>
            </w:rPr>
          </w:pPr>
          <w:hyperlink w:anchor="_Toc156728658" w:history="1">
            <w:r w:rsidR="0029080F" w:rsidRPr="002E5EAE">
              <w:rPr>
                <w:rStyle w:val="Hyperlink"/>
                <w:rFonts w:eastAsia="TimesNewRomanPSMT" w:cs="TimesNewRomanPSMT"/>
                <w:b/>
                <w:noProof/>
              </w:rPr>
              <w:t>Application Steps</w:t>
            </w:r>
            <w:r w:rsidR="0029080F">
              <w:rPr>
                <w:noProof/>
                <w:webHidden/>
              </w:rPr>
              <w:tab/>
            </w:r>
            <w:r w:rsidR="0029080F">
              <w:rPr>
                <w:noProof/>
                <w:webHidden/>
              </w:rPr>
              <w:fldChar w:fldCharType="begin"/>
            </w:r>
            <w:r w:rsidR="0029080F">
              <w:rPr>
                <w:noProof/>
                <w:webHidden/>
              </w:rPr>
              <w:instrText xml:space="preserve"> PAGEREF _Toc156728658 \h </w:instrText>
            </w:r>
            <w:r w:rsidR="0029080F">
              <w:rPr>
                <w:noProof/>
                <w:webHidden/>
              </w:rPr>
            </w:r>
            <w:r w:rsidR="0029080F">
              <w:rPr>
                <w:noProof/>
                <w:webHidden/>
              </w:rPr>
              <w:fldChar w:fldCharType="separate"/>
            </w:r>
            <w:r w:rsidR="00D17C1D">
              <w:rPr>
                <w:noProof/>
                <w:webHidden/>
              </w:rPr>
              <w:t>37</w:t>
            </w:r>
            <w:r w:rsidR="0029080F">
              <w:rPr>
                <w:noProof/>
                <w:webHidden/>
              </w:rPr>
              <w:fldChar w:fldCharType="end"/>
            </w:r>
          </w:hyperlink>
        </w:p>
        <w:p w14:paraId="493C5309" w14:textId="20978E75" w:rsidR="0029080F" w:rsidRDefault="00000000">
          <w:pPr>
            <w:pStyle w:val="TOC2"/>
            <w:rPr>
              <w:rFonts w:eastAsiaTheme="minorEastAsia"/>
              <w:noProof/>
              <w:kern w:val="2"/>
              <w14:ligatures w14:val="standardContextual"/>
            </w:rPr>
          </w:pPr>
          <w:hyperlink w:anchor="_Toc156728659" w:history="1">
            <w:r w:rsidR="0029080F" w:rsidRPr="002E5EAE">
              <w:rPr>
                <w:rStyle w:val="Hyperlink"/>
                <w:rFonts w:eastAsia="TimesNewRomanPSMT" w:cs="TimesNewRomanPSMT"/>
                <w:b/>
                <w:noProof/>
              </w:rPr>
              <w:t>Example #1</w:t>
            </w:r>
            <w:r w:rsidR="0029080F">
              <w:rPr>
                <w:noProof/>
                <w:webHidden/>
              </w:rPr>
              <w:tab/>
            </w:r>
            <w:r w:rsidR="0029080F">
              <w:rPr>
                <w:noProof/>
                <w:webHidden/>
              </w:rPr>
              <w:fldChar w:fldCharType="begin"/>
            </w:r>
            <w:r w:rsidR="0029080F">
              <w:rPr>
                <w:noProof/>
                <w:webHidden/>
              </w:rPr>
              <w:instrText xml:space="preserve"> PAGEREF _Toc156728659 \h </w:instrText>
            </w:r>
            <w:r w:rsidR="0029080F">
              <w:rPr>
                <w:noProof/>
                <w:webHidden/>
              </w:rPr>
            </w:r>
            <w:r w:rsidR="0029080F">
              <w:rPr>
                <w:noProof/>
                <w:webHidden/>
              </w:rPr>
              <w:fldChar w:fldCharType="separate"/>
            </w:r>
            <w:r w:rsidR="00D17C1D">
              <w:rPr>
                <w:noProof/>
                <w:webHidden/>
              </w:rPr>
              <w:t>38</w:t>
            </w:r>
            <w:r w:rsidR="0029080F">
              <w:rPr>
                <w:noProof/>
                <w:webHidden/>
              </w:rPr>
              <w:fldChar w:fldCharType="end"/>
            </w:r>
          </w:hyperlink>
        </w:p>
        <w:p w14:paraId="2A4A5038" w14:textId="23E4E689" w:rsidR="0029080F" w:rsidRDefault="00000000">
          <w:pPr>
            <w:pStyle w:val="TOC3"/>
            <w:tabs>
              <w:tab w:val="left" w:pos="2014"/>
              <w:tab w:val="right" w:leader="dot" w:pos="9350"/>
            </w:tabs>
            <w:rPr>
              <w:rFonts w:eastAsiaTheme="minorEastAsia"/>
              <w:noProof/>
              <w:kern w:val="2"/>
              <w14:ligatures w14:val="standardContextual"/>
            </w:rPr>
          </w:pPr>
          <w:hyperlink w:anchor="_Toc156728660" w:history="1">
            <w:r w:rsidR="0029080F" w:rsidRPr="002E5EAE">
              <w:rPr>
                <w:rStyle w:val="Hyperlink"/>
                <w:noProof/>
              </w:rPr>
              <w:t>Step 1)</w:t>
            </w:r>
            <w:r w:rsidR="0029080F">
              <w:rPr>
                <w:rFonts w:eastAsiaTheme="minorEastAsia"/>
                <w:noProof/>
                <w:kern w:val="2"/>
                <w14:ligatures w14:val="standardContextual"/>
              </w:rPr>
              <w:tab/>
            </w:r>
            <w:r w:rsidR="0029080F" w:rsidRPr="002E5EAE">
              <w:rPr>
                <w:rStyle w:val="Hyperlink"/>
                <w:noProof/>
              </w:rPr>
              <w:t>Define the medical treatment and patient population</w:t>
            </w:r>
            <w:r w:rsidR="0029080F">
              <w:rPr>
                <w:noProof/>
                <w:webHidden/>
              </w:rPr>
              <w:tab/>
            </w:r>
            <w:r w:rsidR="0029080F">
              <w:rPr>
                <w:noProof/>
                <w:webHidden/>
              </w:rPr>
              <w:fldChar w:fldCharType="begin"/>
            </w:r>
            <w:r w:rsidR="0029080F">
              <w:rPr>
                <w:noProof/>
                <w:webHidden/>
              </w:rPr>
              <w:instrText xml:space="preserve"> PAGEREF _Toc156728660 \h </w:instrText>
            </w:r>
            <w:r w:rsidR="0029080F">
              <w:rPr>
                <w:noProof/>
                <w:webHidden/>
              </w:rPr>
            </w:r>
            <w:r w:rsidR="0029080F">
              <w:rPr>
                <w:noProof/>
                <w:webHidden/>
              </w:rPr>
              <w:fldChar w:fldCharType="separate"/>
            </w:r>
            <w:r w:rsidR="00D17C1D">
              <w:rPr>
                <w:noProof/>
                <w:webHidden/>
              </w:rPr>
              <w:t>38</w:t>
            </w:r>
            <w:r w:rsidR="0029080F">
              <w:rPr>
                <w:noProof/>
                <w:webHidden/>
              </w:rPr>
              <w:fldChar w:fldCharType="end"/>
            </w:r>
          </w:hyperlink>
        </w:p>
        <w:p w14:paraId="7FF446E9" w14:textId="23623E4B" w:rsidR="0029080F" w:rsidRDefault="00000000">
          <w:pPr>
            <w:pStyle w:val="TOC3"/>
            <w:tabs>
              <w:tab w:val="left" w:pos="2014"/>
              <w:tab w:val="right" w:leader="dot" w:pos="9350"/>
            </w:tabs>
            <w:rPr>
              <w:rFonts w:eastAsiaTheme="minorEastAsia"/>
              <w:noProof/>
              <w:kern w:val="2"/>
              <w14:ligatures w14:val="standardContextual"/>
            </w:rPr>
          </w:pPr>
          <w:hyperlink w:anchor="_Toc156728661" w:history="1">
            <w:r w:rsidR="0029080F" w:rsidRPr="002E5EAE">
              <w:rPr>
                <w:rStyle w:val="Hyperlink"/>
                <w:noProof/>
              </w:rPr>
              <w:t>Step 2)</w:t>
            </w:r>
            <w:r w:rsidR="0029080F">
              <w:rPr>
                <w:rFonts w:eastAsiaTheme="minorEastAsia"/>
                <w:noProof/>
                <w:kern w:val="2"/>
                <w14:ligatures w14:val="standardContextual"/>
              </w:rPr>
              <w:tab/>
            </w:r>
            <w:r w:rsidR="0029080F" w:rsidRPr="002E5EAE">
              <w:rPr>
                <w:rStyle w:val="Hyperlink"/>
                <w:noProof/>
              </w:rPr>
              <w:t>Identify the members of the cross-functional team</w:t>
            </w:r>
            <w:r w:rsidR="0029080F">
              <w:rPr>
                <w:noProof/>
                <w:webHidden/>
              </w:rPr>
              <w:tab/>
            </w:r>
            <w:r w:rsidR="0029080F">
              <w:rPr>
                <w:noProof/>
                <w:webHidden/>
              </w:rPr>
              <w:fldChar w:fldCharType="begin"/>
            </w:r>
            <w:r w:rsidR="0029080F">
              <w:rPr>
                <w:noProof/>
                <w:webHidden/>
              </w:rPr>
              <w:instrText xml:space="preserve"> PAGEREF _Toc156728661 \h </w:instrText>
            </w:r>
            <w:r w:rsidR="0029080F">
              <w:rPr>
                <w:noProof/>
                <w:webHidden/>
              </w:rPr>
            </w:r>
            <w:r w:rsidR="0029080F">
              <w:rPr>
                <w:noProof/>
                <w:webHidden/>
              </w:rPr>
              <w:fldChar w:fldCharType="separate"/>
            </w:r>
            <w:r w:rsidR="00D17C1D">
              <w:rPr>
                <w:noProof/>
                <w:webHidden/>
              </w:rPr>
              <w:t>38</w:t>
            </w:r>
            <w:r w:rsidR="0029080F">
              <w:rPr>
                <w:noProof/>
                <w:webHidden/>
              </w:rPr>
              <w:fldChar w:fldCharType="end"/>
            </w:r>
          </w:hyperlink>
        </w:p>
        <w:p w14:paraId="59515F4A" w14:textId="6A632582" w:rsidR="0029080F" w:rsidRDefault="00000000">
          <w:pPr>
            <w:pStyle w:val="TOC3"/>
            <w:tabs>
              <w:tab w:val="left" w:pos="2014"/>
              <w:tab w:val="right" w:leader="dot" w:pos="9350"/>
            </w:tabs>
            <w:rPr>
              <w:rFonts w:eastAsiaTheme="minorEastAsia"/>
              <w:noProof/>
              <w:kern w:val="2"/>
              <w14:ligatures w14:val="standardContextual"/>
            </w:rPr>
          </w:pPr>
          <w:hyperlink w:anchor="_Toc156728662" w:history="1">
            <w:r w:rsidR="0029080F" w:rsidRPr="002E5EAE">
              <w:rPr>
                <w:rStyle w:val="Hyperlink"/>
                <w:noProof/>
              </w:rPr>
              <w:t>Step 3)</w:t>
            </w:r>
            <w:r w:rsidR="0029080F">
              <w:rPr>
                <w:rFonts w:eastAsiaTheme="minorEastAsia"/>
                <w:noProof/>
                <w:kern w:val="2"/>
                <w14:ligatures w14:val="standardContextual"/>
              </w:rPr>
              <w:tab/>
            </w:r>
            <w:r w:rsidR="0029080F" w:rsidRPr="002E5EAE">
              <w:rPr>
                <w:rStyle w:val="Hyperlink"/>
                <w:noProof/>
              </w:rPr>
              <w:t xml:space="preserve">Identify the risks in </w:t>
            </w:r>
            <m:oMath>
              <m:r>
                <w:rPr>
                  <w:rStyle w:val="Hyperlink"/>
                  <w:rFonts w:ascii="Cambria Math" w:hAnsi="Cambria Math"/>
                  <w:noProof/>
                </w:rPr>
                <m:t>TableRB</m:t>
              </m:r>
            </m:oMath>
            <w:r w:rsidR="0029080F" w:rsidRPr="002E5EAE">
              <w:rPr>
                <w:rStyle w:val="Hyperlink"/>
                <w:noProof/>
              </w:rPr>
              <w:t xml:space="preserve">, </w:t>
            </w:r>
            <m:oMath>
              <m:r>
                <w:rPr>
                  <w:rStyle w:val="Hyperlink"/>
                  <w:rFonts w:ascii="Cambria Math" w:hAnsi="Cambria Math"/>
                  <w:noProof/>
                </w:rPr>
                <m:t>TableRA</m:t>
              </m:r>
            </m:oMath>
            <w:r w:rsidR="0029080F" w:rsidRPr="002E5EAE">
              <w:rPr>
                <w:rStyle w:val="Hyperlink"/>
                <w:noProof/>
              </w:rPr>
              <w:t xml:space="preserve">, and </w:t>
            </w:r>
            <m:oMath>
              <m:r>
                <w:rPr>
                  <w:rStyle w:val="Hyperlink"/>
                  <w:rFonts w:ascii="Cambria Math" w:hAnsi="Cambria Math"/>
                  <w:noProof/>
                </w:rPr>
                <m:t>TableR</m:t>
              </m:r>
            </m:oMath>
            <w:r w:rsidR="0029080F">
              <w:rPr>
                <w:noProof/>
                <w:webHidden/>
              </w:rPr>
              <w:tab/>
            </w:r>
            <w:r w:rsidR="0029080F">
              <w:rPr>
                <w:noProof/>
                <w:webHidden/>
              </w:rPr>
              <w:fldChar w:fldCharType="begin"/>
            </w:r>
            <w:r w:rsidR="0029080F">
              <w:rPr>
                <w:noProof/>
                <w:webHidden/>
              </w:rPr>
              <w:instrText xml:space="preserve"> PAGEREF _Toc156728662 \h </w:instrText>
            </w:r>
            <w:r w:rsidR="0029080F">
              <w:rPr>
                <w:noProof/>
                <w:webHidden/>
              </w:rPr>
            </w:r>
            <w:r w:rsidR="0029080F">
              <w:rPr>
                <w:noProof/>
                <w:webHidden/>
              </w:rPr>
              <w:fldChar w:fldCharType="separate"/>
            </w:r>
            <w:r w:rsidR="00D17C1D">
              <w:rPr>
                <w:noProof/>
                <w:webHidden/>
              </w:rPr>
              <w:t>38</w:t>
            </w:r>
            <w:r w:rsidR="0029080F">
              <w:rPr>
                <w:noProof/>
                <w:webHidden/>
              </w:rPr>
              <w:fldChar w:fldCharType="end"/>
            </w:r>
          </w:hyperlink>
        </w:p>
        <w:p w14:paraId="21C18375" w14:textId="430E3EDF" w:rsidR="0029080F" w:rsidRDefault="00000000">
          <w:pPr>
            <w:pStyle w:val="TOC3"/>
            <w:tabs>
              <w:tab w:val="left" w:pos="2014"/>
              <w:tab w:val="right" w:leader="dot" w:pos="9350"/>
            </w:tabs>
            <w:rPr>
              <w:rFonts w:eastAsiaTheme="minorEastAsia"/>
              <w:noProof/>
              <w:kern w:val="2"/>
              <w14:ligatures w14:val="standardContextual"/>
            </w:rPr>
          </w:pPr>
          <w:hyperlink w:anchor="_Toc156728663" w:history="1">
            <w:r w:rsidR="0029080F" w:rsidRPr="002E5EAE">
              <w:rPr>
                <w:rStyle w:val="Hyperlink"/>
                <w:noProof/>
              </w:rPr>
              <w:t>Step 4)</w:t>
            </w:r>
            <w:r w:rsidR="0029080F">
              <w:rPr>
                <w:rFonts w:eastAsiaTheme="minorEastAsia"/>
                <w:noProof/>
                <w:kern w:val="2"/>
                <w14:ligatures w14:val="standardContextual"/>
              </w:rPr>
              <w:tab/>
            </w:r>
            <w:r w:rsidR="0029080F" w:rsidRPr="002E5EAE">
              <w:rPr>
                <w:rStyle w:val="Hyperlink"/>
                <w:noProof/>
              </w:rPr>
              <w:t xml:space="preserve">Use the tables to calculate </w:t>
            </w:r>
            <m:oMath>
              <m:r>
                <w:rPr>
                  <w:rStyle w:val="Hyperlink"/>
                  <w:rFonts w:ascii="Cambria Math" w:hAnsi="Cambria Math" w:cstheme="minorHAnsi"/>
                  <w:noProof/>
                </w:rPr>
                <m:t>RA ⋃ R</m:t>
              </m:r>
            </m:oMath>
            <w:r w:rsidR="0029080F" w:rsidRPr="002E5EAE">
              <w:rPr>
                <w:rStyle w:val="Hyperlink"/>
                <w:rFonts w:cstheme="minorHAnsi"/>
                <w:noProof/>
              </w:rPr>
              <w:t xml:space="preserve"> and populate </w:t>
            </w:r>
            <w:r w:rsidR="0029080F" w:rsidRPr="002E5EAE">
              <w:rPr>
                <w:rStyle w:val="Hyperlink"/>
                <w:noProof/>
              </w:rPr>
              <w:t>Equation 9</w:t>
            </w:r>
            <w:r w:rsidR="0029080F">
              <w:rPr>
                <w:noProof/>
                <w:webHidden/>
              </w:rPr>
              <w:tab/>
            </w:r>
            <w:r w:rsidR="0029080F">
              <w:rPr>
                <w:noProof/>
                <w:webHidden/>
              </w:rPr>
              <w:fldChar w:fldCharType="begin"/>
            </w:r>
            <w:r w:rsidR="0029080F">
              <w:rPr>
                <w:noProof/>
                <w:webHidden/>
              </w:rPr>
              <w:instrText xml:space="preserve"> PAGEREF _Toc156728663 \h </w:instrText>
            </w:r>
            <w:r w:rsidR="0029080F">
              <w:rPr>
                <w:noProof/>
                <w:webHidden/>
              </w:rPr>
            </w:r>
            <w:r w:rsidR="0029080F">
              <w:rPr>
                <w:noProof/>
                <w:webHidden/>
              </w:rPr>
              <w:fldChar w:fldCharType="separate"/>
            </w:r>
            <w:r w:rsidR="00D17C1D">
              <w:rPr>
                <w:noProof/>
                <w:webHidden/>
              </w:rPr>
              <w:t>51</w:t>
            </w:r>
            <w:r w:rsidR="0029080F">
              <w:rPr>
                <w:noProof/>
                <w:webHidden/>
              </w:rPr>
              <w:fldChar w:fldCharType="end"/>
            </w:r>
          </w:hyperlink>
        </w:p>
        <w:p w14:paraId="17DCF6B9" w14:textId="0587768B" w:rsidR="0029080F" w:rsidRDefault="00000000">
          <w:pPr>
            <w:pStyle w:val="TOC3"/>
            <w:tabs>
              <w:tab w:val="left" w:pos="2014"/>
              <w:tab w:val="right" w:leader="dot" w:pos="9350"/>
            </w:tabs>
            <w:rPr>
              <w:rFonts w:eastAsiaTheme="minorEastAsia"/>
              <w:noProof/>
              <w:kern w:val="2"/>
              <w14:ligatures w14:val="standardContextual"/>
            </w:rPr>
          </w:pPr>
          <w:hyperlink w:anchor="_Toc156728664" w:history="1">
            <w:r w:rsidR="0029080F" w:rsidRPr="002E5EAE">
              <w:rPr>
                <w:rStyle w:val="Hyperlink"/>
                <w:noProof/>
              </w:rPr>
              <w:t>Step 5)</w:t>
            </w:r>
            <w:r w:rsidR="0029080F">
              <w:rPr>
                <w:rFonts w:eastAsiaTheme="minorEastAsia"/>
                <w:noProof/>
                <w:kern w:val="2"/>
                <w14:ligatures w14:val="standardContextual"/>
              </w:rPr>
              <w:tab/>
            </w:r>
            <w:r w:rsidR="0029080F" w:rsidRPr="002E5EAE">
              <w:rPr>
                <w:rStyle w:val="Hyperlink"/>
                <w:noProof/>
              </w:rPr>
              <w:t>Simplify Equation 9</w:t>
            </w:r>
            <w:r w:rsidR="0029080F" w:rsidRPr="002E5EAE">
              <w:rPr>
                <w:rStyle w:val="Hyperlink"/>
                <w:rFonts w:cstheme="minorHAnsi"/>
                <w:noProof/>
              </w:rPr>
              <w:t xml:space="preserve"> until it is clear whether benefit exceeds risk</w:t>
            </w:r>
            <w:r w:rsidR="0029080F">
              <w:rPr>
                <w:noProof/>
                <w:webHidden/>
              </w:rPr>
              <w:tab/>
            </w:r>
            <w:r w:rsidR="0029080F">
              <w:rPr>
                <w:noProof/>
                <w:webHidden/>
              </w:rPr>
              <w:fldChar w:fldCharType="begin"/>
            </w:r>
            <w:r w:rsidR="0029080F">
              <w:rPr>
                <w:noProof/>
                <w:webHidden/>
              </w:rPr>
              <w:instrText xml:space="preserve"> PAGEREF _Toc156728664 \h </w:instrText>
            </w:r>
            <w:r w:rsidR="0029080F">
              <w:rPr>
                <w:noProof/>
                <w:webHidden/>
              </w:rPr>
            </w:r>
            <w:r w:rsidR="0029080F">
              <w:rPr>
                <w:noProof/>
                <w:webHidden/>
              </w:rPr>
              <w:fldChar w:fldCharType="separate"/>
            </w:r>
            <w:r w:rsidR="00D17C1D">
              <w:rPr>
                <w:noProof/>
                <w:webHidden/>
              </w:rPr>
              <w:t>52</w:t>
            </w:r>
            <w:r w:rsidR="0029080F">
              <w:rPr>
                <w:noProof/>
                <w:webHidden/>
              </w:rPr>
              <w:fldChar w:fldCharType="end"/>
            </w:r>
          </w:hyperlink>
        </w:p>
        <w:p w14:paraId="12F1DB2C" w14:textId="60179DD9" w:rsidR="0029080F" w:rsidRDefault="00000000">
          <w:pPr>
            <w:pStyle w:val="TOC3"/>
            <w:tabs>
              <w:tab w:val="left" w:pos="2014"/>
              <w:tab w:val="right" w:leader="dot" w:pos="9350"/>
            </w:tabs>
            <w:rPr>
              <w:rFonts w:eastAsiaTheme="minorEastAsia"/>
              <w:noProof/>
              <w:kern w:val="2"/>
              <w14:ligatures w14:val="standardContextual"/>
            </w:rPr>
          </w:pPr>
          <w:hyperlink w:anchor="_Toc156728665" w:history="1">
            <w:r w:rsidR="0029080F" w:rsidRPr="002E5EAE">
              <w:rPr>
                <w:rStyle w:val="Hyperlink"/>
                <w:rFonts w:cstheme="minorHAnsi"/>
                <w:noProof/>
              </w:rPr>
              <w:t>Step 6)</w:t>
            </w:r>
            <w:r w:rsidR="0029080F">
              <w:rPr>
                <w:rFonts w:eastAsiaTheme="minorEastAsia"/>
                <w:noProof/>
                <w:kern w:val="2"/>
                <w14:ligatures w14:val="standardContextual"/>
              </w:rPr>
              <w:tab/>
            </w:r>
            <w:r w:rsidR="0029080F" w:rsidRPr="002E5EAE">
              <w:rPr>
                <w:rStyle w:val="Hyperlink"/>
                <w:rFonts w:cstheme="minorHAnsi"/>
                <w:noProof/>
              </w:rPr>
              <w:t>Document the cross-functional team’s concurrence</w:t>
            </w:r>
            <w:r w:rsidR="0029080F">
              <w:rPr>
                <w:noProof/>
                <w:webHidden/>
              </w:rPr>
              <w:tab/>
            </w:r>
            <w:r w:rsidR="0029080F">
              <w:rPr>
                <w:noProof/>
                <w:webHidden/>
              </w:rPr>
              <w:fldChar w:fldCharType="begin"/>
            </w:r>
            <w:r w:rsidR="0029080F">
              <w:rPr>
                <w:noProof/>
                <w:webHidden/>
              </w:rPr>
              <w:instrText xml:space="preserve"> PAGEREF _Toc156728665 \h </w:instrText>
            </w:r>
            <w:r w:rsidR="0029080F">
              <w:rPr>
                <w:noProof/>
                <w:webHidden/>
              </w:rPr>
            </w:r>
            <w:r w:rsidR="0029080F">
              <w:rPr>
                <w:noProof/>
                <w:webHidden/>
              </w:rPr>
              <w:fldChar w:fldCharType="separate"/>
            </w:r>
            <w:r w:rsidR="00D17C1D">
              <w:rPr>
                <w:noProof/>
                <w:webHidden/>
              </w:rPr>
              <w:t>60</w:t>
            </w:r>
            <w:r w:rsidR="0029080F">
              <w:rPr>
                <w:noProof/>
                <w:webHidden/>
              </w:rPr>
              <w:fldChar w:fldCharType="end"/>
            </w:r>
          </w:hyperlink>
        </w:p>
        <w:p w14:paraId="6371D0CB" w14:textId="2279F311" w:rsidR="0029080F" w:rsidRDefault="00000000">
          <w:pPr>
            <w:pStyle w:val="TOC2"/>
            <w:rPr>
              <w:rFonts w:eastAsiaTheme="minorEastAsia"/>
              <w:noProof/>
              <w:kern w:val="2"/>
              <w14:ligatures w14:val="standardContextual"/>
            </w:rPr>
          </w:pPr>
          <w:hyperlink w:anchor="_Toc156728666" w:history="1">
            <w:r w:rsidR="0029080F" w:rsidRPr="002E5EAE">
              <w:rPr>
                <w:rStyle w:val="Hyperlink"/>
                <w:rFonts w:eastAsia="TimesNewRomanPSMT" w:cs="TimesNewRomanPSMT"/>
                <w:b/>
                <w:noProof/>
              </w:rPr>
              <w:t>Example #2</w:t>
            </w:r>
            <w:r w:rsidR="0029080F">
              <w:rPr>
                <w:noProof/>
                <w:webHidden/>
              </w:rPr>
              <w:tab/>
            </w:r>
            <w:r w:rsidR="0029080F">
              <w:rPr>
                <w:noProof/>
                <w:webHidden/>
              </w:rPr>
              <w:fldChar w:fldCharType="begin"/>
            </w:r>
            <w:r w:rsidR="0029080F">
              <w:rPr>
                <w:noProof/>
                <w:webHidden/>
              </w:rPr>
              <w:instrText xml:space="preserve"> PAGEREF _Toc156728666 \h </w:instrText>
            </w:r>
            <w:r w:rsidR="0029080F">
              <w:rPr>
                <w:noProof/>
                <w:webHidden/>
              </w:rPr>
            </w:r>
            <w:r w:rsidR="0029080F">
              <w:rPr>
                <w:noProof/>
                <w:webHidden/>
              </w:rPr>
              <w:fldChar w:fldCharType="separate"/>
            </w:r>
            <w:r w:rsidR="00D17C1D">
              <w:rPr>
                <w:noProof/>
                <w:webHidden/>
              </w:rPr>
              <w:t>61</w:t>
            </w:r>
            <w:r w:rsidR="0029080F">
              <w:rPr>
                <w:noProof/>
                <w:webHidden/>
              </w:rPr>
              <w:fldChar w:fldCharType="end"/>
            </w:r>
          </w:hyperlink>
        </w:p>
        <w:p w14:paraId="2063E339" w14:textId="2FAFF3C2" w:rsidR="0029080F" w:rsidRDefault="00000000">
          <w:pPr>
            <w:pStyle w:val="TOC3"/>
            <w:tabs>
              <w:tab w:val="left" w:pos="2014"/>
              <w:tab w:val="right" w:leader="dot" w:pos="9350"/>
            </w:tabs>
            <w:rPr>
              <w:rFonts w:eastAsiaTheme="minorEastAsia"/>
              <w:noProof/>
              <w:kern w:val="2"/>
              <w14:ligatures w14:val="standardContextual"/>
            </w:rPr>
          </w:pPr>
          <w:hyperlink w:anchor="_Toc156728667" w:history="1">
            <w:r w:rsidR="0029080F" w:rsidRPr="002E5EAE">
              <w:rPr>
                <w:rStyle w:val="Hyperlink"/>
                <w:noProof/>
              </w:rPr>
              <w:t>Step 1)</w:t>
            </w:r>
            <w:r w:rsidR="0029080F">
              <w:rPr>
                <w:rFonts w:eastAsiaTheme="minorEastAsia"/>
                <w:noProof/>
                <w:kern w:val="2"/>
                <w14:ligatures w14:val="standardContextual"/>
              </w:rPr>
              <w:tab/>
            </w:r>
            <w:r w:rsidR="0029080F" w:rsidRPr="002E5EAE">
              <w:rPr>
                <w:rStyle w:val="Hyperlink"/>
                <w:noProof/>
              </w:rPr>
              <w:t>Define the medical treatment and patient population</w:t>
            </w:r>
            <w:r w:rsidR="0029080F">
              <w:rPr>
                <w:noProof/>
                <w:webHidden/>
              </w:rPr>
              <w:tab/>
            </w:r>
            <w:r w:rsidR="0029080F">
              <w:rPr>
                <w:noProof/>
                <w:webHidden/>
              </w:rPr>
              <w:fldChar w:fldCharType="begin"/>
            </w:r>
            <w:r w:rsidR="0029080F">
              <w:rPr>
                <w:noProof/>
                <w:webHidden/>
              </w:rPr>
              <w:instrText xml:space="preserve"> PAGEREF _Toc156728667 \h </w:instrText>
            </w:r>
            <w:r w:rsidR="0029080F">
              <w:rPr>
                <w:noProof/>
                <w:webHidden/>
              </w:rPr>
            </w:r>
            <w:r w:rsidR="0029080F">
              <w:rPr>
                <w:noProof/>
                <w:webHidden/>
              </w:rPr>
              <w:fldChar w:fldCharType="separate"/>
            </w:r>
            <w:r w:rsidR="00D17C1D">
              <w:rPr>
                <w:noProof/>
                <w:webHidden/>
              </w:rPr>
              <w:t>61</w:t>
            </w:r>
            <w:r w:rsidR="0029080F">
              <w:rPr>
                <w:noProof/>
                <w:webHidden/>
              </w:rPr>
              <w:fldChar w:fldCharType="end"/>
            </w:r>
          </w:hyperlink>
        </w:p>
        <w:p w14:paraId="3310D5A1" w14:textId="20B6E21F" w:rsidR="0029080F" w:rsidRDefault="00000000">
          <w:pPr>
            <w:pStyle w:val="TOC3"/>
            <w:tabs>
              <w:tab w:val="left" w:pos="2014"/>
              <w:tab w:val="right" w:leader="dot" w:pos="9350"/>
            </w:tabs>
            <w:rPr>
              <w:rFonts w:eastAsiaTheme="minorEastAsia"/>
              <w:noProof/>
              <w:kern w:val="2"/>
              <w14:ligatures w14:val="standardContextual"/>
            </w:rPr>
          </w:pPr>
          <w:hyperlink w:anchor="_Toc156728668" w:history="1">
            <w:r w:rsidR="0029080F" w:rsidRPr="002E5EAE">
              <w:rPr>
                <w:rStyle w:val="Hyperlink"/>
                <w:noProof/>
              </w:rPr>
              <w:t>Step 2)</w:t>
            </w:r>
            <w:r w:rsidR="0029080F">
              <w:rPr>
                <w:rFonts w:eastAsiaTheme="minorEastAsia"/>
                <w:noProof/>
                <w:kern w:val="2"/>
                <w14:ligatures w14:val="standardContextual"/>
              </w:rPr>
              <w:tab/>
            </w:r>
            <w:r w:rsidR="0029080F" w:rsidRPr="002E5EAE">
              <w:rPr>
                <w:rStyle w:val="Hyperlink"/>
                <w:noProof/>
              </w:rPr>
              <w:t>Identify the cross-functional team that will perform the Benefit-Risk analysis</w:t>
            </w:r>
            <w:r w:rsidR="0029080F">
              <w:rPr>
                <w:noProof/>
                <w:webHidden/>
              </w:rPr>
              <w:tab/>
            </w:r>
            <w:r w:rsidR="0029080F">
              <w:rPr>
                <w:noProof/>
                <w:webHidden/>
              </w:rPr>
              <w:fldChar w:fldCharType="begin"/>
            </w:r>
            <w:r w:rsidR="0029080F">
              <w:rPr>
                <w:noProof/>
                <w:webHidden/>
              </w:rPr>
              <w:instrText xml:space="preserve"> PAGEREF _Toc156728668 \h </w:instrText>
            </w:r>
            <w:r w:rsidR="0029080F">
              <w:rPr>
                <w:noProof/>
                <w:webHidden/>
              </w:rPr>
            </w:r>
            <w:r w:rsidR="0029080F">
              <w:rPr>
                <w:noProof/>
                <w:webHidden/>
              </w:rPr>
              <w:fldChar w:fldCharType="separate"/>
            </w:r>
            <w:r w:rsidR="00D17C1D">
              <w:rPr>
                <w:noProof/>
                <w:webHidden/>
              </w:rPr>
              <w:t>61</w:t>
            </w:r>
            <w:r w:rsidR="0029080F">
              <w:rPr>
                <w:noProof/>
                <w:webHidden/>
              </w:rPr>
              <w:fldChar w:fldCharType="end"/>
            </w:r>
          </w:hyperlink>
        </w:p>
        <w:p w14:paraId="27E045C0" w14:textId="5133E6F8" w:rsidR="0029080F" w:rsidRDefault="00000000">
          <w:pPr>
            <w:pStyle w:val="TOC3"/>
            <w:tabs>
              <w:tab w:val="left" w:pos="2014"/>
              <w:tab w:val="right" w:leader="dot" w:pos="9350"/>
            </w:tabs>
            <w:rPr>
              <w:rFonts w:eastAsiaTheme="minorEastAsia"/>
              <w:noProof/>
              <w:kern w:val="2"/>
              <w14:ligatures w14:val="standardContextual"/>
            </w:rPr>
          </w:pPr>
          <w:hyperlink w:anchor="_Toc156728669" w:history="1">
            <w:r w:rsidR="0029080F" w:rsidRPr="002E5EAE">
              <w:rPr>
                <w:rStyle w:val="Hyperlink"/>
                <w:noProof/>
              </w:rPr>
              <w:t>Step 3)</w:t>
            </w:r>
            <w:r w:rsidR="0029080F">
              <w:rPr>
                <w:rFonts w:eastAsiaTheme="minorEastAsia"/>
                <w:noProof/>
                <w:kern w:val="2"/>
                <w14:ligatures w14:val="standardContextual"/>
              </w:rPr>
              <w:tab/>
            </w:r>
            <w:r w:rsidR="0029080F" w:rsidRPr="002E5EAE">
              <w:rPr>
                <w:rStyle w:val="Hyperlink"/>
                <w:noProof/>
              </w:rPr>
              <w:t xml:space="preserve">Identify the risks in </w:t>
            </w:r>
            <m:oMath>
              <m:r>
                <w:rPr>
                  <w:rStyle w:val="Hyperlink"/>
                  <w:rFonts w:ascii="Cambria Math" w:hAnsi="Cambria Math"/>
                  <w:noProof/>
                </w:rPr>
                <m:t>TableRB</m:t>
              </m:r>
            </m:oMath>
            <w:r w:rsidR="0029080F" w:rsidRPr="002E5EAE">
              <w:rPr>
                <w:rStyle w:val="Hyperlink"/>
                <w:noProof/>
              </w:rPr>
              <w:t xml:space="preserve">, </w:t>
            </w:r>
            <m:oMath>
              <m:r>
                <w:rPr>
                  <w:rStyle w:val="Hyperlink"/>
                  <w:rFonts w:ascii="Cambria Math" w:hAnsi="Cambria Math"/>
                  <w:noProof/>
                </w:rPr>
                <m:t>TableRA</m:t>
              </m:r>
            </m:oMath>
            <w:r w:rsidR="0029080F" w:rsidRPr="002E5EAE">
              <w:rPr>
                <w:rStyle w:val="Hyperlink"/>
                <w:noProof/>
              </w:rPr>
              <w:t xml:space="preserve">, and </w:t>
            </w:r>
            <m:oMath>
              <m:r>
                <w:rPr>
                  <w:rStyle w:val="Hyperlink"/>
                  <w:rFonts w:ascii="Cambria Math" w:hAnsi="Cambria Math"/>
                  <w:noProof/>
                </w:rPr>
                <m:t>TableR</m:t>
              </m:r>
            </m:oMath>
            <w:r w:rsidR="0029080F">
              <w:rPr>
                <w:noProof/>
                <w:webHidden/>
              </w:rPr>
              <w:tab/>
            </w:r>
            <w:r w:rsidR="0029080F">
              <w:rPr>
                <w:noProof/>
                <w:webHidden/>
              </w:rPr>
              <w:fldChar w:fldCharType="begin"/>
            </w:r>
            <w:r w:rsidR="0029080F">
              <w:rPr>
                <w:noProof/>
                <w:webHidden/>
              </w:rPr>
              <w:instrText xml:space="preserve"> PAGEREF _Toc156728669 \h </w:instrText>
            </w:r>
            <w:r w:rsidR="0029080F">
              <w:rPr>
                <w:noProof/>
                <w:webHidden/>
              </w:rPr>
            </w:r>
            <w:r w:rsidR="0029080F">
              <w:rPr>
                <w:noProof/>
                <w:webHidden/>
              </w:rPr>
              <w:fldChar w:fldCharType="separate"/>
            </w:r>
            <w:r w:rsidR="00D17C1D">
              <w:rPr>
                <w:noProof/>
                <w:webHidden/>
              </w:rPr>
              <w:t>61</w:t>
            </w:r>
            <w:r w:rsidR="0029080F">
              <w:rPr>
                <w:noProof/>
                <w:webHidden/>
              </w:rPr>
              <w:fldChar w:fldCharType="end"/>
            </w:r>
          </w:hyperlink>
        </w:p>
        <w:p w14:paraId="61E09C6E" w14:textId="39A9D3C2" w:rsidR="0029080F" w:rsidRDefault="00000000">
          <w:pPr>
            <w:pStyle w:val="TOC3"/>
            <w:tabs>
              <w:tab w:val="left" w:pos="2014"/>
              <w:tab w:val="right" w:leader="dot" w:pos="9350"/>
            </w:tabs>
            <w:rPr>
              <w:rFonts w:eastAsiaTheme="minorEastAsia"/>
              <w:noProof/>
              <w:kern w:val="2"/>
              <w14:ligatures w14:val="standardContextual"/>
            </w:rPr>
          </w:pPr>
          <w:hyperlink w:anchor="_Toc156728670" w:history="1">
            <w:r w:rsidR="0029080F" w:rsidRPr="002E5EAE">
              <w:rPr>
                <w:rStyle w:val="Hyperlink"/>
                <w:rFonts w:cstheme="minorHAnsi"/>
                <w:noProof/>
              </w:rPr>
              <w:t>Step 4)</w:t>
            </w:r>
            <w:r w:rsidR="0029080F">
              <w:rPr>
                <w:rFonts w:eastAsiaTheme="minorEastAsia"/>
                <w:noProof/>
                <w:kern w:val="2"/>
                <w14:ligatures w14:val="standardContextual"/>
              </w:rPr>
              <w:tab/>
            </w:r>
            <w:r w:rsidR="0029080F" w:rsidRPr="002E5EAE">
              <w:rPr>
                <w:rStyle w:val="Hyperlink"/>
                <w:noProof/>
              </w:rPr>
              <w:t xml:space="preserve">Use the tables to calculate </w:t>
            </w:r>
            <m:oMath>
              <m:r>
                <w:rPr>
                  <w:rStyle w:val="Hyperlink"/>
                  <w:rFonts w:ascii="Cambria Math" w:hAnsi="Cambria Math" w:cstheme="minorHAnsi"/>
                  <w:noProof/>
                </w:rPr>
                <m:t>RA ⋃ R</m:t>
              </m:r>
            </m:oMath>
            <w:r w:rsidR="0029080F" w:rsidRPr="002E5EAE">
              <w:rPr>
                <w:rStyle w:val="Hyperlink"/>
                <w:rFonts w:cstheme="minorHAnsi"/>
                <w:noProof/>
              </w:rPr>
              <w:t xml:space="preserve"> and populate </w:t>
            </w:r>
            <w:r w:rsidR="0029080F" w:rsidRPr="002E5EAE">
              <w:rPr>
                <w:rStyle w:val="Hyperlink"/>
                <w:noProof/>
              </w:rPr>
              <w:t>Equation 9</w:t>
            </w:r>
            <w:r w:rsidR="0029080F">
              <w:rPr>
                <w:noProof/>
                <w:webHidden/>
              </w:rPr>
              <w:tab/>
            </w:r>
            <w:r w:rsidR="0029080F">
              <w:rPr>
                <w:noProof/>
                <w:webHidden/>
              </w:rPr>
              <w:fldChar w:fldCharType="begin"/>
            </w:r>
            <w:r w:rsidR="0029080F">
              <w:rPr>
                <w:noProof/>
                <w:webHidden/>
              </w:rPr>
              <w:instrText xml:space="preserve"> PAGEREF _Toc156728670 \h </w:instrText>
            </w:r>
            <w:r w:rsidR="0029080F">
              <w:rPr>
                <w:noProof/>
                <w:webHidden/>
              </w:rPr>
            </w:r>
            <w:r w:rsidR="0029080F">
              <w:rPr>
                <w:noProof/>
                <w:webHidden/>
              </w:rPr>
              <w:fldChar w:fldCharType="separate"/>
            </w:r>
            <w:r w:rsidR="00D17C1D">
              <w:rPr>
                <w:noProof/>
                <w:webHidden/>
              </w:rPr>
              <w:t>74</w:t>
            </w:r>
            <w:r w:rsidR="0029080F">
              <w:rPr>
                <w:noProof/>
                <w:webHidden/>
              </w:rPr>
              <w:fldChar w:fldCharType="end"/>
            </w:r>
          </w:hyperlink>
        </w:p>
        <w:p w14:paraId="00DE2552" w14:textId="766A848C" w:rsidR="0029080F" w:rsidRDefault="00000000">
          <w:pPr>
            <w:pStyle w:val="TOC3"/>
            <w:tabs>
              <w:tab w:val="left" w:pos="2014"/>
              <w:tab w:val="right" w:leader="dot" w:pos="9350"/>
            </w:tabs>
            <w:rPr>
              <w:rFonts w:eastAsiaTheme="minorEastAsia"/>
              <w:noProof/>
              <w:kern w:val="2"/>
              <w14:ligatures w14:val="standardContextual"/>
            </w:rPr>
          </w:pPr>
          <w:hyperlink w:anchor="_Toc156728671" w:history="1">
            <w:r w:rsidR="0029080F" w:rsidRPr="002E5EAE">
              <w:rPr>
                <w:rStyle w:val="Hyperlink"/>
                <w:noProof/>
              </w:rPr>
              <w:t>Step 5)</w:t>
            </w:r>
            <w:r w:rsidR="0029080F">
              <w:rPr>
                <w:rFonts w:eastAsiaTheme="minorEastAsia"/>
                <w:noProof/>
                <w:kern w:val="2"/>
                <w14:ligatures w14:val="standardContextual"/>
              </w:rPr>
              <w:tab/>
            </w:r>
            <w:r w:rsidR="0029080F" w:rsidRPr="002E5EAE">
              <w:rPr>
                <w:rStyle w:val="Hyperlink"/>
                <w:noProof/>
              </w:rPr>
              <w:t>Simplify Equation 9</w:t>
            </w:r>
            <w:r w:rsidR="0029080F" w:rsidRPr="002E5EAE">
              <w:rPr>
                <w:rStyle w:val="Hyperlink"/>
                <w:rFonts w:cstheme="minorHAnsi"/>
                <w:noProof/>
              </w:rPr>
              <w:t xml:space="preserve"> until it is clear whether benefit exceeds risk</w:t>
            </w:r>
            <w:r w:rsidR="0029080F">
              <w:rPr>
                <w:noProof/>
                <w:webHidden/>
              </w:rPr>
              <w:tab/>
            </w:r>
            <w:r w:rsidR="0029080F">
              <w:rPr>
                <w:noProof/>
                <w:webHidden/>
              </w:rPr>
              <w:fldChar w:fldCharType="begin"/>
            </w:r>
            <w:r w:rsidR="0029080F">
              <w:rPr>
                <w:noProof/>
                <w:webHidden/>
              </w:rPr>
              <w:instrText xml:space="preserve"> PAGEREF _Toc156728671 \h </w:instrText>
            </w:r>
            <w:r w:rsidR="0029080F">
              <w:rPr>
                <w:noProof/>
                <w:webHidden/>
              </w:rPr>
            </w:r>
            <w:r w:rsidR="0029080F">
              <w:rPr>
                <w:noProof/>
                <w:webHidden/>
              </w:rPr>
              <w:fldChar w:fldCharType="separate"/>
            </w:r>
            <w:r w:rsidR="00D17C1D">
              <w:rPr>
                <w:noProof/>
                <w:webHidden/>
              </w:rPr>
              <w:t>75</w:t>
            </w:r>
            <w:r w:rsidR="0029080F">
              <w:rPr>
                <w:noProof/>
                <w:webHidden/>
              </w:rPr>
              <w:fldChar w:fldCharType="end"/>
            </w:r>
          </w:hyperlink>
        </w:p>
        <w:p w14:paraId="654A69D8" w14:textId="3F5F2BCF" w:rsidR="0029080F" w:rsidRDefault="00000000">
          <w:pPr>
            <w:pStyle w:val="TOC3"/>
            <w:tabs>
              <w:tab w:val="left" w:pos="2014"/>
              <w:tab w:val="right" w:leader="dot" w:pos="9350"/>
            </w:tabs>
            <w:rPr>
              <w:rFonts w:eastAsiaTheme="minorEastAsia"/>
              <w:noProof/>
              <w:kern w:val="2"/>
              <w14:ligatures w14:val="standardContextual"/>
            </w:rPr>
          </w:pPr>
          <w:hyperlink w:anchor="_Toc156728672" w:history="1">
            <w:r w:rsidR="0029080F" w:rsidRPr="002E5EAE">
              <w:rPr>
                <w:rStyle w:val="Hyperlink"/>
                <w:rFonts w:cstheme="minorHAnsi"/>
                <w:noProof/>
              </w:rPr>
              <w:t>Step 6)</w:t>
            </w:r>
            <w:r w:rsidR="0029080F">
              <w:rPr>
                <w:rFonts w:eastAsiaTheme="minorEastAsia"/>
                <w:noProof/>
                <w:kern w:val="2"/>
                <w14:ligatures w14:val="standardContextual"/>
              </w:rPr>
              <w:tab/>
            </w:r>
            <w:r w:rsidR="0029080F" w:rsidRPr="002E5EAE">
              <w:rPr>
                <w:rStyle w:val="Hyperlink"/>
                <w:rFonts w:cstheme="minorHAnsi"/>
                <w:noProof/>
              </w:rPr>
              <w:t>Document the cross-functional team’s concurrence</w:t>
            </w:r>
            <w:r w:rsidR="0029080F">
              <w:rPr>
                <w:noProof/>
                <w:webHidden/>
              </w:rPr>
              <w:tab/>
            </w:r>
            <w:r w:rsidR="0029080F">
              <w:rPr>
                <w:noProof/>
                <w:webHidden/>
              </w:rPr>
              <w:fldChar w:fldCharType="begin"/>
            </w:r>
            <w:r w:rsidR="0029080F">
              <w:rPr>
                <w:noProof/>
                <w:webHidden/>
              </w:rPr>
              <w:instrText xml:space="preserve"> PAGEREF _Toc156728672 \h </w:instrText>
            </w:r>
            <w:r w:rsidR="0029080F">
              <w:rPr>
                <w:noProof/>
                <w:webHidden/>
              </w:rPr>
            </w:r>
            <w:r w:rsidR="0029080F">
              <w:rPr>
                <w:noProof/>
                <w:webHidden/>
              </w:rPr>
              <w:fldChar w:fldCharType="separate"/>
            </w:r>
            <w:r w:rsidR="00D17C1D">
              <w:rPr>
                <w:noProof/>
                <w:webHidden/>
              </w:rPr>
              <w:t>78</w:t>
            </w:r>
            <w:r w:rsidR="0029080F">
              <w:rPr>
                <w:noProof/>
                <w:webHidden/>
              </w:rPr>
              <w:fldChar w:fldCharType="end"/>
            </w:r>
          </w:hyperlink>
        </w:p>
        <w:p w14:paraId="72CB6001" w14:textId="1E9386A1" w:rsidR="0029080F" w:rsidRDefault="00000000">
          <w:pPr>
            <w:pStyle w:val="TOC1"/>
            <w:tabs>
              <w:tab w:val="right" w:leader="dot" w:pos="9350"/>
            </w:tabs>
            <w:rPr>
              <w:rFonts w:eastAsiaTheme="minorEastAsia"/>
              <w:noProof/>
              <w:kern w:val="2"/>
              <w14:ligatures w14:val="standardContextual"/>
            </w:rPr>
          </w:pPr>
          <w:hyperlink w:anchor="_Toc156728673" w:history="1">
            <w:r w:rsidR="0029080F" w:rsidRPr="002E5EAE">
              <w:rPr>
                <w:rStyle w:val="Hyperlink"/>
                <w:b/>
                <w:bCs/>
                <w:noProof/>
              </w:rPr>
              <w:t>Attachment C - Applications of the Method</w:t>
            </w:r>
            <w:r w:rsidR="0029080F">
              <w:rPr>
                <w:noProof/>
                <w:webHidden/>
              </w:rPr>
              <w:tab/>
            </w:r>
            <w:r w:rsidR="0029080F">
              <w:rPr>
                <w:noProof/>
                <w:webHidden/>
              </w:rPr>
              <w:fldChar w:fldCharType="begin"/>
            </w:r>
            <w:r w:rsidR="0029080F">
              <w:rPr>
                <w:noProof/>
                <w:webHidden/>
              </w:rPr>
              <w:instrText xml:space="preserve"> PAGEREF _Toc156728673 \h </w:instrText>
            </w:r>
            <w:r w:rsidR="0029080F">
              <w:rPr>
                <w:noProof/>
                <w:webHidden/>
              </w:rPr>
            </w:r>
            <w:r w:rsidR="0029080F">
              <w:rPr>
                <w:noProof/>
                <w:webHidden/>
              </w:rPr>
              <w:fldChar w:fldCharType="separate"/>
            </w:r>
            <w:r w:rsidR="00D17C1D">
              <w:rPr>
                <w:noProof/>
                <w:webHidden/>
              </w:rPr>
              <w:t>79</w:t>
            </w:r>
            <w:r w:rsidR="0029080F">
              <w:rPr>
                <w:noProof/>
                <w:webHidden/>
              </w:rPr>
              <w:fldChar w:fldCharType="end"/>
            </w:r>
          </w:hyperlink>
        </w:p>
        <w:p w14:paraId="7F2EF82D" w14:textId="13E3B6F0" w:rsidR="0029080F" w:rsidRDefault="00000000">
          <w:pPr>
            <w:pStyle w:val="TOC2"/>
            <w:rPr>
              <w:rFonts w:eastAsiaTheme="minorEastAsia"/>
              <w:noProof/>
              <w:kern w:val="2"/>
              <w14:ligatures w14:val="standardContextual"/>
            </w:rPr>
          </w:pPr>
          <w:hyperlink w:anchor="_Toc156728674" w:history="1">
            <w:r w:rsidR="0029080F" w:rsidRPr="002E5EAE">
              <w:rPr>
                <w:rStyle w:val="Hyperlink"/>
                <w:rFonts w:eastAsia="TimesNewRomanPSMT" w:cs="TimesNewRomanPSMT"/>
                <w:b/>
                <w:noProof/>
              </w:rPr>
              <w:t>Operationalizing the Method</w:t>
            </w:r>
            <w:r w:rsidR="0029080F">
              <w:rPr>
                <w:noProof/>
                <w:webHidden/>
              </w:rPr>
              <w:tab/>
            </w:r>
            <w:r w:rsidR="0029080F">
              <w:rPr>
                <w:noProof/>
                <w:webHidden/>
              </w:rPr>
              <w:fldChar w:fldCharType="begin"/>
            </w:r>
            <w:r w:rsidR="0029080F">
              <w:rPr>
                <w:noProof/>
                <w:webHidden/>
              </w:rPr>
              <w:instrText xml:space="preserve"> PAGEREF _Toc156728674 \h </w:instrText>
            </w:r>
            <w:r w:rsidR="0029080F">
              <w:rPr>
                <w:noProof/>
                <w:webHidden/>
              </w:rPr>
            </w:r>
            <w:r w:rsidR="0029080F">
              <w:rPr>
                <w:noProof/>
                <w:webHidden/>
              </w:rPr>
              <w:fldChar w:fldCharType="separate"/>
            </w:r>
            <w:r w:rsidR="00D17C1D">
              <w:rPr>
                <w:noProof/>
                <w:webHidden/>
              </w:rPr>
              <w:t>79</w:t>
            </w:r>
            <w:r w:rsidR="0029080F">
              <w:rPr>
                <w:noProof/>
                <w:webHidden/>
              </w:rPr>
              <w:fldChar w:fldCharType="end"/>
            </w:r>
          </w:hyperlink>
        </w:p>
        <w:p w14:paraId="47F3D341" w14:textId="63C07220" w:rsidR="0029080F" w:rsidRDefault="00000000">
          <w:pPr>
            <w:pStyle w:val="TOC2"/>
            <w:rPr>
              <w:rFonts w:eastAsiaTheme="minorEastAsia"/>
              <w:noProof/>
              <w:kern w:val="2"/>
              <w14:ligatures w14:val="standardContextual"/>
            </w:rPr>
          </w:pPr>
          <w:hyperlink w:anchor="_Toc156728675" w:history="1">
            <w:r w:rsidR="0029080F" w:rsidRPr="002E5EAE">
              <w:rPr>
                <w:rStyle w:val="Hyperlink"/>
                <w:rFonts w:eastAsia="TimesNewRomanPSMT" w:cs="TimesNewRomanPSMT"/>
                <w:b/>
                <w:noProof/>
              </w:rPr>
              <w:t>Using the Method for a PMA or 510(k)</w:t>
            </w:r>
            <w:r w:rsidR="0029080F">
              <w:rPr>
                <w:noProof/>
                <w:webHidden/>
              </w:rPr>
              <w:tab/>
            </w:r>
            <w:r w:rsidR="0029080F">
              <w:rPr>
                <w:noProof/>
                <w:webHidden/>
              </w:rPr>
              <w:fldChar w:fldCharType="begin"/>
            </w:r>
            <w:r w:rsidR="0029080F">
              <w:rPr>
                <w:noProof/>
                <w:webHidden/>
              </w:rPr>
              <w:instrText xml:space="preserve"> PAGEREF _Toc156728675 \h </w:instrText>
            </w:r>
            <w:r w:rsidR="0029080F">
              <w:rPr>
                <w:noProof/>
                <w:webHidden/>
              </w:rPr>
            </w:r>
            <w:r w:rsidR="0029080F">
              <w:rPr>
                <w:noProof/>
                <w:webHidden/>
              </w:rPr>
              <w:fldChar w:fldCharType="separate"/>
            </w:r>
            <w:r w:rsidR="00D17C1D">
              <w:rPr>
                <w:noProof/>
                <w:webHidden/>
              </w:rPr>
              <w:t>80</w:t>
            </w:r>
            <w:r w:rsidR="0029080F">
              <w:rPr>
                <w:noProof/>
                <w:webHidden/>
              </w:rPr>
              <w:fldChar w:fldCharType="end"/>
            </w:r>
          </w:hyperlink>
        </w:p>
        <w:p w14:paraId="6FFC36A8" w14:textId="303F56E6" w:rsidR="0029080F" w:rsidRDefault="00000000">
          <w:pPr>
            <w:pStyle w:val="TOC2"/>
            <w:rPr>
              <w:rFonts w:eastAsiaTheme="minorEastAsia"/>
              <w:noProof/>
              <w:kern w:val="2"/>
              <w14:ligatures w14:val="standardContextual"/>
            </w:rPr>
          </w:pPr>
          <w:hyperlink w:anchor="_Toc156728676" w:history="1">
            <w:r w:rsidR="0029080F" w:rsidRPr="002E5EAE">
              <w:rPr>
                <w:rStyle w:val="Hyperlink"/>
                <w:rFonts w:eastAsia="TimesNewRomanPSMT" w:cs="TimesNewRomanPSMT"/>
                <w:b/>
                <w:noProof/>
              </w:rPr>
              <w:t>ISO 14971</w:t>
            </w:r>
            <w:r w:rsidR="0029080F">
              <w:rPr>
                <w:noProof/>
                <w:webHidden/>
              </w:rPr>
              <w:tab/>
            </w:r>
            <w:r w:rsidR="0029080F">
              <w:rPr>
                <w:noProof/>
                <w:webHidden/>
              </w:rPr>
              <w:fldChar w:fldCharType="begin"/>
            </w:r>
            <w:r w:rsidR="0029080F">
              <w:rPr>
                <w:noProof/>
                <w:webHidden/>
              </w:rPr>
              <w:instrText xml:space="preserve"> PAGEREF _Toc156728676 \h </w:instrText>
            </w:r>
            <w:r w:rsidR="0029080F">
              <w:rPr>
                <w:noProof/>
                <w:webHidden/>
              </w:rPr>
            </w:r>
            <w:r w:rsidR="0029080F">
              <w:rPr>
                <w:noProof/>
                <w:webHidden/>
              </w:rPr>
              <w:fldChar w:fldCharType="separate"/>
            </w:r>
            <w:r w:rsidR="00D17C1D">
              <w:rPr>
                <w:noProof/>
                <w:webHidden/>
              </w:rPr>
              <w:t>80</w:t>
            </w:r>
            <w:r w:rsidR="0029080F">
              <w:rPr>
                <w:noProof/>
                <w:webHidden/>
              </w:rPr>
              <w:fldChar w:fldCharType="end"/>
            </w:r>
          </w:hyperlink>
        </w:p>
        <w:p w14:paraId="39C9C743" w14:textId="5F209290" w:rsidR="0029080F" w:rsidRDefault="00000000">
          <w:pPr>
            <w:pStyle w:val="TOC2"/>
            <w:rPr>
              <w:rFonts w:eastAsiaTheme="minorEastAsia"/>
              <w:noProof/>
              <w:kern w:val="2"/>
              <w14:ligatures w14:val="standardContextual"/>
            </w:rPr>
          </w:pPr>
          <w:hyperlink w:anchor="_Toc156728677" w:history="1">
            <w:r w:rsidR="0029080F" w:rsidRPr="002E5EAE">
              <w:rPr>
                <w:rStyle w:val="Hyperlink"/>
                <w:rFonts w:eastAsia="TimesNewRomanPSMT" w:cs="TimesNewRomanPSMT"/>
                <w:b/>
                <w:noProof/>
              </w:rPr>
              <w:t>Dominant Risks</w:t>
            </w:r>
            <w:r w:rsidR="0029080F">
              <w:rPr>
                <w:noProof/>
                <w:webHidden/>
              </w:rPr>
              <w:tab/>
            </w:r>
            <w:r w:rsidR="0029080F">
              <w:rPr>
                <w:noProof/>
                <w:webHidden/>
              </w:rPr>
              <w:fldChar w:fldCharType="begin"/>
            </w:r>
            <w:r w:rsidR="0029080F">
              <w:rPr>
                <w:noProof/>
                <w:webHidden/>
              </w:rPr>
              <w:instrText xml:space="preserve"> PAGEREF _Toc156728677 \h </w:instrText>
            </w:r>
            <w:r w:rsidR="0029080F">
              <w:rPr>
                <w:noProof/>
                <w:webHidden/>
              </w:rPr>
            </w:r>
            <w:r w:rsidR="0029080F">
              <w:rPr>
                <w:noProof/>
                <w:webHidden/>
              </w:rPr>
              <w:fldChar w:fldCharType="separate"/>
            </w:r>
            <w:r w:rsidR="00D17C1D">
              <w:rPr>
                <w:noProof/>
                <w:webHidden/>
              </w:rPr>
              <w:t>80</w:t>
            </w:r>
            <w:r w:rsidR="0029080F">
              <w:rPr>
                <w:noProof/>
                <w:webHidden/>
              </w:rPr>
              <w:fldChar w:fldCharType="end"/>
            </w:r>
          </w:hyperlink>
        </w:p>
        <w:p w14:paraId="0CEE357A" w14:textId="57CAE2D0" w:rsidR="0029080F" w:rsidRDefault="00000000">
          <w:pPr>
            <w:pStyle w:val="TOC2"/>
            <w:rPr>
              <w:rFonts w:eastAsiaTheme="minorEastAsia"/>
              <w:noProof/>
              <w:kern w:val="2"/>
              <w14:ligatures w14:val="standardContextual"/>
            </w:rPr>
          </w:pPr>
          <w:hyperlink w:anchor="_Toc156728678" w:history="1">
            <w:r w:rsidR="0029080F" w:rsidRPr="002E5EAE">
              <w:rPr>
                <w:rStyle w:val="Hyperlink"/>
                <w:rFonts w:eastAsia="TimesNewRomanPSMT" w:cs="TimesNewRomanPSMT"/>
                <w:b/>
                <w:noProof/>
              </w:rPr>
              <w:t>Selecting the Best Therapy from a List of Alternative Therapies</w:t>
            </w:r>
            <w:r w:rsidR="0029080F">
              <w:rPr>
                <w:noProof/>
                <w:webHidden/>
              </w:rPr>
              <w:tab/>
            </w:r>
            <w:r w:rsidR="0029080F">
              <w:rPr>
                <w:noProof/>
                <w:webHidden/>
              </w:rPr>
              <w:fldChar w:fldCharType="begin"/>
            </w:r>
            <w:r w:rsidR="0029080F">
              <w:rPr>
                <w:noProof/>
                <w:webHidden/>
              </w:rPr>
              <w:instrText xml:space="preserve"> PAGEREF _Toc156728678 \h </w:instrText>
            </w:r>
            <w:r w:rsidR="0029080F">
              <w:rPr>
                <w:noProof/>
                <w:webHidden/>
              </w:rPr>
            </w:r>
            <w:r w:rsidR="0029080F">
              <w:rPr>
                <w:noProof/>
                <w:webHidden/>
              </w:rPr>
              <w:fldChar w:fldCharType="separate"/>
            </w:r>
            <w:r w:rsidR="00D17C1D">
              <w:rPr>
                <w:noProof/>
                <w:webHidden/>
              </w:rPr>
              <w:t>81</w:t>
            </w:r>
            <w:r w:rsidR="0029080F">
              <w:rPr>
                <w:noProof/>
                <w:webHidden/>
              </w:rPr>
              <w:fldChar w:fldCharType="end"/>
            </w:r>
          </w:hyperlink>
        </w:p>
        <w:p w14:paraId="29863E85" w14:textId="7E953ECD" w:rsidR="0029080F" w:rsidRDefault="00000000">
          <w:pPr>
            <w:pStyle w:val="TOC2"/>
            <w:rPr>
              <w:rFonts w:eastAsiaTheme="minorEastAsia"/>
              <w:noProof/>
              <w:kern w:val="2"/>
              <w14:ligatures w14:val="standardContextual"/>
            </w:rPr>
          </w:pPr>
          <w:hyperlink w:anchor="_Toc156728679" w:history="1">
            <w:r w:rsidR="0029080F" w:rsidRPr="002E5EAE">
              <w:rPr>
                <w:rStyle w:val="Hyperlink"/>
                <w:rFonts w:eastAsia="TimesNewRomanPSMT" w:cs="TimesNewRomanPSMT"/>
                <w:b/>
                <w:noProof/>
              </w:rPr>
              <w:t>Adjusting the Weight given to Each Risk</w:t>
            </w:r>
            <w:r w:rsidR="0029080F">
              <w:rPr>
                <w:noProof/>
                <w:webHidden/>
              </w:rPr>
              <w:tab/>
            </w:r>
            <w:r w:rsidR="0029080F">
              <w:rPr>
                <w:noProof/>
                <w:webHidden/>
              </w:rPr>
              <w:fldChar w:fldCharType="begin"/>
            </w:r>
            <w:r w:rsidR="0029080F">
              <w:rPr>
                <w:noProof/>
                <w:webHidden/>
              </w:rPr>
              <w:instrText xml:space="preserve"> PAGEREF _Toc156728679 \h </w:instrText>
            </w:r>
            <w:r w:rsidR="0029080F">
              <w:rPr>
                <w:noProof/>
                <w:webHidden/>
              </w:rPr>
            </w:r>
            <w:r w:rsidR="0029080F">
              <w:rPr>
                <w:noProof/>
                <w:webHidden/>
              </w:rPr>
              <w:fldChar w:fldCharType="separate"/>
            </w:r>
            <w:r w:rsidR="00D17C1D">
              <w:rPr>
                <w:noProof/>
                <w:webHidden/>
              </w:rPr>
              <w:t>81</w:t>
            </w:r>
            <w:r w:rsidR="0029080F">
              <w:rPr>
                <w:noProof/>
                <w:webHidden/>
              </w:rPr>
              <w:fldChar w:fldCharType="end"/>
            </w:r>
          </w:hyperlink>
        </w:p>
        <w:p w14:paraId="1E194CCF" w14:textId="488F3C5D" w:rsidR="0029080F" w:rsidRDefault="00000000">
          <w:pPr>
            <w:pStyle w:val="TOC3"/>
            <w:tabs>
              <w:tab w:val="right" w:leader="dot" w:pos="9350"/>
            </w:tabs>
            <w:rPr>
              <w:rFonts w:eastAsiaTheme="minorEastAsia"/>
              <w:noProof/>
              <w:kern w:val="2"/>
              <w14:ligatures w14:val="standardContextual"/>
            </w:rPr>
          </w:pPr>
          <w:hyperlink w:anchor="_Toc156728680" w:history="1">
            <w:r w:rsidR="0029080F" w:rsidRPr="002E5EAE">
              <w:rPr>
                <w:rStyle w:val="Hyperlink"/>
                <w:noProof/>
              </w:rPr>
              <w:t>Adapting to Individual Patient Preference</w:t>
            </w:r>
            <w:r w:rsidR="0029080F">
              <w:rPr>
                <w:noProof/>
                <w:webHidden/>
              </w:rPr>
              <w:tab/>
            </w:r>
            <w:r w:rsidR="0029080F">
              <w:rPr>
                <w:noProof/>
                <w:webHidden/>
              </w:rPr>
              <w:fldChar w:fldCharType="begin"/>
            </w:r>
            <w:r w:rsidR="0029080F">
              <w:rPr>
                <w:noProof/>
                <w:webHidden/>
              </w:rPr>
              <w:instrText xml:space="preserve"> PAGEREF _Toc156728680 \h </w:instrText>
            </w:r>
            <w:r w:rsidR="0029080F">
              <w:rPr>
                <w:noProof/>
                <w:webHidden/>
              </w:rPr>
            </w:r>
            <w:r w:rsidR="0029080F">
              <w:rPr>
                <w:noProof/>
                <w:webHidden/>
              </w:rPr>
              <w:fldChar w:fldCharType="separate"/>
            </w:r>
            <w:r w:rsidR="00D17C1D">
              <w:rPr>
                <w:noProof/>
                <w:webHidden/>
              </w:rPr>
              <w:t>81</w:t>
            </w:r>
            <w:r w:rsidR="0029080F">
              <w:rPr>
                <w:noProof/>
                <w:webHidden/>
              </w:rPr>
              <w:fldChar w:fldCharType="end"/>
            </w:r>
          </w:hyperlink>
        </w:p>
        <w:p w14:paraId="4BA46888" w14:textId="470E5ECE" w:rsidR="0029080F" w:rsidRDefault="00000000">
          <w:pPr>
            <w:pStyle w:val="TOC3"/>
            <w:tabs>
              <w:tab w:val="right" w:leader="dot" w:pos="9350"/>
            </w:tabs>
            <w:rPr>
              <w:rFonts w:eastAsiaTheme="minorEastAsia"/>
              <w:noProof/>
              <w:kern w:val="2"/>
              <w14:ligatures w14:val="standardContextual"/>
            </w:rPr>
          </w:pPr>
          <w:hyperlink w:anchor="_Toc156728681" w:history="1">
            <w:r w:rsidR="0029080F" w:rsidRPr="002E5EAE">
              <w:rPr>
                <w:rStyle w:val="Hyperlink"/>
                <w:noProof/>
              </w:rPr>
              <w:t>Accounting for Time-Varying Benefits and Risks</w:t>
            </w:r>
            <w:r w:rsidR="0029080F">
              <w:rPr>
                <w:noProof/>
                <w:webHidden/>
              </w:rPr>
              <w:tab/>
            </w:r>
            <w:r w:rsidR="0029080F">
              <w:rPr>
                <w:noProof/>
                <w:webHidden/>
              </w:rPr>
              <w:fldChar w:fldCharType="begin"/>
            </w:r>
            <w:r w:rsidR="0029080F">
              <w:rPr>
                <w:noProof/>
                <w:webHidden/>
              </w:rPr>
              <w:instrText xml:space="preserve"> PAGEREF _Toc156728681 \h </w:instrText>
            </w:r>
            <w:r w:rsidR="0029080F">
              <w:rPr>
                <w:noProof/>
                <w:webHidden/>
              </w:rPr>
            </w:r>
            <w:r w:rsidR="0029080F">
              <w:rPr>
                <w:noProof/>
                <w:webHidden/>
              </w:rPr>
              <w:fldChar w:fldCharType="separate"/>
            </w:r>
            <w:r w:rsidR="00D17C1D">
              <w:rPr>
                <w:noProof/>
                <w:webHidden/>
              </w:rPr>
              <w:t>81</w:t>
            </w:r>
            <w:r w:rsidR="0029080F">
              <w:rPr>
                <w:noProof/>
                <w:webHidden/>
              </w:rPr>
              <w:fldChar w:fldCharType="end"/>
            </w:r>
          </w:hyperlink>
        </w:p>
        <w:p w14:paraId="7D4B003F" w14:textId="395E1AFD" w:rsidR="0029080F" w:rsidRDefault="00000000">
          <w:pPr>
            <w:pStyle w:val="TOC2"/>
            <w:rPr>
              <w:rFonts w:eastAsiaTheme="minorEastAsia"/>
              <w:noProof/>
              <w:kern w:val="2"/>
              <w14:ligatures w14:val="standardContextual"/>
            </w:rPr>
          </w:pPr>
          <w:hyperlink w:anchor="_Toc156728682" w:history="1">
            <w:r w:rsidR="0029080F" w:rsidRPr="002E5EAE">
              <w:rPr>
                <w:rStyle w:val="Hyperlink"/>
                <w:rFonts w:eastAsia="TimesNewRomanPSMT" w:cs="TimesNewRomanPSMT"/>
                <w:b/>
                <w:noProof/>
              </w:rPr>
              <w:t>Uncertainty in the Benefit-Risk Analysis</w:t>
            </w:r>
            <w:r w:rsidR="0029080F">
              <w:rPr>
                <w:noProof/>
                <w:webHidden/>
              </w:rPr>
              <w:tab/>
            </w:r>
            <w:r w:rsidR="0029080F">
              <w:rPr>
                <w:noProof/>
                <w:webHidden/>
              </w:rPr>
              <w:fldChar w:fldCharType="begin"/>
            </w:r>
            <w:r w:rsidR="0029080F">
              <w:rPr>
                <w:noProof/>
                <w:webHidden/>
              </w:rPr>
              <w:instrText xml:space="preserve"> PAGEREF _Toc156728682 \h </w:instrText>
            </w:r>
            <w:r w:rsidR="0029080F">
              <w:rPr>
                <w:noProof/>
                <w:webHidden/>
              </w:rPr>
            </w:r>
            <w:r w:rsidR="0029080F">
              <w:rPr>
                <w:noProof/>
                <w:webHidden/>
              </w:rPr>
              <w:fldChar w:fldCharType="separate"/>
            </w:r>
            <w:r w:rsidR="00D17C1D">
              <w:rPr>
                <w:noProof/>
                <w:webHidden/>
              </w:rPr>
              <w:t>83</w:t>
            </w:r>
            <w:r w:rsidR="0029080F">
              <w:rPr>
                <w:noProof/>
                <w:webHidden/>
              </w:rPr>
              <w:fldChar w:fldCharType="end"/>
            </w:r>
          </w:hyperlink>
        </w:p>
        <w:p w14:paraId="41555EBB" w14:textId="5FB43108" w:rsidR="0029080F" w:rsidRDefault="00000000">
          <w:pPr>
            <w:pStyle w:val="TOC2"/>
            <w:rPr>
              <w:rFonts w:eastAsiaTheme="minorEastAsia"/>
              <w:noProof/>
              <w:kern w:val="2"/>
              <w14:ligatures w14:val="standardContextual"/>
            </w:rPr>
          </w:pPr>
          <w:hyperlink w:anchor="_Toc156728683" w:history="1">
            <w:r w:rsidR="0029080F" w:rsidRPr="002E5EAE">
              <w:rPr>
                <w:rStyle w:val="Hyperlink"/>
                <w:rFonts w:eastAsia="TimesNewRomanPSMT" w:cs="TimesNewRomanPSMT"/>
                <w:b/>
                <w:noProof/>
              </w:rPr>
              <w:t>Different patient populations</w:t>
            </w:r>
            <w:r w:rsidR="0029080F">
              <w:rPr>
                <w:noProof/>
                <w:webHidden/>
              </w:rPr>
              <w:tab/>
            </w:r>
            <w:r w:rsidR="0029080F">
              <w:rPr>
                <w:noProof/>
                <w:webHidden/>
              </w:rPr>
              <w:fldChar w:fldCharType="begin"/>
            </w:r>
            <w:r w:rsidR="0029080F">
              <w:rPr>
                <w:noProof/>
                <w:webHidden/>
              </w:rPr>
              <w:instrText xml:space="preserve"> PAGEREF _Toc156728683 \h </w:instrText>
            </w:r>
            <w:r w:rsidR="0029080F">
              <w:rPr>
                <w:noProof/>
                <w:webHidden/>
              </w:rPr>
            </w:r>
            <w:r w:rsidR="0029080F">
              <w:rPr>
                <w:noProof/>
                <w:webHidden/>
              </w:rPr>
              <w:fldChar w:fldCharType="separate"/>
            </w:r>
            <w:r w:rsidR="00D17C1D">
              <w:rPr>
                <w:noProof/>
                <w:webHidden/>
              </w:rPr>
              <w:t>84</w:t>
            </w:r>
            <w:r w:rsidR="0029080F">
              <w:rPr>
                <w:noProof/>
                <w:webHidden/>
              </w:rPr>
              <w:fldChar w:fldCharType="end"/>
            </w:r>
          </w:hyperlink>
        </w:p>
        <w:p w14:paraId="032010DE" w14:textId="6B4B4096" w:rsidR="0029080F" w:rsidRDefault="00000000">
          <w:pPr>
            <w:pStyle w:val="TOC2"/>
            <w:rPr>
              <w:rFonts w:eastAsiaTheme="minorEastAsia"/>
              <w:noProof/>
              <w:kern w:val="2"/>
              <w14:ligatures w14:val="standardContextual"/>
            </w:rPr>
          </w:pPr>
          <w:hyperlink w:anchor="_Toc156728684" w:history="1">
            <w:r w:rsidR="0029080F" w:rsidRPr="002E5EAE">
              <w:rPr>
                <w:rStyle w:val="Hyperlink"/>
                <w:rFonts w:eastAsia="TimesNewRomanPSMT" w:cs="TimesNewRomanPSMT"/>
                <w:b/>
                <w:noProof/>
              </w:rPr>
              <w:t>Multiple diseases</w:t>
            </w:r>
            <w:r w:rsidR="0029080F">
              <w:rPr>
                <w:noProof/>
                <w:webHidden/>
              </w:rPr>
              <w:tab/>
            </w:r>
            <w:r w:rsidR="0029080F">
              <w:rPr>
                <w:noProof/>
                <w:webHidden/>
              </w:rPr>
              <w:fldChar w:fldCharType="begin"/>
            </w:r>
            <w:r w:rsidR="0029080F">
              <w:rPr>
                <w:noProof/>
                <w:webHidden/>
              </w:rPr>
              <w:instrText xml:space="preserve"> PAGEREF _Toc156728684 \h </w:instrText>
            </w:r>
            <w:r w:rsidR="0029080F">
              <w:rPr>
                <w:noProof/>
                <w:webHidden/>
              </w:rPr>
            </w:r>
            <w:r w:rsidR="0029080F">
              <w:rPr>
                <w:noProof/>
                <w:webHidden/>
              </w:rPr>
              <w:fldChar w:fldCharType="separate"/>
            </w:r>
            <w:r w:rsidR="00D17C1D">
              <w:rPr>
                <w:noProof/>
                <w:webHidden/>
              </w:rPr>
              <w:t>84</w:t>
            </w:r>
            <w:r w:rsidR="0029080F">
              <w:rPr>
                <w:noProof/>
                <w:webHidden/>
              </w:rPr>
              <w:fldChar w:fldCharType="end"/>
            </w:r>
          </w:hyperlink>
        </w:p>
        <w:p w14:paraId="0033BB77" w14:textId="669A26DD" w:rsidR="0029080F" w:rsidRDefault="00000000">
          <w:pPr>
            <w:pStyle w:val="TOC2"/>
            <w:rPr>
              <w:rFonts w:eastAsiaTheme="minorEastAsia"/>
              <w:noProof/>
              <w:kern w:val="2"/>
              <w14:ligatures w14:val="standardContextual"/>
            </w:rPr>
          </w:pPr>
          <w:hyperlink w:anchor="_Toc156728685" w:history="1">
            <w:r w:rsidR="0029080F" w:rsidRPr="002E5EAE">
              <w:rPr>
                <w:rStyle w:val="Hyperlink"/>
                <w:rFonts w:eastAsia="TimesNewRomanPSMT" w:cs="TimesNewRomanPSMT"/>
                <w:b/>
                <w:noProof/>
              </w:rPr>
              <w:t>Instructions for use (IFU)</w:t>
            </w:r>
            <w:r w:rsidR="0029080F">
              <w:rPr>
                <w:noProof/>
                <w:webHidden/>
              </w:rPr>
              <w:tab/>
            </w:r>
            <w:r w:rsidR="0029080F">
              <w:rPr>
                <w:noProof/>
                <w:webHidden/>
              </w:rPr>
              <w:fldChar w:fldCharType="begin"/>
            </w:r>
            <w:r w:rsidR="0029080F">
              <w:rPr>
                <w:noProof/>
                <w:webHidden/>
              </w:rPr>
              <w:instrText xml:space="preserve"> PAGEREF _Toc156728685 \h </w:instrText>
            </w:r>
            <w:r w:rsidR="0029080F">
              <w:rPr>
                <w:noProof/>
                <w:webHidden/>
              </w:rPr>
            </w:r>
            <w:r w:rsidR="0029080F">
              <w:rPr>
                <w:noProof/>
                <w:webHidden/>
              </w:rPr>
              <w:fldChar w:fldCharType="separate"/>
            </w:r>
            <w:r w:rsidR="00D17C1D">
              <w:rPr>
                <w:noProof/>
                <w:webHidden/>
              </w:rPr>
              <w:t>84</w:t>
            </w:r>
            <w:r w:rsidR="0029080F">
              <w:rPr>
                <w:noProof/>
                <w:webHidden/>
              </w:rPr>
              <w:fldChar w:fldCharType="end"/>
            </w:r>
          </w:hyperlink>
        </w:p>
        <w:p w14:paraId="5BAB7B27" w14:textId="54F9509F" w:rsidR="0029080F" w:rsidRDefault="00000000">
          <w:pPr>
            <w:pStyle w:val="TOC2"/>
            <w:rPr>
              <w:rFonts w:eastAsiaTheme="minorEastAsia"/>
              <w:noProof/>
              <w:kern w:val="2"/>
              <w14:ligatures w14:val="standardContextual"/>
            </w:rPr>
          </w:pPr>
          <w:hyperlink w:anchor="_Toc156728686" w:history="1">
            <w:r w:rsidR="0029080F" w:rsidRPr="002E5EAE">
              <w:rPr>
                <w:rStyle w:val="Hyperlink"/>
                <w:rFonts w:eastAsia="TimesNewRomanPSMT" w:cs="TimesNewRomanPSMT"/>
                <w:b/>
                <w:noProof/>
              </w:rPr>
              <w:t>Customizing Risk Metrics for Risks for Emotion</w:t>
            </w:r>
            <w:r w:rsidR="0029080F">
              <w:rPr>
                <w:noProof/>
                <w:webHidden/>
              </w:rPr>
              <w:tab/>
            </w:r>
            <w:r w:rsidR="0029080F">
              <w:rPr>
                <w:noProof/>
                <w:webHidden/>
              </w:rPr>
              <w:fldChar w:fldCharType="begin"/>
            </w:r>
            <w:r w:rsidR="0029080F">
              <w:rPr>
                <w:noProof/>
                <w:webHidden/>
              </w:rPr>
              <w:instrText xml:space="preserve"> PAGEREF _Toc156728686 \h </w:instrText>
            </w:r>
            <w:r w:rsidR="0029080F">
              <w:rPr>
                <w:noProof/>
                <w:webHidden/>
              </w:rPr>
            </w:r>
            <w:r w:rsidR="0029080F">
              <w:rPr>
                <w:noProof/>
                <w:webHidden/>
              </w:rPr>
              <w:fldChar w:fldCharType="separate"/>
            </w:r>
            <w:r w:rsidR="00D17C1D">
              <w:rPr>
                <w:noProof/>
                <w:webHidden/>
              </w:rPr>
              <w:t>85</w:t>
            </w:r>
            <w:r w:rsidR="0029080F">
              <w:rPr>
                <w:noProof/>
                <w:webHidden/>
              </w:rPr>
              <w:fldChar w:fldCharType="end"/>
            </w:r>
          </w:hyperlink>
        </w:p>
        <w:p w14:paraId="5CA07D79" w14:textId="53384C11" w:rsidR="0029080F" w:rsidRDefault="00000000">
          <w:pPr>
            <w:pStyle w:val="TOC2"/>
            <w:rPr>
              <w:rFonts w:eastAsiaTheme="minorEastAsia"/>
              <w:noProof/>
              <w:kern w:val="2"/>
              <w14:ligatures w14:val="standardContextual"/>
            </w:rPr>
          </w:pPr>
          <w:hyperlink w:anchor="_Toc156728687" w:history="1">
            <w:r w:rsidR="0029080F" w:rsidRPr="002E5EAE">
              <w:rPr>
                <w:rStyle w:val="Hyperlink"/>
                <w:rFonts w:eastAsia="TimesNewRomanPSMT" w:cs="TimesNewRomanPSMT"/>
                <w:b/>
                <w:noProof/>
              </w:rPr>
              <w:t>Models of patient health</w:t>
            </w:r>
            <w:r w:rsidR="0029080F">
              <w:rPr>
                <w:noProof/>
                <w:webHidden/>
              </w:rPr>
              <w:tab/>
            </w:r>
            <w:r w:rsidR="0029080F">
              <w:rPr>
                <w:noProof/>
                <w:webHidden/>
              </w:rPr>
              <w:fldChar w:fldCharType="begin"/>
            </w:r>
            <w:r w:rsidR="0029080F">
              <w:rPr>
                <w:noProof/>
                <w:webHidden/>
              </w:rPr>
              <w:instrText xml:space="preserve"> PAGEREF _Toc156728687 \h </w:instrText>
            </w:r>
            <w:r w:rsidR="0029080F">
              <w:rPr>
                <w:noProof/>
                <w:webHidden/>
              </w:rPr>
            </w:r>
            <w:r w:rsidR="0029080F">
              <w:rPr>
                <w:noProof/>
                <w:webHidden/>
              </w:rPr>
              <w:fldChar w:fldCharType="separate"/>
            </w:r>
            <w:r w:rsidR="00D17C1D">
              <w:rPr>
                <w:noProof/>
                <w:webHidden/>
              </w:rPr>
              <w:t>85</w:t>
            </w:r>
            <w:r w:rsidR="0029080F">
              <w:rPr>
                <w:noProof/>
                <w:webHidden/>
              </w:rPr>
              <w:fldChar w:fldCharType="end"/>
            </w:r>
          </w:hyperlink>
        </w:p>
        <w:p w14:paraId="13FA73A3" w14:textId="18D8C21B" w:rsidR="0029080F" w:rsidRDefault="00000000">
          <w:pPr>
            <w:pStyle w:val="TOC2"/>
            <w:rPr>
              <w:rFonts w:eastAsiaTheme="minorEastAsia"/>
              <w:noProof/>
              <w:kern w:val="2"/>
              <w14:ligatures w14:val="standardContextual"/>
            </w:rPr>
          </w:pPr>
          <w:hyperlink w:anchor="_Toc156728688" w:history="1">
            <w:r w:rsidR="0029080F" w:rsidRPr="002E5EAE">
              <w:rPr>
                <w:rStyle w:val="Hyperlink"/>
                <w:rFonts w:eastAsia="TimesNewRomanPSMT" w:cs="TimesNewRomanPSMT"/>
                <w:b/>
                <w:noProof/>
              </w:rPr>
              <w:t>Benefit-Risk Analysis for Compliance / Product Availability</w:t>
            </w:r>
            <w:r w:rsidR="0029080F">
              <w:rPr>
                <w:noProof/>
                <w:webHidden/>
              </w:rPr>
              <w:tab/>
            </w:r>
            <w:r w:rsidR="0029080F">
              <w:rPr>
                <w:noProof/>
                <w:webHidden/>
              </w:rPr>
              <w:fldChar w:fldCharType="begin"/>
            </w:r>
            <w:r w:rsidR="0029080F">
              <w:rPr>
                <w:noProof/>
                <w:webHidden/>
              </w:rPr>
              <w:instrText xml:space="preserve"> PAGEREF _Toc156728688 \h </w:instrText>
            </w:r>
            <w:r w:rsidR="0029080F">
              <w:rPr>
                <w:noProof/>
                <w:webHidden/>
              </w:rPr>
            </w:r>
            <w:r w:rsidR="0029080F">
              <w:rPr>
                <w:noProof/>
                <w:webHidden/>
              </w:rPr>
              <w:fldChar w:fldCharType="separate"/>
            </w:r>
            <w:r w:rsidR="00D17C1D">
              <w:rPr>
                <w:noProof/>
                <w:webHidden/>
              </w:rPr>
              <w:t>87</w:t>
            </w:r>
            <w:r w:rsidR="0029080F">
              <w:rPr>
                <w:noProof/>
                <w:webHidden/>
              </w:rPr>
              <w:fldChar w:fldCharType="end"/>
            </w:r>
          </w:hyperlink>
        </w:p>
        <w:p w14:paraId="0A32DE2E" w14:textId="1B75DED2" w:rsidR="0029080F" w:rsidRDefault="00000000">
          <w:pPr>
            <w:pStyle w:val="TOC2"/>
            <w:rPr>
              <w:rFonts w:eastAsiaTheme="minorEastAsia"/>
              <w:noProof/>
              <w:kern w:val="2"/>
              <w14:ligatures w14:val="standardContextual"/>
            </w:rPr>
          </w:pPr>
          <w:hyperlink w:anchor="_Toc156728689" w:history="1">
            <w:r w:rsidR="0029080F" w:rsidRPr="002E5EAE">
              <w:rPr>
                <w:rStyle w:val="Hyperlink"/>
                <w:rFonts w:eastAsia="TimesNewRomanPSMT" w:cs="TimesNewRomanPSMT"/>
                <w:b/>
                <w:noProof/>
              </w:rPr>
              <w:t>Summary of Applications</w:t>
            </w:r>
            <w:r w:rsidR="0029080F">
              <w:rPr>
                <w:noProof/>
                <w:webHidden/>
              </w:rPr>
              <w:tab/>
            </w:r>
            <w:r w:rsidR="0029080F">
              <w:rPr>
                <w:noProof/>
                <w:webHidden/>
              </w:rPr>
              <w:fldChar w:fldCharType="begin"/>
            </w:r>
            <w:r w:rsidR="0029080F">
              <w:rPr>
                <w:noProof/>
                <w:webHidden/>
              </w:rPr>
              <w:instrText xml:space="preserve"> PAGEREF _Toc156728689 \h </w:instrText>
            </w:r>
            <w:r w:rsidR="0029080F">
              <w:rPr>
                <w:noProof/>
                <w:webHidden/>
              </w:rPr>
            </w:r>
            <w:r w:rsidR="0029080F">
              <w:rPr>
                <w:noProof/>
                <w:webHidden/>
              </w:rPr>
              <w:fldChar w:fldCharType="separate"/>
            </w:r>
            <w:r w:rsidR="00D17C1D">
              <w:rPr>
                <w:noProof/>
                <w:webHidden/>
              </w:rPr>
              <w:t>87</w:t>
            </w:r>
            <w:r w:rsidR="0029080F">
              <w:rPr>
                <w:noProof/>
                <w:webHidden/>
              </w:rPr>
              <w:fldChar w:fldCharType="end"/>
            </w:r>
          </w:hyperlink>
        </w:p>
        <w:p w14:paraId="390FE301" w14:textId="5C823365" w:rsidR="00A13CD3" w:rsidRDefault="002E2336" w:rsidP="00A13CD3">
          <w:r>
            <w:rPr>
              <w:kern w:val="0"/>
              <w14:ligatures w14:val="none"/>
            </w:rPr>
            <w:fldChar w:fldCharType="end"/>
          </w:r>
        </w:p>
      </w:sdtContent>
    </w:sdt>
    <w:p w14:paraId="31845F87" w14:textId="77777777" w:rsidR="00A13CD3" w:rsidRDefault="00A13CD3" w:rsidP="00A13CD3">
      <w:r>
        <w:br w:type="page"/>
      </w:r>
    </w:p>
    <w:p w14:paraId="3E51806E" w14:textId="36DC31F7" w:rsidR="00A13CD3" w:rsidRDefault="00067EAB" w:rsidP="00AA2310">
      <w:pPr>
        <w:pStyle w:val="SectionTitle"/>
        <w:spacing w:line="360" w:lineRule="auto"/>
      </w:pPr>
      <w:r w:rsidRPr="00067EAB">
        <w:lastRenderedPageBreak/>
        <w:t xml:space="preserve">A Quantitative Framework for Assessing Benefit-Risk in Healthcare Applications </w:t>
      </w:r>
    </w:p>
    <w:p w14:paraId="3380BDE4" w14:textId="63AAB641" w:rsidR="00A12925" w:rsidRPr="00F60A9B" w:rsidRDefault="00082E8D" w:rsidP="00AA2310">
      <w:pPr>
        <w:pStyle w:val="Heading1"/>
        <w:spacing w:line="240" w:lineRule="auto"/>
        <w:jc w:val="center"/>
        <w:rPr>
          <w:b/>
          <w:bCs/>
          <w:u w:val="single"/>
        </w:rPr>
      </w:pPr>
      <w:bookmarkStart w:id="2" w:name="_Toc156728636"/>
      <w:bookmarkStart w:id="3" w:name="_Hlk149311225"/>
      <w:r>
        <w:rPr>
          <w:b/>
          <w:bCs/>
          <w:u w:val="single"/>
        </w:rPr>
        <w:t>The Method</w:t>
      </w:r>
      <w:bookmarkEnd w:id="2"/>
    </w:p>
    <w:p w14:paraId="1CE1E86E" w14:textId="271ED5C0" w:rsidR="007C065C" w:rsidRPr="00422D28" w:rsidRDefault="00787C7D" w:rsidP="00AA2310">
      <w:pPr>
        <w:pStyle w:val="Heading2"/>
        <w:spacing w:line="240" w:lineRule="auto"/>
        <w:rPr>
          <w:b/>
          <w:bCs/>
          <w:u w:val="single"/>
        </w:rPr>
      </w:pPr>
      <w:bookmarkStart w:id="4" w:name="_Toc156728637"/>
      <w:r w:rsidRPr="00422D28">
        <w:rPr>
          <w:noProof/>
        </w:rPr>
        <w:drawing>
          <wp:anchor distT="0" distB="0" distL="114300" distR="114300" simplePos="0" relativeHeight="251656192" behindDoc="0" locked="0" layoutInCell="1" allowOverlap="1" wp14:anchorId="2B3E1CAE" wp14:editId="57FCF126">
            <wp:simplePos x="0" y="0"/>
            <wp:positionH relativeFrom="column">
              <wp:posOffset>4295775</wp:posOffset>
            </wp:positionH>
            <wp:positionV relativeFrom="paragraph">
              <wp:posOffset>203835</wp:posOffset>
            </wp:positionV>
            <wp:extent cx="1695450" cy="2091690"/>
            <wp:effectExtent l="0" t="0" r="0" b="3810"/>
            <wp:wrapSquare wrapText="bothSides"/>
            <wp:docPr id="924409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09810" name="Picture 924409810"/>
                    <pic:cNvPicPr/>
                  </pic:nvPicPr>
                  <pic:blipFill rotWithShape="1">
                    <a:blip r:embed="rId8" cstate="print">
                      <a:extLst>
                        <a:ext uri="{28A0092B-C50C-407E-A947-70E740481C1C}">
                          <a14:useLocalDpi xmlns:a14="http://schemas.microsoft.com/office/drawing/2010/main" val="0"/>
                        </a:ext>
                      </a:extLst>
                    </a:blip>
                    <a:srcRect l="8811" t="3090" r="8627"/>
                    <a:stretch/>
                  </pic:blipFill>
                  <pic:spPr bwMode="auto">
                    <a:xfrm>
                      <a:off x="0" y="0"/>
                      <a:ext cx="1695450" cy="2091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65C" w:rsidRPr="00422D28">
        <w:rPr>
          <w:b/>
          <w:bCs/>
          <w:u w:val="single"/>
        </w:rPr>
        <w:t>The Need</w:t>
      </w:r>
      <w:bookmarkEnd w:id="4"/>
    </w:p>
    <w:p w14:paraId="6568B5A6" w14:textId="0D6F8672" w:rsidR="003C3DC7" w:rsidRPr="00F60A9B" w:rsidRDefault="003C3DC7" w:rsidP="00AA2310">
      <w:pPr>
        <w:spacing w:line="240" w:lineRule="auto"/>
      </w:pPr>
      <w:r w:rsidRPr="00F60A9B">
        <w:t>The phrase “First, do no harm” is often ascribed to the Hippocratic Oath</w:t>
      </w:r>
      <w:r w:rsidR="003D7626" w:rsidRPr="00F60A9B">
        <w:rPr>
          <w:rStyle w:val="FootnoteReference"/>
        </w:rPr>
        <w:footnoteReference w:id="1"/>
      </w:r>
      <w:r w:rsidRPr="00F60A9B">
        <w:t xml:space="preserve"> and is generally recognized as the starting point of </w:t>
      </w:r>
      <w:r w:rsidR="008370E4" w:rsidRPr="00F60A9B">
        <w:t>ethical</w:t>
      </w:r>
      <w:r w:rsidRPr="00F60A9B">
        <w:t xml:space="preserve"> medicine.  Given the complexities of the human body, it is not always obvious what actions help, and what actions harm, a patient.  Therefore, even a goal as modest as “First, do no harm” can be challenging to live up to.  </w:t>
      </w:r>
    </w:p>
    <w:p w14:paraId="0DA1D770" w14:textId="45F20844" w:rsidR="006C3E16" w:rsidRDefault="00D109DF">
      <w:r w:rsidRPr="00F60A9B">
        <w:rPr>
          <w:noProof/>
        </w:rPr>
        <mc:AlternateContent>
          <mc:Choice Requires="wps">
            <w:drawing>
              <wp:anchor distT="0" distB="0" distL="114300" distR="114300" simplePos="0" relativeHeight="251658240" behindDoc="0" locked="0" layoutInCell="1" allowOverlap="1" wp14:anchorId="17D820BF" wp14:editId="1DBC2E00">
                <wp:simplePos x="0" y="0"/>
                <wp:positionH relativeFrom="column">
                  <wp:posOffset>4333875</wp:posOffset>
                </wp:positionH>
                <wp:positionV relativeFrom="paragraph">
                  <wp:posOffset>834390</wp:posOffset>
                </wp:positionV>
                <wp:extent cx="1647825" cy="635"/>
                <wp:effectExtent l="0" t="0" r="9525" b="0"/>
                <wp:wrapSquare wrapText="bothSides"/>
                <wp:docPr id="293993484" name="Text Box 1"/>
                <wp:cNvGraphicFramePr/>
                <a:graphic xmlns:a="http://schemas.openxmlformats.org/drawingml/2006/main">
                  <a:graphicData uri="http://schemas.microsoft.com/office/word/2010/wordprocessingShape">
                    <wps:wsp>
                      <wps:cNvSpPr txBox="1"/>
                      <wps:spPr>
                        <a:xfrm>
                          <a:off x="0" y="0"/>
                          <a:ext cx="1647825" cy="635"/>
                        </a:xfrm>
                        <a:prstGeom prst="rect">
                          <a:avLst/>
                        </a:prstGeom>
                        <a:solidFill>
                          <a:prstClr val="white"/>
                        </a:solidFill>
                        <a:ln>
                          <a:noFill/>
                        </a:ln>
                      </wps:spPr>
                      <wps:txbx>
                        <w:txbxContent>
                          <w:p w14:paraId="37FA1EDE" w14:textId="70AB505A" w:rsidR="00D109DF" w:rsidRPr="00F24CC2" w:rsidRDefault="00D109DF" w:rsidP="00D109DF">
                            <w:pPr>
                              <w:pStyle w:val="Caption"/>
                              <w:jc w:val="center"/>
                              <w:rPr>
                                <w:noProof/>
                              </w:rPr>
                            </w:pPr>
                            <w:r>
                              <w:t xml:space="preserve">Figure </w:t>
                            </w:r>
                            <w:r>
                              <w:fldChar w:fldCharType="begin"/>
                            </w:r>
                            <w:r>
                              <w:instrText xml:space="preserve"> SEQ Figure \* ARABIC </w:instrText>
                            </w:r>
                            <w:r>
                              <w:fldChar w:fldCharType="separate"/>
                            </w:r>
                            <w:r w:rsidR="00C55FF6">
                              <w:rPr>
                                <w:noProof/>
                              </w:rPr>
                              <w:t>1</w:t>
                            </w:r>
                            <w:r>
                              <w:rPr>
                                <w:noProof/>
                              </w:rPr>
                              <w:fldChar w:fldCharType="end"/>
                            </w:r>
                            <w:r>
                              <w:t xml:space="preserve"> - Hippocrates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D820BF" id="_x0000_t202" coordsize="21600,21600" o:spt="202" path="m,l,21600r21600,l21600,xe">
                <v:stroke joinstyle="miter"/>
                <v:path gradientshapeok="t" o:connecttype="rect"/>
              </v:shapetype>
              <v:shape id="Text Box 1" o:spid="_x0000_s1026" type="#_x0000_t202" style="position:absolute;margin-left:341.25pt;margin-top:65.7pt;width:129.7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" stroked="f">
                <v:textbox style="mso-fit-shape-to-text:t" inset="0,0,0,0">
                  <w:txbxContent>
                    <w:p w14:paraId="37FA1EDE" w14:textId="70AB505A" w:rsidR="00D109DF" w:rsidRPr="00F24CC2" w:rsidRDefault="00D109DF" w:rsidP="00D109DF">
                      <w:pPr>
                        <w:pStyle w:val="Caption"/>
                        <w:jc w:val="center"/>
                        <w:rPr>
                          <w:noProof/>
                        </w:rPr>
                      </w:pPr>
                      <w:r>
                        <w:t xml:space="preserve">Figure </w:t>
                      </w:r>
                      <w:fldSimple w:instr=" SEQ Figure \* ARABIC ">
                        <w:r w:rsidR="00C55FF6">
                          <w:rPr>
                            <w:noProof/>
                          </w:rPr>
                          <w:t>1</w:t>
                        </w:r>
                      </w:fldSimple>
                      <w:r>
                        <w:t xml:space="preserve"> - Hippocrates</w:t>
                      </w:r>
                    </w:p>
                  </w:txbxContent>
                </v:textbox>
                <w10:wrap type="square"/>
              </v:shape>
            </w:pict>
          </mc:Fallback>
        </mc:AlternateContent>
      </w:r>
      <w:r w:rsidR="003C3DC7" w:rsidRPr="00F60A9B">
        <w:t xml:space="preserve">In today’s medical environment, we recognize that every medical </w:t>
      </w:r>
      <w:r w:rsidR="0083330E">
        <w:t>product and procedure</w:t>
      </w:r>
      <w:r w:rsidR="003C3DC7" w:rsidRPr="00F60A9B">
        <w:t xml:space="preserve"> exposes patients to some </w:t>
      </w:r>
      <w:r w:rsidR="00811F51" w:rsidRPr="00F60A9B">
        <w:t xml:space="preserve">amount of </w:t>
      </w:r>
      <w:r w:rsidR="003C3DC7" w:rsidRPr="00F60A9B">
        <w:t>risk</w:t>
      </w:r>
      <w:bookmarkStart w:id="5" w:name="_Ref141250698"/>
      <w:r w:rsidR="000651F9">
        <w:rPr>
          <w:rStyle w:val="FootnoteReference"/>
        </w:rPr>
        <w:footnoteReference w:id="2"/>
      </w:r>
      <w:bookmarkEnd w:id="5"/>
      <w:r w:rsidR="00E1241A">
        <w:t xml:space="preserve">.  With this knowledge, if we focused on ‘patient risk’ without also thinking about ‘patient benefit’, then the combination of “First, do no harm’ and the fact that the use of any medical product or procedure exposes a patient to risk would mean we would do nothing. </w:t>
      </w:r>
      <w:r w:rsidR="003C3DC7" w:rsidRPr="00F60A9B">
        <w:t xml:space="preserve"> </w:t>
      </w:r>
      <w:r w:rsidR="00AB67BA">
        <w:t>However</w:t>
      </w:r>
      <w:r w:rsidR="00E1241A">
        <w:t>, entire point of medicine is that</w:t>
      </w:r>
      <w:r w:rsidR="00AB67BA">
        <w:t>,</w:t>
      </w:r>
      <w:r w:rsidR="00E1241A">
        <w:t xml:space="preserve"> </w:t>
      </w:r>
      <w:r w:rsidR="00AB67BA">
        <w:t>w</w:t>
      </w:r>
      <w:r w:rsidR="006C3E16">
        <w:t xml:space="preserve">ith the right patient and the right medicine, </w:t>
      </w:r>
      <w:r w:rsidR="00AB67BA">
        <w:t xml:space="preserve">we </w:t>
      </w:r>
      <w:r w:rsidR="00AB67BA" w:rsidRPr="00E1241A">
        <w:rPr>
          <w:i/>
          <w:iCs/>
        </w:rPr>
        <w:t>can</w:t>
      </w:r>
      <w:r w:rsidR="00AB67BA">
        <w:t xml:space="preserve"> do better than ‘doing nothing’.  </w:t>
      </w:r>
      <w:r w:rsidR="006C3E16">
        <w:t>T</w:t>
      </w:r>
      <w:r w:rsidR="00AB67BA">
        <w:t>herefore, t</w:t>
      </w:r>
      <w:r w:rsidR="006C3E16">
        <w:t xml:space="preserve">o strike a balance </w:t>
      </w:r>
      <w:r w:rsidR="00AB67BA">
        <w:t xml:space="preserve">that acknowledges </w:t>
      </w:r>
      <w:r w:rsidR="006C3E16">
        <w:t xml:space="preserve">the constant presence of </w:t>
      </w:r>
      <w:r w:rsidR="00AB67BA">
        <w:t xml:space="preserve">both </w:t>
      </w:r>
      <w:r w:rsidR="006C3E16">
        <w:t xml:space="preserve">‘patient risk’ and ‘patient </w:t>
      </w:r>
      <w:r w:rsidR="00AB67BA">
        <w:t>benefit</w:t>
      </w:r>
      <w:r w:rsidR="006C3E16">
        <w:t xml:space="preserve">’, </w:t>
      </w:r>
      <w:r w:rsidR="003C3DC7" w:rsidRPr="00F60A9B">
        <w:t>the phrase “First, do no harm” can be reasonably revised to “First,</w:t>
      </w:r>
      <w:r w:rsidR="00F34032">
        <w:t xml:space="preserve"> en</w:t>
      </w:r>
      <w:r w:rsidR="003303D1">
        <w:t>sure</w:t>
      </w:r>
      <w:r w:rsidR="003C3DC7" w:rsidRPr="00F60A9B">
        <w:t xml:space="preserve"> the benefits outweigh </w:t>
      </w:r>
      <w:r w:rsidR="00F34032">
        <w:t xml:space="preserve">the </w:t>
      </w:r>
      <w:r w:rsidR="003C3DC7" w:rsidRPr="00F60A9B">
        <w:t xml:space="preserve">risks”.  </w:t>
      </w:r>
    </w:p>
    <w:p w14:paraId="177B5B46" w14:textId="7D628EF4" w:rsidR="00AB67BA" w:rsidRDefault="007D33AF">
      <w:r>
        <w:t>Through this reasoning</w:t>
      </w:r>
      <w:r w:rsidR="006C3E16">
        <w:t xml:space="preserve">, the idea that the benefits from a medical product or procedure must outweigh </w:t>
      </w:r>
      <w:r w:rsidR="00E80B12">
        <w:t>its</w:t>
      </w:r>
      <w:r w:rsidR="006C3E16">
        <w:t xml:space="preserve"> risks </w:t>
      </w:r>
      <w:r w:rsidR="00E80B12">
        <w:t xml:space="preserve">has become </w:t>
      </w:r>
      <w:r w:rsidR="006C3E16">
        <w:t>central to the practice of medicine</w:t>
      </w:r>
      <w:r w:rsidR="00AB67BA">
        <w:t xml:space="preserve">.  </w:t>
      </w:r>
      <w:r w:rsidR="00D07F0D">
        <w:t>T</w:t>
      </w:r>
      <w:r w:rsidR="00E80B12">
        <w:t xml:space="preserve">he test of whether </w:t>
      </w:r>
      <w:r w:rsidR="00AB67BA">
        <w:t>‘Benefit exceeds risk’</w:t>
      </w:r>
      <w:r w:rsidR="00E80B12">
        <w:t xml:space="preserve"> </w:t>
      </w:r>
      <w:r w:rsidR="00D07F0D">
        <w:t>is central to determining</w:t>
      </w:r>
      <w:r w:rsidR="00AB67BA">
        <w:t xml:space="preserve">: </w:t>
      </w:r>
    </w:p>
    <w:p w14:paraId="4CA986EF" w14:textId="1C411AD9" w:rsidR="00E80B12" w:rsidRDefault="00D07F0D">
      <w:pPr>
        <w:pStyle w:val="ListParagraph"/>
        <w:numPr>
          <w:ilvl w:val="0"/>
          <w:numId w:val="10"/>
        </w:numPr>
      </w:pPr>
      <w:r>
        <w:t xml:space="preserve">The acceptability of a </w:t>
      </w:r>
      <w:r w:rsidR="00E80B12">
        <w:t xml:space="preserve">Quality System </w:t>
      </w:r>
      <w:r>
        <w:t xml:space="preserve">or its </w:t>
      </w:r>
      <w:r w:rsidR="00E80B12">
        <w:t>remediations</w:t>
      </w:r>
      <w:bookmarkStart w:id="6" w:name="_Ref146116270"/>
      <w:r w:rsidR="003903FA">
        <w:rPr>
          <w:rStyle w:val="FootnoteReference"/>
        </w:rPr>
        <w:footnoteReference w:id="3"/>
      </w:r>
      <w:bookmarkEnd w:id="6"/>
      <w:r w:rsidR="00E80B12">
        <w:t xml:space="preserve">, </w:t>
      </w:r>
    </w:p>
    <w:p w14:paraId="1FD0CEEE" w14:textId="727E62D7" w:rsidR="00D07F0D" w:rsidRDefault="00D07F0D" w:rsidP="00D07F0D">
      <w:pPr>
        <w:pStyle w:val="ListParagraph"/>
        <w:numPr>
          <w:ilvl w:val="0"/>
          <w:numId w:val="10"/>
        </w:numPr>
      </w:pPr>
      <w:r>
        <w:t>Product Development Actions</w:t>
      </w:r>
      <w:bookmarkStart w:id="7" w:name="_Ref141250503"/>
      <w:r w:rsidR="009E3004">
        <w:rPr>
          <w:rStyle w:val="FootnoteReference"/>
        </w:rPr>
        <w:footnoteReference w:id="4"/>
      </w:r>
      <w:bookmarkEnd w:id="7"/>
      <w:r w:rsidR="009E3004" w:rsidRPr="00AB67BA">
        <w:rPr>
          <w:vertAlign w:val="superscript"/>
        </w:rPr>
        <w:t>,</w:t>
      </w:r>
      <w:bookmarkStart w:id="8" w:name="_Ref141250551"/>
      <w:r w:rsidR="009E3004" w:rsidRPr="00AB67BA">
        <w:rPr>
          <w:vertAlign w:val="superscript"/>
        </w:rPr>
        <w:t xml:space="preserve"> </w:t>
      </w:r>
      <w:r w:rsidR="009E3004">
        <w:rPr>
          <w:rStyle w:val="FootnoteReference"/>
        </w:rPr>
        <w:footnoteReference w:id="5"/>
      </w:r>
      <w:bookmarkEnd w:id="8"/>
      <w:r>
        <w:t>:</w:t>
      </w:r>
    </w:p>
    <w:p w14:paraId="641B767C" w14:textId="4A0EA7E1" w:rsidR="00D07F0D" w:rsidRDefault="00D07F0D" w:rsidP="00D07F0D">
      <w:pPr>
        <w:pStyle w:val="ListParagraph"/>
        <w:numPr>
          <w:ilvl w:val="1"/>
          <w:numId w:val="10"/>
        </w:numPr>
      </w:pPr>
      <w:r>
        <w:t xml:space="preserve">Ethical clinical trials, </w:t>
      </w:r>
    </w:p>
    <w:p w14:paraId="20724B8C" w14:textId="04F6288D" w:rsidR="00D07F0D" w:rsidRDefault="00D07F0D" w:rsidP="00D07F0D">
      <w:pPr>
        <w:pStyle w:val="ListParagraph"/>
        <w:numPr>
          <w:ilvl w:val="1"/>
          <w:numId w:val="10"/>
        </w:numPr>
      </w:pPr>
      <w:r>
        <w:t>Whether a</w:t>
      </w:r>
      <w:r w:rsidRPr="00F60A9B">
        <w:t xml:space="preserve"> product can be </w:t>
      </w:r>
      <w:r>
        <w:t xml:space="preserve">legally sold for use on patients,  </w:t>
      </w:r>
    </w:p>
    <w:p w14:paraId="62100168" w14:textId="578177CE" w:rsidR="00D07F0D" w:rsidRDefault="00E80B12">
      <w:pPr>
        <w:pStyle w:val="ListParagraph"/>
        <w:numPr>
          <w:ilvl w:val="0"/>
          <w:numId w:val="10"/>
        </w:numPr>
      </w:pPr>
      <w:r>
        <w:t>Post</w:t>
      </w:r>
      <w:r w:rsidR="001E41EA">
        <w:t>-</w:t>
      </w:r>
      <w:r>
        <w:t>market actions</w:t>
      </w:r>
      <w:r w:rsidR="009E3004" w:rsidRPr="00160CF6">
        <w:rPr>
          <w:vertAlign w:val="superscript"/>
        </w:rPr>
        <w:fldChar w:fldCharType="begin"/>
      </w:r>
      <w:r w:rsidR="009E3004" w:rsidRPr="00160CF6">
        <w:rPr>
          <w:vertAlign w:val="superscript"/>
        </w:rPr>
        <w:instrText xml:space="preserve"> NOTEREF _Ref146116270 \h  \* MERGEFORMAT </w:instrText>
      </w:r>
      <w:r w:rsidR="009E3004" w:rsidRPr="00160CF6">
        <w:rPr>
          <w:vertAlign w:val="superscript"/>
        </w:rPr>
      </w:r>
      <w:r w:rsidR="009E3004" w:rsidRPr="00160CF6">
        <w:rPr>
          <w:vertAlign w:val="superscript"/>
        </w:rPr>
        <w:fldChar w:fldCharType="separate"/>
      </w:r>
      <w:r w:rsidR="009E3004">
        <w:rPr>
          <w:vertAlign w:val="superscript"/>
        </w:rPr>
        <w:t>5</w:t>
      </w:r>
      <w:r w:rsidR="009E3004" w:rsidRPr="00160CF6">
        <w:rPr>
          <w:vertAlign w:val="superscript"/>
        </w:rPr>
        <w:fldChar w:fldCharType="end"/>
      </w:r>
      <w:r w:rsidR="00D07F0D">
        <w:t>:</w:t>
      </w:r>
      <w:r>
        <w:t xml:space="preserve"> </w:t>
      </w:r>
    </w:p>
    <w:p w14:paraId="3FD46AB5" w14:textId="1E73F9B5" w:rsidR="00D07F0D" w:rsidRDefault="00D07F0D" w:rsidP="00D07F0D">
      <w:pPr>
        <w:pStyle w:val="ListParagraph"/>
        <w:numPr>
          <w:ilvl w:val="1"/>
          <w:numId w:val="10"/>
        </w:numPr>
      </w:pPr>
      <w:r>
        <w:t>A</w:t>
      </w:r>
      <w:r w:rsidR="00E80B12">
        <w:t>udit recommendation</w:t>
      </w:r>
      <w:r>
        <w:t xml:space="preserve">s, </w:t>
      </w:r>
      <w:r w:rsidR="00E80B12">
        <w:t xml:space="preserve"> </w:t>
      </w:r>
    </w:p>
    <w:p w14:paraId="693D9685" w14:textId="683A57CE" w:rsidR="00D07F0D" w:rsidRDefault="00D07F0D" w:rsidP="00D07F0D">
      <w:pPr>
        <w:pStyle w:val="ListParagraph"/>
        <w:numPr>
          <w:ilvl w:val="1"/>
          <w:numId w:val="10"/>
        </w:numPr>
      </w:pPr>
      <w:r>
        <w:t xml:space="preserve">Complaint investigations, </w:t>
      </w:r>
    </w:p>
    <w:p w14:paraId="6F44203D" w14:textId="4C8695CC" w:rsidR="00D07F0D" w:rsidRDefault="00D07F0D" w:rsidP="00D07F0D">
      <w:pPr>
        <w:pStyle w:val="ListParagraph"/>
        <w:numPr>
          <w:ilvl w:val="1"/>
          <w:numId w:val="10"/>
        </w:numPr>
      </w:pPr>
      <w:r>
        <w:lastRenderedPageBreak/>
        <w:t xml:space="preserve">Field actions (including recalls), </w:t>
      </w:r>
    </w:p>
    <w:p w14:paraId="6C779599" w14:textId="5821CC02" w:rsidR="00D07F0D" w:rsidRDefault="00D07F0D" w:rsidP="00D07F0D">
      <w:pPr>
        <w:pStyle w:val="ListParagraph"/>
        <w:numPr>
          <w:ilvl w:val="1"/>
          <w:numId w:val="10"/>
        </w:numPr>
      </w:pPr>
      <w:r>
        <w:t>Whether to s</w:t>
      </w:r>
      <w:r w:rsidR="00E80B12">
        <w:t>hut a company</w:t>
      </w:r>
      <w:r>
        <w:t xml:space="preserve"> down, and</w:t>
      </w:r>
    </w:p>
    <w:p w14:paraId="7118D498" w14:textId="226439D8" w:rsidR="00C16BCD" w:rsidRPr="00F60A9B" w:rsidRDefault="00D07F0D" w:rsidP="00AA2310">
      <w:pPr>
        <w:pStyle w:val="ListParagraph"/>
        <w:numPr>
          <w:ilvl w:val="1"/>
          <w:numId w:val="10"/>
        </w:numPr>
      </w:pPr>
      <w:r>
        <w:t>Product liability lawsuits</w:t>
      </w:r>
      <w:r w:rsidR="009E3004">
        <w:t xml:space="preserve">. </w:t>
      </w:r>
      <w:r>
        <w:t xml:space="preserve"> </w:t>
      </w:r>
    </w:p>
    <w:p w14:paraId="73490677" w14:textId="77777777" w:rsidR="007C065C" w:rsidRPr="00F60A9B" w:rsidRDefault="007C065C" w:rsidP="00AA2310">
      <w:pPr>
        <w:spacing w:after="0" w:line="240" w:lineRule="auto"/>
        <w:rPr>
          <w:b/>
          <w:bCs/>
          <w:u w:val="single"/>
        </w:rPr>
      </w:pPr>
    </w:p>
    <w:p w14:paraId="37D0BB2C" w14:textId="52ADB096" w:rsidR="007C065C" w:rsidRPr="00422D28" w:rsidRDefault="007C065C" w:rsidP="00AA2310">
      <w:pPr>
        <w:pStyle w:val="Heading2"/>
        <w:keepNext w:val="0"/>
        <w:keepLines w:val="0"/>
        <w:rPr>
          <w:b/>
          <w:bCs/>
          <w:u w:val="single"/>
        </w:rPr>
      </w:pPr>
      <w:bookmarkStart w:id="9" w:name="_Toc156728638"/>
      <w:r w:rsidRPr="00422D28">
        <w:rPr>
          <w:b/>
          <w:bCs/>
          <w:u w:val="single"/>
        </w:rPr>
        <w:t>The Current State</w:t>
      </w:r>
      <w:bookmarkEnd w:id="9"/>
      <w:r w:rsidR="00811F51" w:rsidRPr="00422D28">
        <w:rPr>
          <w:b/>
          <w:bCs/>
          <w:u w:val="single"/>
        </w:rPr>
        <w:t xml:space="preserve"> </w:t>
      </w:r>
    </w:p>
    <w:p w14:paraId="637DEBFA" w14:textId="209EA390" w:rsidR="00833ED1" w:rsidRPr="00F60A9B" w:rsidRDefault="00833ED1" w:rsidP="00AA2310">
      <w:pPr>
        <w:rPr>
          <w:rFonts w:eastAsiaTheme="minorEastAsia"/>
        </w:rPr>
      </w:pPr>
      <w:r w:rsidRPr="00F60A9B">
        <w:rPr>
          <w:rFonts w:eastAsiaTheme="minorEastAsia"/>
        </w:rPr>
        <w:t xml:space="preserve">If we define </w:t>
      </w:r>
      <w:r w:rsidR="00DC26CB" w:rsidRPr="00F60A9B">
        <w:rPr>
          <w:rFonts w:eastAsiaTheme="minorEastAsia"/>
        </w:rPr>
        <w:t>the likely</w:t>
      </w:r>
      <w:r w:rsidR="00392B7C">
        <w:rPr>
          <w:rFonts w:eastAsiaTheme="minorEastAsia"/>
        </w:rPr>
        <w:t xml:space="preserve"> amount of</w:t>
      </w:r>
      <w:r w:rsidR="00DC26CB" w:rsidRPr="00F60A9B">
        <w:rPr>
          <w:rFonts w:eastAsiaTheme="minorEastAsia"/>
        </w:rPr>
        <w:t xml:space="preserve"> </w:t>
      </w:r>
      <w:r w:rsidRPr="00F60A9B">
        <w:rPr>
          <w:rFonts w:eastAsiaTheme="minorEastAsia"/>
        </w:rPr>
        <w:t xml:space="preserve">patient benefit </w:t>
      </w:r>
      <w:r w:rsidR="000D32C8" w:rsidRPr="00F60A9B">
        <w:rPr>
          <w:rFonts w:eastAsiaTheme="minorEastAsia"/>
        </w:rPr>
        <w:t xml:space="preserve">of a medical </w:t>
      </w:r>
      <w:r w:rsidR="00F82A10" w:rsidRPr="00F60A9B">
        <w:rPr>
          <w:rFonts w:eastAsiaTheme="minorEastAsia"/>
        </w:rPr>
        <w:t>device</w:t>
      </w:r>
      <w:r w:rsidR="00156804">
        <w:rPr>
          <w:rFonts w:eastAsiaTheme="minorEastAsia"/>
        </w:rPr>
        <w:t xml:space="preserve"> or procedure</w:t>
      </w:r>
      <w:r w:rsidR="000D32C8" w:rsidRPr="00F60A9B">
        <w:rPr>
          <w:rFonts w:eastAsiaTheme="minorEastAsia"/>
        </w:rPr>
        <w:t xml:space="preserve"> </w:t>
      </w:r>
      <w:r w:rsidRPr="00F60A9B">
        <w:rPr>
          <w:rFonts w:eastAsiaTheme="minorEastAsia"/>
        </w:rPr>
        <w:t xml:space="preserve">as </w:t>
      </w:r>
      <m:oMath>
        <m:r>
          <w:rPr>
            <w:rFonts w:ascii="Cambria Math" w:hAnsi="Cambria Math"/>
          </w:rPr>
          <m:t>B</m:t>
        </m:r>
      </m:oMath>
      <w:r w:rsidRPr="00F60A9B">
        <w:rPr>
          <w:rFonts w:eastAsiaTheme="minorEastAsia"/>
        </w:rPr>
        <w:t xml:space="preserve"> and </w:t>
      </w:r>
      <w:bookmarkStart w:id="10" w:name="OLE_LINK1"/>
      <w:r w:rsidR="00DC26CB" w:rsidRPr="00F60A9B">
        <w:rPr>
          <w:rFonts w:eastAsiaTheme="minorEastAsia"/>
        </w:rPr>
        <w:t>the likely</w:t>
      </w:r>
      <w:r w:rsidR="00392B7C">
        <w:rPr>
          <w:rFonts w:eastAsiaTheme="minorEastAsia"/>
        </w:rPr>
        <w:t xml:space="preserve"> amount of </w:t>
      </w:r>
      <w:r w:rsidRPr="00F60A9B">
        <w:rPr>
          <w:rFonts w:eastAsiaTheme="minorEastAsia"/>
        </w:rPr>
        <w:t>patient risk</w:t>
      </w:r>
      <w:r w:rsidR="000D32C8" w:rsidRPr="00F60A9B">
        <w:rPr>
          <w:rFonts w:eastAsiaTheme="minorEastAsia"/>
        </w:rPr>
        <w:t xml:space="preserve"> of a medical </w:t>
      </w:r>
      <w:r w:rsidR="00F82A10" w:rsidRPr="00F60A9B">
        <w:rPr>
          <w:rFonts w:eastAsiaTheme="minorEastAsia"/>
        </w:rPr>
        <w:t>device</w:t>
      </w:r>
      <w:bookmarkEnd w:id="10"/>
      <w:r w:rsidR="00156804">
        <w:rPr>
          <w:rFonts w:eastAsiaTheme="minorEastAsia"/>
        </w:rPr>
        <w:t xml:space="preserve"> or </w:t>
      </w:r>
      <w:r w:rsidR="00EB439A">
        <w:rPr>
          <w:rFonts w:eastAsiaTheme="minorEastAsia"/>
        </w:rPr>
        <w:t>procedure</w:t>
      </w:r>
      <w:r w:rsidR="000D32C8" w:rsidRPr="00F60A9B">
        <w:rPr>
          <w:rFonts w:eastAsiaTheme="minorEastAsia"/>
        </w:rPr>
        <w:t xml:space="preserve"> </w:t>
      </w:r>
      <w:r w:rsidRPr="00F60A9B">
        <w:rPr>
          <w:rFonts w:eastAsiaTheme="minorEastAsia"/>
        </w:rPr>
        <w:t xml:space="preserve">as </w:t>
      </w:r>
      <m:oMath>
        <m:r>
          <w:rPr>
            <w:rFonts w:ascii="Cambria Math" w:hAnsi="Cambria Math"/>
          </w:rPr>
          <m:t>R</m:t>
        </m:r>
      </m:oMath>
      <w:r w:rsidRPr="00F60A9B">
        <w:rPr>
          <w:rFonts w:eastAsiaTheme="minorEastAsia"/>
        </w:rPr>
        <w:t xml:space="preserve">, then the statement that benefit exceeds risk can be written as:  </w:t>
      </w:r>
    </w:p>
    <w:p w14:paraId="1194B1C6" w14:textId="77777777" w:rsidR="00D31EC9" w:rsidRPr="00F60A9B" w:rsidRDefault="00D31EC9" w:rsidP="0017392D">
      <w:pPr>
        <w:keepNext/>
        <w:spacing w:after="0" w:line="240" w:lineRule="auto"/>
      </w:pPr>
      <m:oMathPara>
        <m:oMath>
          <m:r>
            <w:rPr>
              <w:rFonts w:ascii="Cambria Math" w:hAnsi="Cambria Math"/>
            </w:rPr>
            <m:t>B&gt;R</m:t>
          </m:r>
        </m:oMath>
      </m:oMathPara>
    </w:p>
    <w:p w14:paraId="1074C369" w14:textId="23B43F12" w:rsidR="00D31EC9" w:rsidRPr="00F60A9B" w:rsidRDefault="00D31EC9" w:rsidP="0017392D">
      <w:pPr>
        <w:pStyle w:val="Caption"/>
        <w:jc w:val="right"/>
        <w:rPr>
          <w:color w:val="auto"/>
        </w:rPr>
      </w:pPr>
      <w:bookmarkStart w:id="11" w:name="_Ref132953418"/>
      <w:r w:rsidRPr="00F60A9B">
        <w:rPr>
          <w:color w:val="auto"/>
        </w:rPr>
        <w:t xml:space="preserve">Equation </w:t>
      </w:r>
      <w:r w:rsidR="005134A0">
        <w:rPr>
          <w:color w:val="auto"/>
        </w:rPr>
        <w:fldChar w:fldCharType="begin"/>
      </w:r>
      <w:r w:rsidR="005134A0">
        <w:rPr>
          <w:color w:val="auto"/>
        </w:rPr>
        <w:instrText xml:space="preserve"> SEQ Equation \* ARABIC </w:instrText>
      </w:r>
      <w:r w:rsidR="005134A0">
        <w:rPr>
          <w:color w:val="auto"/>
        </w:rPr>
        <w:fldChar w:fldCharType="separate"/>
      </w:r>
      <w:r w:rsidR="003468AE">
        <w:rPr>
          <w:noProof/>
          <w:color w:val="auto"/>
        </w:rPr>
        <w:t>1</w:t>
      </w:r>
      <w:r w:rsidR="005134A0">
        <w:rPr>
          <w:color w:val="auto"/>
        </w:rPr>
        <w:fldChar w:fldCharType="end"/>
      </w:r>
      <w:bookmarkEnd w:id="11"/>
    </w:p>
    <w:p w14:paraId="24696D68" w14:textId="011F3977" w:rsidR="00C16BCD" w:rsidRPr="00F60A9B" w:rsidRDefault="00F82A10">
      <w:r w:rsidRPr="00F60A9B">
        <w:t>Ironically, d</w:t>
      </w:r>
      <w:r w:rsidR="00B800C4" w:rsidRPr="00F60A9B">
        <w:t xml:space="preserve">espite </w:t>
      </w:r>
      <w:r w:rsidR="00AA1E29">
        <w:t xml:space="preserve">the long-standing requirement from </w:t>
      </w:r>
      <w:r w:rsidR="00833ED1" w:rsidRPr="00F60A9B">
        <w:t xml:space="preserve">both FDA and </w:t>
      </w:r>
      <w:r w:rsidR="007F6B1B" w:rsidRPr="00F60A9B">
        <w:t>EU</w:t>
      </w:r>
      <w:r w:rsidRPr="00F60A9B">
        <w:t xml:space="preserve"> requiring medical manufacturers to show </w:t>
      </w:r>
      <w:r w:rsidRPr="00F60A9B">
        <w:fldChar w:fldCharType="begin"/>
      </w:r>
      <w:r w:rsidRPr="00F60A9B">
        <w:instrText xml:space="preserve"> REF _Ref132953418 \h </w:instrText>
      </w:r>
      <w:r w:rsidRPr="00F60A9B">
        <w:fldChar w:fldCharType="separate"/>
      </w:r>
      <w:r w:rsidR="001E41EA" w:rsidRPr="00F60A9B">
        <w:t xml:space="preserve">Equation </w:t>
      </w:r>
      <w:r w:rsidR="001E41EA">
        <w:rPr>
          <w:noProof/>
        </w:rPr>
        <w:t>1</w:t>
      </w:r>
      <w:r w:rsidRPr="00F60A9B">
        <w:fldChar w:fldCharType="end"/>
      </w:r>
      <w:r w:rsidRPr="00F60A9B">
        <w:t xml:space="preserve"> is true</w:t>
      </w:r>
      <w:r w:rsidR="00B800C4" w:rsidRPr="00F60A9B">
        <w:t xml:space="preserve">, we have yet </w:t>
      </w:r>
      <w:r w:rsidR="00007844" w:rsidRPr="00F60A9B">
        <w:t xml:space="preserve">to </w:t>
      </w:r>
      <w:r w:rsidR="00B800C4" w:rsidRPr="00F60A9B">
        <w:t>develop</w:t>
      </w:r>
      <w:r w:rsidR="00007844" w:rsidRPr="00F60A9B">
        <w:t xml:space="preserve"> </w:t>
      </w:r>
      <w:r w:rsidR="00352EF7">
        <w:t xml:space="preserve">an </w:t>
      </w:r>
      <w:r w:rsidR="00B800C4" w:rsidRPr="00F60A9B">
        <w:t>objective</w:t>
      </w:r>
      <w:r w:rsidR="00352EF7">
        <w:t xml:space="preserve"> and structured approach</w:t>
      </w:r>
      <w:r w:rsidR="00352EF7" w:rsidRPr="00F60A9B">
        <w:t xml:space="preserve"> </w:t>
      </w:r>
      <w:r w:rsidR="00B800C4" w:rsidRPr="00F60A9B">
        <w:t xml:space="preserve">to </w:t>
      </w:r>
      <w:r w:rsidR="00492838" w:rsidRPr="00F60A9B">
        <w:t xml:space="preserve">show </w:t>
      </w:r>
      <w:r w:rsidR="00F530AD">
        <w:t xml:space="preserve">that a product or procedure’s </w:t>
      </w:r>
      <w:r w:rsidR="00492838" w:rsidRPr="00F60A9B">
        <w:t xml:space="preserve">benefit exceeds </w:t>
      </w:r>
      <w:r w:rsidR="00F530AD">
        <w:t xml:space="preserve">its </w:t>
      </w:r>
      <w:r w:rsidR="00492838" w:rsidRPr="00F60A9B">
        <w:t>risk</w:t>
      </w:r>
      <w:r w:rsidR="00910B94">
        <w:rPr>
          <w:rStyle w:val="FootnoteReference"/>
        </w:rPr>
        <w:footnoteReference w:id="6"/>
      </w:r>
      <w:r w:rsidR="00B800C4" w:rsidRPr="00F60A9B">
        <w:t xml:space="preserve">.  </w:t>
      </w:r>
    </w:p>
    <w:p w14:paraId="61C88A6E" w14:textId="3BF1C6FA" w:rsidR="00B800C4" w:rsidRPr="00F60A9B" w:rsidRDefault="00B800C4" w:rsidP="00C1046B">
      <w:pPr>
        <w:pStyle w:val="ListParagraph"/>
        <w:numPr>
          <w:ilvl w:val="0"/>
          <w:numId w:val="1"/>
        </w:numPr>
        <w:spacing w:after="100"/>
        <w:contextualSpacing w:val="0"/>
      </w:pPr>
      <w:r w:rsidRPr="00F60A9B">
        <w:t xml:space="preserve">On the ‘risk’ side of the equation, we have developed </w:t>
      </w:r>
      <w:r w:rsidR="00FE43F5" w:rsidRPr="00F60A9B">
        <w:t xml:space="preserve">sophisticated </w:t>
      </w:r>
      <w:r w:rsidRPr="00F60A9B">
        <w:t xml:space="preserve">tools to help us understand </w:t>
      </w:r>
      <w:r w:rsidR="00995AEB" w:rsidRPr="00F60A9B">
        <w:t>and measure ‘</w:t>
      </w:r>
      <w:r w:rsidRPr="00F60A9B">
        <w:t>risk</w:t>
      </w:r>
      <w:r w:rsidR="007155FC" w:rsidRPr="00F60A9B">
        <w:t>’ and</w:t>
      </w:r>
      <w:r w:rsidR="00FE43F5" w:rsidRPr="00F60A9B">
        <w:t xml:space="preserve"> </w:t>
      </w:r>
      <w:r w:rsidR="00AA1E29">
        <w:t xml:space="preserve">have </w:t>
      </w:r>
      <w:r w:rsidR="00FE43F5" w:rsidRPr="00F60A9B">
        <w:t>spent millions of hours training people how to use these tools effectively</w:t>
      </w:r>
      <w:r w:rsidRPr="00F60A9B">
        <w:t xml:space="preserve">.  For </w:t>
      </w:r>
      <w:r w:rsidR="007155FC" w:rsidRPr="00F60A9B">
        <w:t>a small</w:t>
      </w:r>
      <w:r w:rsidRPr="00F60A9B">
        <w:t xml:space="preserve"> sampling</w:t>
      </w:r>
      <w:r w:rsidR="00995AEB" w:rsidRPr="00F60A9B">
        <w:t xml:space="preserve"> of the </w:t>
      </w:r>
      <w:r w:rsidR="00FE43F5" w:rsidRPr="00F60A9B">
        <w:t>tools</w:t>
      </w:r>
      <w:r w:rsidR="00785314" w:rsidRPr="00F60A9B">
        <w:t xml:space="preserve"> t</w:t>
      </w:r>
      <w:r w:rsidR="0044369D" w:rsidRPr="00F60A9B">
        <w:t xml:space="preserve">hat </w:t>
      </w:r>
      <w:r w:rsidR="004A26A2" w:rsidRPr="00F60A9B">
        <w:t xml:space="preserve">have </w:t>
      </w:r>
      <w:r w:rsidR="0044369D" w:rsidRPr="00F60A9B">
        <w:t>help</w:t>
      </w:r>
      <w:r w:rsidR="004A26A2" w:rsidRPr="00F60A9B">
        <w:t>ed</w:t>
      </w:r>
      <w:r w:rsidR="0044369D" w:rsidRPr="00F60A9B">
        <w:t xml:space="preserve"> us understand </w:t>
      </w:r>
      <w:r w:rsidR="00785314" w:rsidRPr="00F60A9B">
        <w:t>risk</w:t>
      </w:r>
      <w:r w:rsidRPr="00F60A9B">
        <w:t xml:space="preserve">, </w:t>
      </w:r>
      <w:r w:rsidR="007155FC" w:rsidRPr="00F60A9B">
        <w:t>I will</w:t>
      </w:r>
      <w:r w:rsidRPr="00F60A9B">
        <w:t xml:space="preserve"> me</w:t>
      </w:r>
      <w:r w:rsidR="00995AEB" w:rsidRPr="00F60A9B">
        <w:t>n</w:t>
      </w:r>
      <w:r w:rsidRPr="00F60A9B">
        <w:t>tion:</w:t>
      </w:r>
      <w:r w:rsidR="0044369D" w:rsidRPr="00F60A9B">
        <w:t xml:space="preserve"> </w:t>
      </w:r>
    </w:p>
    <w:p w14:paraId="6996A580" w14:textId="523CBB16" w:rsidR="00B800C4" w:rsidRPr="00F60A9B" w:rsidRDefault="00B800C4" w:rsidP="00C1046B">
      <w:pPr>
        <w:pStyle w:val="ListParagraph"/>
        <w:numPr>
          <w:ilvl w:val="1"/>
          <w:numId w:val="1"/>
        </w:numPr>
        <w:spacing w:after="100"/>
        <w:contextualSpacing w:val="0"/>
      </w:pPr>
      <w:r w:rsidRPr="00F60A9B">
        <w:t>Failure Mode Analysis (FMA)</w:t>
      </w:r>
      <w:r w:rsidR="00432077">
        <w:rPr>
          <w:rStyle w:val="FootnoteReference"/>
        </w:rPr>
        <w:footnoteReference w:id="7"/>
      </w:r>
      <w:r w:rsidR="00995AEB" w:rsidRPr="00F60A9B">
        <w:t>, originating</w:t>
      </w:r>
      <w:r w:rsidRPr="00F60A9B">
        <w:t xml:space="preserve"> during WW</w:t>
      </w:r>
      <w:r w:rsidR="007451F9" w:rsidRPr="00F60A9B">
        <w:t>I</w:t>
      </w:r>
      <w:r w:rsidRPr="00F60A9B">
        <w:t xml:space="preserve">I, </w:t>
      </w:r>
    </w:p>
    <w:p w14:paraId="23AE25FF" w14:textId="687090EA" w:rsidR="0074093B" w:rsidRPr="00F60A9B" w:rsidRDefault="00B800C4" w:rsidP="007451F9">
      <w:pPr>
        <w:pStyle w:val="ListParagraph"/>
        <w:numPr>
          <w:ilvl w:val="1"/>
          <w:numId w:val="1"/>
        </w:numPr>
        <w:spacing w:after="100"/>
        <w:contextualSpacing w:val="0"/>
      </w:pPr>
      <w:r w:rsidRPr="00F60A9B">
        <w:t>Fault Tree Analysis (FTA)</w:t>
      </w:r>
      <w:r w:rsidR="00995AEB" w:rsidRPr="00F60A9B">
        <w:t xml:space="preserve">, originating during </w:t>
      </w:r>
      <w:r w:rsidRPr="00F60A9B">
        <w:t xml:space="preserve">the 1960s, </w:t>
      </w:r>
      <w:r w:rsidR="0074093B" w:rsidRPr="00F60A9B">
        <w:t xml:space="preserve">and </w:t>
      </w:r>
    </w:p>
    <w:p w14:paraId="7238E270" w14:textId="4AE79513" w:rsidR="00B800C4" w:rsidRPr="00F60A9B" w:rsidRDefault="00CA6E47" w:rsidP="0074093B">
      <w:pPr>
        <w:pStyle w:val="ListParagraph"/>
        <w:numPr>
          <w:ilvl w:val="1"/>
          <w:numId w:val="1"/>
        </w:numPr>
        <w:spacing w:after="100"/>
        <w:contextualSpacing w:val="0"/>
      </w:pPr>
      <w:r w:rsidRPr="00F60A9B">
        <w:t xml:space="preserve">Risk Prediction </w:t>
      </w:r>
      <w:r w:rsidR="002765EF" w:rsidRPr="00F60A9B">
        <w:t>for</w:t>
      </w:r>
      <w:r w:rsidRPr="00F60A9B">
        <w:t xml:space="preserve"> Surgery, </w:t>
      </w:r>
      <w:hyperlink r:id="rId9" w:history="1">
        <w:r w:rsidRPr="00F60A9B">
          <w:rPr>
            <w:rStyle w:val="Hyperlink"/>
            <w:color w:val="auto"/>
          </w:rPr>
          <w:t>http://www.riskprediction.org.uk/</w:t>
        </w:r>
      </w:hyperlink>
      <w:r w:rsidRPr="00F60A9B">
        <w:t xml:space="preserve">, </w:t>
      </w:r>
      <w:r w:rsidR="003A63C2" w:rsidRPr="00F60A9B">
        <w:t xml:space="preserve">with elements from 2016. </w:t>
      </w:r>
    </w:p>
    <w:p w14:paraId="4319F156" w14:textId="00306E7F" w:rsidR="00E007E2" w:rsidRPr="00F60A9B" w:rsidRDefault="00E007E2" w:rsidP="00C1046B">
      <w:pPr>
        <w:pStyle w:val="ListParagraph"/>
        <w:numPr>
          <w:ilvl w:val="0"/>
          <w:numId w:val="1"/>
        </w:numPr>
        <w:spacing w:after="100"/>
        <w:contextualSpacing w:val="0"/>
      </w:pPr>
      <w:r w:rsidRPr="00F60A9B">
        <w:t>On the ‘benefit’ side of the equation, we have</w:t>
      </w:r>
      <w:r w:rsidR="00FE43F5" w:rsidRPr="00F60A9B">
        <w:t>, unfortunately,</w:t>
      </w:r>
      <w:r w:rsidRPr="00F60A9B">
        <w:t xml:space="preserve"> not made similar advances: </w:t>
      </w:r>
    </w:p>
    <w:p w14:paraId="1FA7F84F" w14:textId="1EB6E209" w:rsidR="004F0A81" w:rsidRDefault="004F0A81" w:rsidP="00AA1E29">
      <w:pPr>
        <w:pStyle w:val="ListParagraph"/>
        <w:numPr>
          <w:ilvl w:val="1"/>
          <w:numId w:val="1"/>
        </w:numPr>
        <w:spacing w:after="100"/>
        <w:contextualSpacing w:val="0"/>
      </w:pPr>
      <w:r>
        <w:t xml:space="preserve">There are no methods for measuring benefit that are analogous to FMEA, FTA, Risk Prediction, etc. </w:t>
      </w:r>
    </w:p>
    <w:p w14:paraId="4771688E" w14:textId="4C3B4F8E" w:rsidR="004F0A81" w:rsidRDefault="004F0A81" w:rsidP="004F0A81">
      <w:pPr>
        <w:pStyle w:val="ListParagraph"/>
        <w:numPr>
          <w:ilvl w:val="2"/>
          <w:numId w:val="1"/>
        </w:numPr>
        <w:spacing w:after="100"/>
        <w:contextualSpacing w:val="0"/>
      </w:pPr>
      <w:r>
        <w:t>The closest thing to a universal metric for benefit is ‘financial units’ (e.g., Dollars, Euros, Yen, etc.)</w:t>
      </w:r>
      <w:r w:rsidR="00A62050">
        <w:t xml:space="preserve">.  However, </w:t>
      </w:r>
      <w:r>
        <w:t xml:space="preserve">this metric is not suited to medicine because </w:t>
      </w:r>
      <w:r w:rsidRPr="00F60A9B">
        <w:t xml:space="preserve">Regulators want the patient’s welfare, </w:t>
      </w:r>
      <w:r w:rsidR="00A62050">
        <w:t xml:space="preserve">and </w:t>
      </w:r>
      <w:r w:rsidRPr="00F60A9B">
        <w:t>not finances, to be</w:t>
      </w:r>
      <w:r>
        <w:t xml:space="preserve"> the focus of risk management</w:t>
      </w:r>
      <w:r w:rsidRPr="00F60A9B">
        <w:t>.</w:t>
      </w:r>
      <w:r>
        <w:t xml:space="preserve"> </w:t>
      </w:r>
    </w:p>
    <w:p w14:paraId="39A09BFE" w14:textId="51E28153" w:rsidR="00AA1E29" w:rsidRPr="00F60A9B" w:rsidRDefault="00AA1E29" w:rsidP="0016793F">
      <w:pPr>
        <w:pStyle w:val="ListParagraph"/>
        <w:numPr>
          <w:ilvl w:val="1"/>
          <w:numId w:val="1"/>
        </w:numPr>
        <w:spacing w:after="100"/>
        <w:contextualSpacing w:val="0"/>
      </w:pPr>
      <w:r w:rsidRPr="00F60A9B">
        <w:rPr>
          <w:rFonts w:eastAsia="TimesNewRomanPSMT" w:cs="TimesNewRomanPSMT"/>
          <w:szCs w:val="24"/>
        </w:rPr>
        <w:t>In contrast to 21 C.F.R. § 820.30(b)-(f)</w:t>
      </w:r>
      <w:r w:rsidRPr="00F60A9B">
        <w:rPr>
          <w:rStyle w:val="FootnoteReference"/>
          <w:rFonts w:eastAsia="TimesNewRomanPSMT" w:cs="TimesNewRomanPSMT"/>
          <w:szCs w:val="24"/>
        </w:rPr>
        <w:footnoteReference w:id="8"/>
      </w:r>
      <w:r w:rsidRPr="00F60A9B">
        <w:rPr>
          <w:rFonts w:eastAsia="TimesNewRomanPSMT" w:cs="TimesNewRomanPSMT"/>
          <w:szCs w:val="24"/>
        </w:rPr>
        <w:t xml:space="preserve">, which requires device manufacturers to establish and maintain procedures on risk analysis, there are no regulatory requirements to establish or maintain procedures on benefit analysis. </w:t>
      </w:r>
      <w:r>
        <w:rPr>
          <w:rFonts w:eastAsia="TimesNewRomanPSMT" w:cs="TimesNewRomanPSMT"/>
          <w:szCs w:val="24"/>
        </w:rPr>
        <w:t xml:space="preserve"> </w:t>
      </w:r>
    </w:p>
    <w:p w14:paraId="2A1F6338" w14:textId="20C258B7" w:rsidR="00995AEB" w:rsidRPr="00F60A9B" w:rsidRDefault="004D1AF3" w:rsidP="0016793F">
      <w:pPr>
        <w:pStyle w:val="ListParagraph"/>
        <w:numPr>
          <w:ilvl w:val="0"/>
          <w:numId w:val="1"/>
        </w:numPr>
        <w:spacing w:after="100"/>
        <w:contextualSpacing w:val="0"/>
      </w:pPr>
      <w:r w:rsidRPr="00F60A9B">
        <w:t xml:space="preserve">Regarding </w:t>
      </w:r>
      <w:r w:rsidR="00F530AD">
        <w:t>our ability to decide whether ‘benefit’ or ‘</w:t>
      </w:r>
      <w:r w:rsidRPr="00F60A9B">
        <w:t>risk’</w:t>
      </w:r>
      <w:r w:rsidR="00F530AD">
        <w:t xml:space="preserve"> is larger</w:t>
      </w:r>
      <w:r w:rsidRPr="00F60A9B">
        <w:t xml:space="preserve">: </w:t>
      </w:r>
      <w:r w:rsidR="00A44BAE" w:rsidRPr="00F60A9B">
        <w:t xml:space="preserve"> </w:t>
      </w:r>
    </w:p>
    <w:p w14:paraId="64E93AAA" w14:textId="4DA121FA" w:rsidR="00640769" w:rsidRDefault="001F0CEE" w:rsidP="0016793F">
      <w:pPr>
        <w:pStyle w:val="ListParagraph"/>
        <w:numPr>
          <w:ilvl w:val="1"/>
          <w:numId w:val="1"/>
        </w:numPr>
        <w:spacing w:after="100"/>
        <w:contextualSpacing w:val="0"/>
      </w:pPr>
      <w:r>
        <w:t>In most Benefit-Risk analyses, the b</w:t>
      </w:r>
      <w:r w:rsidR="004D1AF3" w:rsidRPr="00F60A9B">
        <w:t xml:space="preserve">enefit and risk are stated in independent and unrelated manners, e.g., </w:t>
      </w:r>
      <w:r w:rsidR="00C1046B" w:rsidRPr="00F60A9B">
        <w:t>in the FDA Guidance</w:t>
      </w:r>
      <w:r w:rsidR="00160CF6" w:rsidRPr="00160CF6">
        <w:rPr>
          <w:vertAlign w:val="superscript"/>
        </w:rPr>
        <w:fldChar w:fldCharType="begin"/>
      </w:r>
      <w:r w:rsidR="00160CF6" w:rsidRPr="00160CF6">
        <w:rPr>
          <w:vertAlign w:val="superscript"/>
        </w:rPr>
        <w:instrText xml:space="preserve"> NOTEREF _Ref146116270 \h  \* MERGEFORMAT </w:instrText>
      </w:r>
      <w:r w:rsidR="00160CF6" w:rsidRPr="00160CF6">
        <w:rPr>
          <w:vertAlign w:val="superscript"/>
        </w:rPr>
      </w:r>
      <w:r w:rsidR="00160CF6" w:rsidRPr="00160CF6">
        <w:rPr>
          <w:vertAlign w:val="superscript"/>
        </w:rPr>
        <w:fldChar w:fldCharType="separate"/>
      </w:r>
      <w:r w:rsidR="001E41EA">
        <w:rPr>
          <w:vertAlign w:val="superscript"/>
        </w:rPr>
        <w:t>5</w:t>
      </w:r>
      <w:r w:rsidR="00160CF6" w:rsidRPr="00160CF6">
        <w:rPr>
          <w:vertAlign w:val="superscript"/>
        </w:rPr>
        <w:fldChar w:fldCharType="end"/>
      </w:r>
      <w:r w:rsidR="00C1046B" w:rsidRPr="00F60A9B">
        <w:t xml:space="preserve"> on </w:t>
      </w:r>
      <w:r w:rsidR="00EC42E0">
        <w:t>Benefit-Risk</w:t>
      </w:r>
      <w:r w:rsidR="00C1046B" w:rsidRPr="00F60A9B">
        <w:t xml:space="preserve"> analysis, the statements regarding risks and benefits discuss completely different topics, with no obvious way to compare them.</w:t>
      </w:r>
      <w:r w:rsidR="00F31A42" w:rsidRPr="00F60A9B">
        <w:t xml:space="preserve"> </w:t>
      </w:r>
      <w:r w:rsidR="00C1046B" w:rsidRPr="00F60A9B">
        <w:t xml:space="preserve"> Example 1</w:t>
      </w:r>
      <w:r w:rsidR="00F31A42" w:rsidRPr="00F60A9B">
        <w:t xml:space="preserve"> </w:t>
      </w:r>
      <w:r w:rsidR="00242978" w:rsidRPr="00F60A9B">
        <w:t xml:space="preserve">of this guidance discusses </w:t>
      </w:r>
      <w:r w:rsidR="00C1046B" w:rsidRPr="00F60A9B">
        <w:t>“</w:t>
      </w:r>
      <w:r w:rsidR="005D2E21">
        <w:t>aesthetic device</w:t>
      </w:r>
      <w:r w:rsidR="00C1046B" w:rsidRPr="00F60A9B">
        <w:t>”</w:t>
      </w:r>
      <w:r w:rsidR="00F31A42" w:rsidRPr="00F60A9B">
        <w:t xml:space="preserve">. </w:t>
      </w:r>
      <w:r w:rsidR="00C1046B" w:rsidRPr="00F60A9B">
        <w:t xml:space="preserve"> </w:t>
      </w:r>
      <w:r w:rsidR="00F31A42" w:rsidRPr="00F60A9B">
        <w:t>T</w:t>
      </w:r>
      <w:r w:rsidR="00C1046B" w:rsidRPr="00F60A9B">
        <w:t xml:space="preserve">he benefit </w:t>
      </w:r>
      <w:r w:rsidR="00F31A42" w:rsidRPr="00F60A9B">
        <w:t xml:space="preserve">for </w:t>
      </w:r>
      <w:r w:rsidR="00F31A42" w:rsidRPr="00F60A9B">
        <w:lastRenderedPageBreak/>
        <w:t xml:space="preserve">this device </w:t>
      </w:r>
      <w:r w:rsidR="00C1046B" w:rsidRPr="00F60A9B">
        <w:t xml:space="preserve">is simply stated as “moderate,” with “some patients . . . [seeing] long-term aesthetic improvement” and the risks were stated as “adverse events of varying severity.”  These statements </w:t>
      </w:r>
      <w:r w:rsidR="00B97111" w:rsidRPr="00F60A9B">
        <w:t>have</w:t>
      </w:r>
      <w:r w:rsidR="00C1046B" w:rsidRPr="00F60A9B">
        <w:t xml:space="preserve"> no </w:t>
      </w:r>
      <w:r w:rsidR="00B97111" w:rsidRPr="00F60A9B">
        <w:t xml:space="preserve">obvious </w:t>
      </w:r>
      <w:r w:rsidR="00C1046B" w:rsidRPr="00F60A9B">
        <w:t xml:space="preserve">way to </w:t>
      </w:r>
      <w:r w:rsidR="00242978" w:rsidRPr="00F60A9B">
        <w:t xml:space="preserve">be compared, making it difficult to defend statements that benefit exceeds risk or </w:t>
      </w:r>
      <w:r w:rsidR="00026C48" w:rsidRPr="00F60A9B">
        <w:t>vice</w:t>
      </w:r>
      <w:r w:rsidR="00242978" w:rsidRPr="00F60A9B">
        <w:t xml:space="preserve"> versa</w:t>
      </w:r>
      <w:r w:rsidR="00C1046B" w:rsidRPr="00F60A9B">
        <w:t>.</w:t>
      </w:r>
      <w:r w:rsidR="00A44BAE" w:rsidRPr="00F60A9B">
        <w:t xml:space="preserve">  </w:t>
      </w:r>
    </w:p>
    <w:p w14:paraId="16DDCF1D" w14:textId="429E6727" w:rsidR="00640769" w:rsidRDefault="004F0A81" w:rsidP="0016793F">
      <w:pPr>
        <w:pStyle w:val="ListParagraph"/>
        <w:numPr>
          <w:ilvl w:val="1"/>
          <w:numId w:val="1"/>
        </w:numPr>
        <w:spacing w:after="100"/>
        <w:contextualSpacing w:val="0"/>
      </w:pPr>
      <w:r>
        <w:t>Some progress has been made measuring both benefit and risk with the metric “change to the patient’s lifespan”</w:t>
      </w:r>
      <w:bookmarkStart w:id="12" w:name="_Ref144298192"/>
      <w:r>
        <w:rPr>
          <w:rStyle w:val="FootnoteReference"/>
        </w:rPr>
        <w:footnoteReference w:id="9"/>
      </w:r>
      <w:bookmarkEnd w:id="12"/>
      <w:r>
        <w:t xml:space="preserve">.  </w:t>
      </w:r>
      <w:r w:rsidR="00640769">
        <w:t xml:space="preserve">While this </w:t>
      </w:r>
      <w:r w:rsidR="00057464">
        <w:t xml:space="preserve">example </w:t>
      </w:r>
      <w:r w:rsidR="008329E5">
        <w:t xml:space="preserve">does use </w:t>
      </w:r>
      <w:r w:rsidR="00640769">
        <w:t xml:space="preserve">the same metric to measure </w:t>
      </w:r>
      <w:r w:rsidR="008329E5">
        <w:t xml:space="preserve">both </w:t>
      </w:r>
      <w:r w:rsidR="00640769">
        <w:t xml:space="preserve">benefit and risk, there are </w:t>
      </w:r>
      <w:r w:rsidR="00057464">
        <w:t xml:space="preserve">also </w:t>
      </w:r>
      <w:r w:rsidR="00E06B4C">
        <w:t>significant</w:t>
      </w:r>
      <w:r w:rsidR="00640769">
        <w:t xml:space="preserve"> problems that the method in this paper will overcome: </w:t>
      </w:r>
    </w:p>
    <w:p w14:paraId="4BFD41D0" w14:textId="5C8B28A4" w:rsidR="00640769" w:rsidRDefault="00640769" w:rsidP="0016793F">
      <w:pPr>
        <w:pStyle w:val="ListParagraph"/>
        <w:numPr>
          <w:ilvl w:val="2"/>
          <w:numId w:val="1"/>
        </w:numPr>
        <w:spacing w:after="100"/>
        <w:contextualSpacing w:val="0"/>
      </w:pPr>
      <w:r>
        <w:t xml:space="preserve">We </w:t>
      </w:r>
      <w:proofErr w:type="spellStart"/>
      <w:r>
        <w:t>can not</w:t>
      </w:r>
      <w:proofErr w:type="spellEnd"/>
      <w:r>
        <w:t xml:space="preserve"> measure the benefit and risk of a medical product or procedure by measuring changes in the patient’s lifespan for risks and benefits that do not impact the patient’s life</w:t>
      </w:r>
      <w:r w:rsidR="001F0CEE">
        <w:t>span</w:t>
      </w:r>
      <w:r>
        <w:t xml:space="preserve"> in a measurable manner; e.g., changes in the patient’s lifespan </w:t>
      </w:r>
      <w:r w:rsidR="00C60769">
        <w:t>are</w:t>
      </w:r>
      <w:r w:rsidR="009C5B2B">
        <w:t xml:space="preserve"> unlikely to be useful for </w:t>
      </w:r>
      <w:r w:rsidR="00057464">
        <w:t xml:space="preserve">acute-care </w:t>
      </w:r>
      <w:r>
        <w:t xml:space="preserve">medical products or procedures, and </w:t>
      </w:r>
    </w:p>
    <w:p w14:paraId="222F8DD7" w14:textId="6BA1F199" w:rsidR="004F0A81" w:rsidRDefault="009C5B2B" w:rsidP="0016793F">
      <w:pPr>
        <w:pStyle w:val="ListParagraph"/>
        <w:numPr>
          <w:ilvl w:val="2"/>
          <w:numId w:val="1"/>
        </w:numPr>
        <w:spacing w:after="100"/>
        <w:contextualSpacing w:val="0"/>
      </w:pPr>
      <w:r>
        <w:t>The second significant problem is that, e</w:t>
      </w:r>
      <w:r w:rsidR="00640769">
        <w:t xml:space="preserve">ven for those medical conditions that </w:t>
      </w:r>
      <w:r w:rsidR="00640769" w:rsidRPr="001F263F">
        <w:rPr>
          <w:i/>
          <w:iCs/>
        </w:rPr>
        <w:t>do</w:t>
      </w:r>
      <w:r w:rsidR="00640769">
        <w:t xml:space="preserve"> impact a patient’s lifespan, measuring this effect will, necessarily, take years</w:t>
      </w:r>
      <w:r>
        <w:t xml:space="preserve"> to </w:t>
      </w:r>
      <w:r w:rsidR="00640769">
        <w:t xml:space="preserve">decades.  This will dramatically increase the cost of risk management </w:t>
      </w:r>
      <w:r>
        <w:t xml:space="preserve">at a time </w:t>
      </w:r>
      <w:r w:rsidR="00640769">
        <w:t xml:space="preserve">when </w:t>
      </w:r>
      <w:r>
        <w:t xml:space="preserve">we have not demonstrated a need to dramatically increase </w:t>
      </w:r>
      <w:r w:rsidR="00640769">
        <w:t>the cost of risk management.</w:t>
      </w:r>
      <w:r>
        <w:t xml:space="preserve">  </w:t>
      </w:r>
    </w:p>
    <w:p w14:paraId="236B079D" w14:textId="558F031D" w:rsidR="009A0DAC" w:rsidRDefault="009A0DAC" w:rsidP="0016793F">
      <w:pPr>
        <w:pStyle w:val="ListParagraph"/>
        <w:numPr>
          <w:ilvl w:val="1"/>
          <w:numId w:val="1"/>
        </w:numPr>
        <w:spacing w:after="100"/>
        <w:contextualSpacing w:val="0"/>
      </w:pPr>
      <w:r>
        <w:t xml:space="preserve">The </w:t>
      </w:r>
      <w:r w:rsidRPr="00C60769">
        <w:t>Quality-Adjusted Time without Symptoms and Toxicity</w:t>
      </w:r>
      <w:bookmarkStart w:id="13" w:name="_Ref151909988"/>
      <w:r w:rsidR="008109D9">
        <w:rPr>
          <w:rStyle w:val="FootnoteReference"/>
        </w:rPr>
        <w:footnoteReference w:id="10"/>
      </w:r>
      <w:bookmarkEnd w:id="13"/>
      <w:r w:rsidRPr="00C60769">
        <w:t xml:space="preserve"> is a</w:t>
      </w:r>
      <w:r>
        <w:t>nother</w:t>
      </w:r>
      <w:r w:rsidRPr="00C60769">
        <w:t xml:space="preserve"> method </w:t>
      </w:r>
      <w:r>
        <w:t>that uses the same metric to measure both benefit and risk, where the metric is t</w:t>
      </w:r>
      <w:r w:rsidRPr="00C60769">
        <w:t>he time lost due to a medical treatment subtracted from the time gained from the treatment</w:t>
      </w:r>
      <w:r>
        <w:rPr>
          <w:rStyle w:val="FootnoteReference"/>
        </w:rPr>
        <w:footnoteReference w:id="11"/>
      </w:r>
      <w:r>
        <w:t xml:space="preserve">.  While this example uses the same metric to measure both benefit and risk, and since this example avoids the problem of requiring a </w:t>
      </w:r>
      <w:r w:rsidR="00035955">
        <w:t xml:space="preserve">statistically significant </w:t>
      </w:r>
      <w:r>
        <w:t>change in the patient</w:t>
      </w:r>
      <w:r w:rsidR="00035955">
        <w:t>’s lifespan, the same problems exist for “</w:t>
      </w:r>
      <w:r w:rsidR="00035955" w:rsidRPr="00C60769">
        <w:t>Quality-Adjusted Time without Symptoms and Toxicity</w:t>
      </w:r>
      <w:r w:rsidR="00035955">
        <w:t>” as they did for the previous ““change to the patient’s lifespan”</w:t>
      </w:r>
      <w:r w:rsidR="00E039D5">
        <w:t xml:space="preserve">, but to a smaller degree. </w:t>
      </w:r>
    </w:p>
    <w:p w14:paraId="7C7AA2BA" w14:textId="16B4729E" w:rsidR="00E039D5" w:rsidRDefault="00E039D5" w:rsidP="0016793F">
      <w:pPr>
        <w:pStyle w:val="ListParagraph"/>
        <w:numPr>
          <w:ilvl w:val="1"/>
          <w:numId w:val="1"/>
        </w:numPr>
        <w:spacing w:after="100"/>
        <w:contextualSpacing w:val="0"/>
      </w:pPr>
      <w:r>
        <w:t>I</w:t>
      </w:r>
      <w:r w:rsidRPr="00E039D5">
        <w:t>ncremental net health benefit (INHB)</w:t>
      </w:r>
      <w:r w:rsidRPr="00E039D5">
        <w:rPr>
          <w:vertAlign w:val="superscript"/>
        </w:rPr>
        <w:fldChar w:fldCharType="begin"/>
      </w:r>
      <w:r w:rsidRPr="00E039D5">
        <w:rPr>
          <w:vertAlign w:val="superscript"/>
        </w:rPr>
        <w:instrText xml:space="preserve"> NOTEREF _Ref151909988 \h </w:instrText>
      </w:r>
      <w:r>
        <w:rPr>
          <w:vertAlign w:val="superscript"/>
        </w:rPr>
        <w:instrText xml:space="preserve"> \* MERGEFORMAT </w:instrText>
      </w:r>
      <w:r w:rsidRPr="00E039D5">
        <w:rPr>
          <w:vertAlign w:val="superscript"/>
        </w:rPr>
      </w:r>
      <w:r w:rsidRPr="00E039D5">
        <w:rPr>
          <w:vertAlign w:val="superscript"/>
        </w:rPr>
        <w:fldChar w:fldCharType="separate"/>
      </w:r>
      <w:r w:rsidRPr="00E039D5">
        <w:rPr>
          <w:vertAlign w:val="superscript"/>
        </w:rPr>
        <w:t>10</w:t>
      </w:r>
      <w:r w:rsidRPr="00E039D5">
        <w:rPr>
          <w:vertAlign w:val="superscript"/>
        </w:rPr>
        <w:fldChar w:fldCharType="end"/>
      </w:r>
      <w:r>
        <w:t xml:space="preserve"> is similar to </w:t>
      </w:r>
      <w:r w:rsidRPr="00C60769">
        <w:t>Quality-Adjusted Time without Symptoms and Toxicity</w:t>
      </w:r>
      <w:r>
        <w:t xml:space="preserve">.  </w:t>
      </w:r>
    </w:p>
    <w:p w14:paraId="5895A986" w14:textId="66FCF946" w:rsidR="00584A36" w:rsidRDefault="00584A36" w:rsidP="0016793F">
      <w:pPr>
        <w:pStyle w:val="ListParagraph"/>
        <w:numPr>
          <w:ilvl w:val="1"/>
          <w:numId w:val="1"/>
        </w:numPr>
        <w:spacing w:after="100"/>
        <w:contextualSpacing w:val="0"/>
      </w:pPr>
      <w:r w:rsidRPr="00584A36">
        <w:t>Multi-Criteria Decision Analysis (MCDA)</w:t>
      </w:r>
      <w:r w:rsidRPr="00584A36">
        <w:rPr>
          <w:vertAlign w:val="superscript"/>
        </w:rPr>
        <w:t xml:space="preserve"> </w:t>
      </w:r>
      <w:r w:rsidRPr="00E039D5">
        <w:rPr>
          <w:vertAlign w:val="superscript"/>
        </w:rPr>
        <w:fldChar w:fldCharType="begin"/>
      </w:r>
      <w:r w:rsidRPr="00E039D5">
        <w:rPr>
          <w:vertAlign w:val="superscript"/>
        </w:rPr>
        <w:instrText xml:space="preserve"> NOTEREF _Ref151909988 \h </w:instrText>
      </w:r>
      <w:r>
        <w:rPr>
          <w:vertAlign w:val="superscript"/>
        </w:rPr>
        <w:instrText xml:space="preserve"> \* MERGEFORMAT </w:instrText>
      </w:r>
      <w:r w:rsidRPr="00E039D5">
        <w:rPr>
          <w:vertAlign w:val="superscript"/>
        </w:rPr>
      </w:r>
      <w:r w:rsidRPr="00E039D5">
        <w:rPr>
          <w:vertAlign w:val="superscript"/>
        </w:rPr>
        <w:fldChar w:fldCharType="separate"/>
      </w:r>
      <w:r w:rsidRPr="00E039D5">
        <w:rPr>
          <w:vertAlign w:val="superscript"/>
        </w:rPr>
        <w:t>10</w:t>
      </w:r>
      <w:r w:rsidRPr="00E039D5">
        <w:rPr>
          <w:vertAlign w:val="superscript"/>
        </w:rPr>
        <w:fldChar w:fldCharType="end"/>
      </w:r>
      <w:r w:rsidRPr="00584A36">
        <w:t xml:space="preserve"> is a tool to support decision-making where several benefits and risks can be taken into account. This method is based on hierarchical decision trees that include defined options with different probabilities of occurrence. This approach is promising as it identifies which areas (risks or benefits) are more influential and need more scrutiny</w:t>
      </w:r>
      <w:r>
        <w:t>; h</w:t>
      </w:r>
      <w:r w:rsidRPr="00584A36">
        <w:t xml:space="preserve">owever, the model can be quite complex and statistically tricky, and the assigned weights can bring bias of subjectivity into the model. </w:t>
      </w:r>
    </w:p>
    <w:p w14:paraId="42E1C4BA" w14:textId="28BC3DA5" w:rsidR="00C60769" w:rsidRDefault="00B359AE" w:rsidP="0016793F">
      <w:pPr>
        <w:pStyle w:val="ListParagraph"/>
        <w:numPr>
          <w:ilvl w:val="1"/>
          <w:numId w:val="1"/>
        </w:numPr>
        <w:spacing w:after="100"/>
        <w:contextualSpacing w:val="0"/>
      </w:pPr>
      <w:r>
        <w:lastRenderedPageBreak/>
        <w:t>Some progress has been made measuring both benefit and harm with the metric “Number-Needed-to . . .”</w:t>
      </w:r>
      <w:r>
        <w:rPr>
          <w:rStyle w:val="FootnoteReference"/>
        </w:rPr>
        <w:footnoteReference w:id="12"/>
      </w:r>
      <w:r>
        <w:t xml:space="preserve">, as in “Number-Needed-to Treat (NNT)” and “Number-Needed-to-Harm (NNH).  While this example does use the same “Number-Needed-to . . .” metric for benefit and harm, the method identifies only the probabilities of harm or benefit and not severity.  Therefore, this method doesn’t measure ‘risk’ and fails as a technique that uses the same metric for both benefit and risk. </w:t>
      </w:r>
    </w:p>
    <w:p w14:paraId="63271C1C" w14:textId="00ECA950" w:rsidR="00F56526" w:rsidRDefault="002D4BF9" w:rsidP="0016793F">
      <w:pPr>
        <w:pStyle w:val="ListParagraph"/>
        <w:numPr>
          <w:ilvl w:val="1"/>
          <w:numId w:val="1"/>
        </w:numPr>
        <w:spacing w:after="100"/>
        <w:contextualSpacing w:val="0"/>
      </w:pPr>
      <w:r>
        <w:t xml:space="preserve">While filing a 510(k) submission </w:t>
      </w:r>
      <w:r w:rsidR="00D16C53">
        <w:t>to “</w:t>
      </w:r>
      <w:r w:rsidR="00D16C53" w:rsidRPr="00D16C53">
        <w:t>demonstrate that the device to be marketed is as safe and effective, that is, substantially equivalent, to a legally marketed device</w:t>
      </w:r>
      <w:r w:rsidR="00D16C53">
        <w:t>”</w:t>
      </w:r>
      <w:r w:rsidR="00D16C53">
        <w:rPr>
          <w:rStyle w:val="FootnoteReference"/>
        </w:rPr>
        <w:footnoteReference w:id="13"/>
      </w:r>
      <w:r>
        <w:t xml:space="preserve">, </w:t>
      </w:r>
      <w:r w:rsidR="004544C1">
        <w:t xml:space="preserve">manufacturers </w:t>
      </w:r>
      <w:r>
        <w:t xml:space="preserve">traditionally show </w:t>
      </w:r>
      <w:r w:rsidR="004544C1">
        <w:t xml:space="preserve">whether their product’s benefit exceeds its risk by using ‘equivalence tables’ to show that their product’s safety and efficacy (aka ‘risks’ and ‘benefits’) is at least as good as a “predicate device” that the manufacturer has identified because the “predicate device’s” safety and efficacy record is both well-established and accepted by regulatory bodies.  </w:t>
      </w:r>
      <w:r w:rsidR="00F56526">
        <w:t xml:space="preserve">By choosing a predicate device with an accepted benefit and risk and by showing that the manufacturer’s device is at least as good as the predicate device, the manufacturer shows the benefit and risk of the </w:t>
      </w:r>
      <w:r w:rsidR="00D16C53">
        <w:t xml:space="preserve">device in the 510(k) </w:t>
      </w:r>
      <w:r w:rsidR="00F56526">
        <w:t xml:space="preserve">is also acceptable. </w:t>
      </w:r>
      <w:r>
        <w:t xml:space="preserve"> </w:t>
      </w:r>
    </w:p>
    <w:p w14:paraId="14503E76" w14:textId="08092618" w:rsidR="001F0CEE" w:rsidRDefault="0042220E" w:rsidP="0016793F">
      <w:pPr>
        <w:pStyle w:val="ListParagraph"/>
        <w:numPr>
          <w:ilvl w:val="2"/>
          <w:numId w:val="1"/>
        </w:numPr>
        <w:spacing w:after="100"/>
        <w:contextualSpacing w:val="0"/>
      </w:pPr>
      <w:r>
        <w:t xml:space="preserve">The first </w:t>
      </w:r>
      <w:r w:rsidR="004939EB">
        <w:t xml:space="preserve">problem with this </w:t>
      </w:r>
      <w:r w:rsidR="002D4BF9">
        <w:t xml:space="preserve">submission </w:t>
      </w:r>
      <w:r w:rsidR="004939EB">
        <w:t xml:space="preserve">strategy </w:t>
      </w:r>
      <w:r w:rsidR="002D4BF9">
        <w:t xml:space="preserve">is that it requires </w:t>
      </w:r>
      <w:r w:rsidR="004939EB">
        <w:t xml:space="preserve">a similar product already </w:t>
      </w:r>
      <w:r w:rsidR="00F56526">
        <w:t xml:space="preserve">exist.  </w:t>
      </w:r>
    </w:p>
    <w:p w14:paraId="6C47F4B0" w14:textId="4190E7D4" w:rsidR="001F0CEE" w:rsidRDefault="001F0CEE" w:rsidP="0016793F">
      <w:pPr>
        <w:pStyle w:val="ListParagraph"/>
        <w:numPr>
          <w:ilvl w:val="2"/>
          <w:numId w:val="1"/>
        </w:numPr>
        <w:spacing w:after="100"/>
        <w:contextualSpacing w:val="0"/>
      </w:pPr>
      <w:r>
        <w:t xml:space="preserve">While unusual, </w:t>
      </w:r>
      <w:r w:rsidR="0042220E">
        <w:t xml:space="preserve">the second problem is that </w:t>
      </w:r>
      <w:r>
        <w:t>regulators occasionally r</w:t>
      </w:r>
      <w:r w:rsidR="00945C61">
        <w:t>emove products that have been on the market for years</w:t>
      </w:r>
      <w:r w:rsidR="00945C61">
        <w:rPr>
          <w:rStyle w:val="FootnoteReference"/>
        </w:rPr>
        <w:footnoteReference w:id="14"/>
      </w:r>
      <w:r w:rsidR="00945C61">
        <w:t xml:space="preserve">.  </w:t>
      </w:r>
      <w:r w:rsidR="0004272D">
        <w:t xml:space="preserve">This practice will throw into question all 510(k) approvals using this product in an equivalence table. </w:t>
      </w:r>
    </w:p>
    <w:p w14:paraId="41E45E4E" w14:textId="7A6BDA27" w:rsidR="004544C1" w:rsidRPr="00F60A9B" w:rsidRDefault="00A01D7E" w:rsidP="0016793F">
      <w:pPr>
        <w:pStyle w:val="ListParagraph"/>
        <w:numPr>
          <w:ilvl w:val="2"/>
          <w:numId w:val="1"/>
        </w:numPr>
        <w:spacing w:after="100"/>
        <w:contextualSpacing w:val="0"/>
      </w:pPr>
      <w:r>
        <w:t xml:space="preserve">In contrast, the method </w:t>
      </w:r>
      <w:r w:rsidR="00F56526">
        <w:t xml:space="preserve">to show benefit exceeds risk </w:t>
      </w:r>
      <w:r>
        <w:t xml:space="preserve">in this paper </w:t>
      </w:r>
      <w:r w:rsidR="00F56526">
        <w:t>can be used on both completely novel medical products</w:t>
      </w:r>
      <w:r w:rsidR="00156804">
        <w:t xml:space="preserve"> or</w:t>
      </w:r>
      <w:r w:rsidR="0004272D">
        <w:t>,</w:t>
      </w:r>
      <w:r w:rsidR="00F56526">
        <w:t xml:space="preserve"> or on elements of an existing medical product design that </w:t>
      </w:r>
      <w:r w:rsidR="00F25602">
        <w:t>are</w:t>
      </w:r>
      <w:r w:rsidR="00F56526">
        <w:t xml:space="preserve"> novel </w:t>
      </w:r>
      <w:r w:rsidR="0004272D">
        <w:t>without the risk that changes in another product’s regulatory status will impact your product’s status</w:t>
      </w:r>
      <w:r w:rsidR="00F56526">
        <w:t xml:space="preserve">.  </w:t>
      </w:r>
    </w:p>
    <w:p w14:paraId="6890E402" w14:textId="61A67DB3" w:rsidR="00110085" w:rsidRDefault="00AA47D2" w:rsidP="0016793F">
      <w:r>
        <w:t>In summary, “</w:t>
      </w:r>
      <w:r w:rsidRPr="00AA47D2">
        <w:t>In the last decade there has been a significant increase in the literature discussing the use of benefit–risk methods in medical product (including devices) development. Government agencies, medical product industry groups, academia, and collaborative consortia have extensively discussed the advantages of structured benefit–risk assessments. However, the abundance of information has not resulted in a consistent way to utilize these findings in medical product development.</w:t>
      </w:r>
      <w:r>
        <w:t>”</w:t>
      </w:r>
      <w:r>
        <w:rPr>
          <w:rStyle w:val="FootnoteReference"/>
        </w:rPr>
        <w:footnoteReference w:id="15"/>
      </w:r>
      <w:r>
        <w:t xml:space="preserve"> </w:t>
      </w:r>
      <w:r w:rsidR="00110085">
        <w:t xml:space="preserve"> Existing approaches to show benefit exceeds risk have significant drawbacks, including excessive appeal to expert opinion (lack of objective standards), potentially waiting for decades to collect data, not applying to novel products or procedures, and being overturned by changes in the regulatory status of other products.  </w:t>
      </w:r>
      <w:r>
        <w:t>W</w:t>
      </w:r>
      <w:r w:rsidR="00C1046B" w:rsidRPr="00F60A9B">
        <w:t xml:space="preserve">ithout </w:t>
      </w:r>
      <w:r w:rsidR="00F23FBC">
        <w:t xml:space="preserve">a </w:t>
      </w:r>
      <w:r>
        <w:t xml:space="preserve">universal, </w:t>
      </w:r>
      <w:r w:rsidR="006D09EC">
        <w:t>structured approach</w:t>
      </w:r>
      <w:r w:rsidR="00C1046B" w:rsidRPr="00F60A9B">
        <w:t xml:space="preserve"> that enabl</w:t>
      </w:r>
      <w:r w:rsidR="00F23FBC">
        <w:t xml:space="preserve">es </w:t>
      </w:r>
      <w:r w:rsidR="005800ED" w:rsidRPr="00F60A9B">
        <w:t xml:space="preserve">objective </w:t>
      </w:r>
      <w:r w:rsidR="00C1046B" w:rsidRPr="00F60A9B">
        <w:t>comparisons of benefit and risk</w:t>
      </w:r>
      <w:r w:rsidR="006D09EC">
        <w:t xml:space="preserve"> for any product</w:t>
      </w:r>
      <w:r w:rsidR="00C1046B" w:rsidRPr="00F60A9B">
        <w:t xml:space="preserve">, it is impossible to </w:t>
      </w:r>
      <w:r w:rsidR="006D09EC">
        <w:t xml:space="preserve">consistently and confidently </w:t>
      </w:r>
      <w:r w:rsidR="002D7E3F">
        <w:t xml:space="preserve">state whether </w:t>
      </w:r>
      <w:r w:rsidR="00C1046B" w:rsidRPr="00F60A9B">
        <w:t xml:space="preserve">the risks or benefits of </w:t>
      </w:r>
      <w:r w:rsidR="005800ED" w:rsidRPr="00F60A9B">
        <w:t xml:space="preserve">a </w:t>
      </w:r>
      <w:r w:rsidR="00156804">
        <w:t>medical treatment</w:t>
      </w:r>
      <w:r w:rsidR="005800ED" w:rsidRPr="00F60A9B">
        <w:t xml:space="preserve"> </w:t>
      </w:r>
      <w:r w:rsidR="00C1046B" w:rsidRPr="00F60A9B">
        <w:t>are greater.</w:t>
      </w:r>
      <w:r w:rsidR="00E41149">
        <w:t xml:space="preserve">  </w:t>
      </w:r>
    </w:p>
    <w:p w14:paraId="458C5A9F" w14:textId="7B9D6488" w:rsidR="004D1AF3" w:rsidRPr="00F60A9B" w:rsidRDefault="00E41149" w:rsidP="0016793F">
      <w:r>
        <w:lastRenderedPageBreak/>
        <w:t xml:space="preserve">The method in this paper </w:t>
      </w:r>
      <w:r w:rsidRPr="00110085">
        <w:rPr>
          <w:i/>
          <w:iCs/>
          <w:u w:val="single"/>
        </w:rPr>
        <w:t>is</w:t>
      </w:r>
      <w:r>
        <w:t xml:space="preserve"> a </w:t>
      </w:r>
      <w:r w:rsidR="00AA47D2">
        <w:t xml:space="preserve">universal, </w:t>
      </w:r>
      <w:r>
        <w:t xml:space="preserve">structured approach that significantly improves the objectivity of </w:t>
      </w:r>
      <w:r w:rsidR="00EC42E0">
        <w:t>Benefit-Risk</w:t>
      </w:r>
      <w:r>
        <w:t xml:space="preserve"> analysis while also </w:t>
      </w:r>
      <w:r w:rsidR="0004272D">
        <w:t xml:space="preserve">overcoming the shortcomings of </w:t>
      </w:r>
      <w:r w:rsidR="00110085">
        <w:t xml:space="preserve">prior </w:t>
      </w:r>
      <w:r w:rsidR="0004272D">
        <w:t>methods</w:t>
      </w:r>
      <w:r>
        <w:t xml:space="preserve">.  </w:t>
      </w:r>
    </w:p>
    <w:p w14:paraId="61EA2A00" w14:textId="13E3BC16" w:rsidR="007C065C" w:rsidRPr="00F60A9B" w:rsidRDefault="007C065C" w:rsidP="0016793F">
      <w:pPr>
        <w:spacing w:after="0" w:line="240" w:lineRule="auto"/>
        <w:rPr>
          <w:b/>
          <w:bCs/>
          <w:u w:val="single"/>
        </w:rPr>
      </w:pPr>
      <w:bookmarkStart w:id="14" w:name="_Hlk149311630"/>
    </w:p>
    <w:p w14:paraId="23BCB068" w14:textId="60B2623C" w:rsidR="00B800C4" w:rsidRPr="00422D28" w:rsidRDefault="00A61CB1" w:rsidP="0016793F">
      <w:pPr>
        <w:pStyle w:val="Heading2"/>
        <w:keepNext w:val="0"/>
        <w:keepLines w:val="0"/>
        <w:rPr>
          <w:b/>
          <w:bCs/>
          <w:u w:val="single"/>
        </w:rPr>
      </w:pPr>
      <w:bookmarkStart w:id="15" w:name="_Toc156728639"/>
      <w:bookmarkEnd w:id="0"/>
      <w:r w:rsidRPr="00422D28">
        <w:rPr>
          <w:b/>
          <w:bCs/>
          <w:u w:val="single"/>
        </w:rPr>
        <w:t xml:space="preserve">Moving to a Future State – </w:t>
      </w:r>
      <w:bookmarkStart w:id="16" w:name="_Hlk146086860"/>
      <w:r w:rsidRPr="00422D28">
        <w:rPr>
          <w:b/>
          <w:bCs/>
          <w:u w:val="single"/>
        </w:rPr>
        <w:t xml:space="preserve">A close look at </w:t>
      </w:r>
      <w:r w:rsidR="00CA5912" w:rsidRPr="00422D28">
        <w:rPr>
          <w:b/>
          <w:bCs/>
          <w:u w:val="single"/>
        </w:rPr>
        <w:t>Patient ‘Benefit’</w:t>
      </w:r>
      <w:bookmarkEnd w:id="15"/>
      <w:bookmarkEnd w:id="16"/>
      <w:r w:rsidR="007C065C" w:rsidRPr="00422D28">
        <w:rPr>
          <w:b/>
          <w:bCs/>
          <w:u w:val="single"/>
        </w:rPr>
        <w:t xml:space="preserve"> </w:t>
      </w:r>
      <w:r w:rsidR="001B3BA3" w:rsidRPr="00422D28">
        <w:rPr>
          <w:b/>
          <w:bCs/>
          <w:u w:val="single"/>
        </w:rPr>
        <w:t xml:space="preserve"> </w:t>
      </w:r>
    </w:p>
    <w:p w14:paraId="4C11783D" w14:textId="4B7C0B4C" w:rsidR="00930C26" w:rsidRDefault="00930C26" w:rsidP="00930C26">
      <w:r>
        <w:t xml:space="preserve">The FDA’s definition of a patient is </w:t>
      </w:r>
      <w:r w:rsidRPr="00F60A9B">
        <w:t>“Any individual with or at risk of a specific health condition, whether or not he or she currently receives any therapy to prevent or treat that condition. Patients are the individuals who directly experience the benefits and harms associated with medical products”</w:t>
      </w:r>
      <w:r>
        <w:t>.</w:t>
      </w:r>
      <w:r w:rsidRPr="00F60A9B">
        <w:rPr>
          <w:rStyle w:val="FootnoteReference"/>
        </w:rPr>
        <w:footnoteReference w:id="16"/>
      </w:r>
      <w:r>
        <w:t xml:space="preserve">  This definition of a patient has two parts (“</w:t>
      </w:r>
      <w:r w:rsidRPr="00F60A9B">
        <w:t>Any individual with a specific health condition</w:t>
      </w:r>
      <w:r>
        <w:t>” and “</w:t>
      </w:r>
      <w:r w:rsidRPr="00F60A9B">
        <w:t>Any individual at risk of a specific health condition</w:t>
      </w:r>
      <w:r>
        <w:t xml:space="preserve">”) that align with therapeutic, </w:t>
      </w:r>
      <w:r w:rsidR="0086534A">
        <w:t xml:space="preserve">or </w:t>
      </w:r>
      <w:r>
        <w:t>diagnostic</w:t>
      </w:r>
      <w:r w:rsidR="0086534A">
        <w:t xml:space="preserve"> and </w:t>
      </w:r>
      <w:r>
        <w:t xml:space="preserve">preventive medical </w:t>
      </w:r>
      <w:r w:rsidR="008D10B7">
        <w:t>care</w:t>
      </w:r>
      <w:r>
        <w:t xml:space="preserve">.  </w:t>
      </w:r>
    </w:p>
    <w:p w14:paraId="553EA788" w14:textId="7D2D52D8" w:rsidR="00930C26" w:rsidRDefault="00930C26" w:rsidP="00930C26">
      <w:pPr>
        <w:pStyle w:val="ListParagraph"/>
        <w:numPr>
          <w:ilvl w:val="0"/>
          <w:numId w:val="7"/>
        </w:numPr>
        <w:contextualSpacing w:val="0"/>
      </w:pPr>
      <w:r>
        <w:t xml:space="preserve">The medical benefits and risks of a therapeutic medical product or procedure are fairly self-evident:  The benefit of the medical product or procedure is that the health condition is improved – either partially or fully.   The risk of the medical product or procedure </w:t>
      </w:r>
      <w:r w:rsidR="008D10B7">
        <w:t xml:space="preserve">is </w:t>
      </w:r>
      <w:r>
        <w:t xml:space="preserve">that it might cause some new harm (e.g., an infection) or that the health condition’s improvement is not as extensive </w:t>
      </w:r>
      <w:r w:rsidR="008D10B7">
        <w:t xml:space="preserve">as </w:t>
      </w:r>
      <w:r>
        <w:t xml:space="preserve">usual.  </w:t>
      </w:r>
    </w:p>
    <w:p w14:paraId="5FADF168" w14:textId="52D002BF" w:rsidR="00930C26" w:rsidRDefault="00930C26" w:rsidP="00930C26">
      <w:pPr>
        <w:pStyle w:val="ListParagraph"/>
        <w:numPr>
          <w:ilvl w:val="0"/>
          <w:numId w:val="7"/>
        </w:numPr>
        <w:contextualSpacing w:val="0"/>
      </w:pPr>
      <w:r>
        <w:t>The medical benefits of a diagnostic medical product or procedure are also fairly self-evident – the presence or absence of a health condition is accurately identified.  However, the scope of risks for a diagnostic medical product or procedure are more subtle.  Not only is there the chance that a diagnostic product or procedure might cause some new harm (e.g., an infection), but there are the additional risks of not reporting a health condition that is present and reporting a health condition that is not present.  This last option can lead to still more risks:  a) Performing an unnecessary therapeutic procedure, or  b) To avoid performing unnecessary therapeutic procedures, performing additional diagnostic tests.  And, even if additional diagnostic procedures eventually sort out the proper diagnostic result, this can result in months of therapeutic delays as successive conflicting diagnostic results are resolved to</w:t>
      </w:r>
      <w:r w:rsidR="008D10B7">
        <w:t xml:space="preserve"> reach</w:t>
      </w:r>
      <w:r>
        <w:t xml:space="preserve"> a </w:t>
      </w:r>
      <w:r w:rsidR="008D10B7">
        <w:t xml:space="preserve">single, </w:t>
      </w:r>
      <w:r>
        <w:t xml:space="preserve">confirmed result.  </w:t>
      </w:r>
    </w:p>
    <w:p w14:paraId="1A16F012" w14:textId="2BCDF384" w:rsidR="0086534A" w:rsidRDefault="0086534A" w:rsidP="00930C26">
      <w:pPr>
        <w:pStyle w:val="ListParagraph"/>
        <w:numPr>
          <w:ilvl w:val="0"/>
          <w:numId w:val="7"/>
        </w:numPr>
      </w:pPr>
      <w:r>
        <w:t xml:space="preserve">The medical benefits </w:t>
      </w:r>
      <w:r w:rsidR="007E7615">
        <w:t xml:space="preserve">and risks of a preventative medical product </w:t>
      </w:r>
      <w:r w:rsidR="008D10B7">
        <w:t xml:space="preserve">mirror exactly the benefits and risks of a therapeutic product.  </w:t>
      </w:r>
      <w:r w:rsidR="00C5705B">
        <w:t xml:space="preserve">The benefit of the medical product </w:t>
      </w:r>
      <w:r w:rsidR="008D10B7">
        <w:t xml:space="preserve">or procedure </w:t>
      </w:r>
      <w:r w:rsidR="00C5705B">
        <w:t xml:space="preserve">is </w:t>
      </w:r>
      <w:r w:rsidR="008D10B7">
        <w:t xml:space="preserve">successfully </w:t>
      </w:r>
      <w:r w:rsidR="00C5705B">
        <w:t xml:space="preserve">avoiding the undesirable health condition </w:t>
      </w:r>
      <w:r w:rsidR="008D10B7">
        <w:t xml:space="preserve">– either partially or fully.  The risk of the medical product or procedure </w:t>
      </w:r>
      <w:r w:rsidR="00C5705B">
        <w:t xml:space="preserve">is that </w:t>
      </w:r>
      <w:r w:rsidR="008D10B7">
        <w:t xml:space="preserve">it might cause some new harm or that </w:t>
      </w:r>
      <w:r w:rsidR="00C5705B">
        <w:t>the health condition occur</w:t>
      </w:r>
      <w:r w:rsidR="008D10B7">
        <w:t>s</w:t>
      </w:r>
      <w:r w:rsidR="00C5705B">
        <w:t xml:space="preserve"> despite the preventative medical product.  </w:t>
      </w:r>
    </w:p>
    <w:p w14:paraId="7933FD1B" w14:textId="1537F0BA" w:rsidR="006006D6" w:rsidRDefault="00930C26" w:rsidP="00930C26">
      <w:r>
        <w:t>Thus, whether the purpose of a medical treatment is therapeutic</w:t>
      </w:r>
      <w:r w:rsidR="00C5705B">
        <w:t>,</w:t>
      </w:r>
      <w:r>
        <w:t xml:space="preserve"> diagnostic</w:t>
      </w:r>
      <w:r w:rsidR="00C5705B">
        <w:t>, or preventative</w:t>
      </w:r>
      <w:r>
        <w:rPr>
          <w:rStyle w:val="FootnoteReference"/>
        </w:rPr>
        <w:footnoteReference w:id="17"/>
      </w:r>
      <w:r>
        <w:t>, every medical treatment exposes the patient to risks</w:t>
      </w:r>
      <w:r w:rsidRPr="002F135E">
        <w:rPr>
          <w:vertAlign w:val="superscript"/>
        </w:rPr>
        <w:fldChar w:fldCharType="begin"/>
      </w:r>
      <w:r w:rsidRPr="002F135E">
        <w:rPr>
          <w:vertAlign w:val="superscript"/>
        </w:rPr>
        <w:instrText xml:space="preserve"> NOTEREF _Ref141250698 \h </w:instrText>
      </w:r>
      <w:r>
        <w:rPr>
          <w:vertAlign w:val="superscript"/>
        </w:rPr>
        <w:instrText xml:space="preserve"> \* MERGEFORMAT </w:instrText>
      </w:r>
      <w:r w:rsidRPr="002F135E">
        <w:rPr>
          <w:vertAlign w:val="superscript"/>
        </w:rPr>
      </w:r>
      <w:r w:rsidRPr="002F135E">
        <w:rPr>
          <w:vertAlign w:val="superscript"/>
        </w:rPr>
        <w:fldChar w:fldCharType="separate"/>
      </w:r>
      <w:r>
        <w:rPr>
          <w:vertAlign w:val="superscript"/>
        </w:rPr>
        <w:t>2</w:t>
      </w:r>
      <w:r w:rsidRPr="002F135E">
        <w:rPr>
          <w:vertAlign w:val="superscript"/>
        </w:rPr>
        <w:fldChar w:fldCharType="end"/>
      </w:r>
      <w:r>
        <w:t xml:space="preserve">.  Or, restating the previous sentence with equations, for every medical treatment, </w:t>
      </w:r>
      <m:oMath>
        <m:r>
          <w:rPr>
            <w:rFonts w:ascii="Cambria Math" w:eastAsiaTheme="minorEastAsia" w:hAnsi="Cambria Math"/>
          </w:rPr>
          <m:t>R</m:t>
        </m:r>
        <m:r>
          <w:rPr>
            <w:rFonts w:ascii="Cambria Math" w:hAnsi="Cambria Math"/>
          </w:rPr>
          <m:t>&gt;0</m:t>
        </m:r>
      </m:oMath>
      <w:r>
        <w:rPr>
          <w:rFonts w:eastAsiaTheme="minorEastAsia"/>
        </w:rPr>
        <w:t xml:space="preserve">. </w:t>
      </w:r>
      <w:r w:rsidR="0086534A">
        <w:rPr>
          <w:rFonts w:eastAsiaTheme="minorEastAsia"/>
        </w:rPr>
        <w:t xml:space="preserve"> </w:t>
      </w:r>
    </w:p>
    <w:p w14:paraId="49295C7B" w14:textId="77777777" w:rsidR="00775327" w:rsidRDefault="00930C26" w:rsidP="00930C26">
      <w:r>
        <w:t xml:space="preserve">Since </w:t>
      </w:r>
      <m:oMath>
        <m:r>
          <w:rPr>
            <w:rFonts w:ascii="Cambria Math" w:eastAsiaTheme="minorEastAsia" w:hAnsi="Cambria Math"/>
          </w:rPr>
          <m:t>R</m:t>
        </m:r>
        <m:r>
          <w:rPr>
            <w:rFonts w:ascii="Cambria Math" w:hAnsi="Cambria Math"/>
          </w:rPr>
          <m:t>&gt;0</m:t>
        </m:r>
      </m:oMath>
      <w:r w:rsidR="00EC45BF">
        <w:rPr>
          <w:rFonts w:eastAsiaTheme="minorEastAsia"/>
        </w:rPr>
        <w:t xml:space="preserve"> for every medical treatment</w:t>
      </w:r>
      <w:r>
        <w:t xml:space="preserve">, and, </w:t>
      </w:r>
      <w:r>
        <w:rPr>
          <w:rFonts w:eastAsiaTheme="minorEastAsia"/>
        </w:rPr>
        <w:t>per</w:t>
      </w:r>
      <w:r>
        <w:t xml:space="preserve"> </w:t>
      </w:r>
      <w:r>
        <w:fldChar w:fldCharType="begin"/>
      </w:r>
      <w:r>
        <w:instrText xml:space="preserve"> REF _Ref132953418 \h </w:instrText>
      </w:r>
      <w:r>
        <w:fldChar w:fldCharType="separate"/>
      </w:r>
      <w:r w:rsidRPr="00F60A9B">
        <w:t xml:space="preserve">Equation </w:t>
      </w:r>
      <w:r>
        <w:rPr>
          <w:noProof/>
        </w:rPr>
        <w:t>1</w:t>
      </w:r>
      <w:r>
        <w:fldChar w:fldCharType="end"/>
      </w:r>
      <w:r>
        <w:t xml:space="preserve">, </w:t>
      </w:r>
      <m:oMath>
        <m:r>
          <w:rPr>
            <w:rFonts w:ascii="Cambria Math" w:hAnsi="Cambria Math"/>
          </w:rPr>
          <m:t>B&gt;R</m:t>
        </m:r>
      </m:oMath>
      <w:r>
        <w:rPr>
          <w:rFonts w:eastAsiaTheme="minorEastAsia"/>
        </w:rPr>
        <w:t xml:space="preserve"> for an ethical medical product or procedure</w:t>
      </w:r>
      <w:r>
        <w:t>, then t</w:t>
      </w:r>
      <w:r w:rsidRPr="00F60A9B">
        <w:t xml:space="preserve">he amount of benefit a patient is expected to receive from a medical treatment </w:t>
      </w:r>
      <w:r w:rsidR="00EC45BF">
        <w:t xml:space="preserve">holds a very special role in medicine:  </w:t>
      </w:r>
    </w:p>
    <w:p w14:paraId="5D0AB626" w14:textId="77777777" w:rsidR="00775327" w:rsidRDefault="00775327" w:rsidP="00775327">
      <w:pPr>
        <w:sectPr w:rsidR="00775327" w:rsidSect="008F1C32">
          <w:headerReference w:type="default" r:id="rId10"/>
          <w:headerReference w:type="first" r:id="rId11"/>
          <w:pgSz w:w="12240" w:h="15840" w:code="1"/>
          <w:pgMar w:top="1152" w:right="1440" w:bottom="1152" w:left="1440" w:header="720" w:footer="720" w:gutter="0"/>
          <w:cols w:space="720"/>
          <w:titlePg/>
          <w:docGrid w:linePitch="360"/>
        </w:sectPr>
      </w:pPr>
    </w:p>
    <w:p w14:paraId="73DE2B93" w14:textId="4DE5485E" w:rsidR="00930C26" w:rsidRPr="00775327" w:rsidRDefault="00775327" w:rsidP="00775327">
      <w:pPr>
        <w:rPr>
          <w:i/>
          <w:iCs/>
        </w:rPr>
      </w:pPr>
      <w:r w:rsidRPr="00775327">
        <w:rPr>
          <w:i/>
          <w:iCs/>
        </w:rPr>
        <w:lastRenderedPageBreak/>
        <w:t xml:space="preserve">The </w:t>
      </w:r>
      <w:r>
        <w:rPr>
          <w:i/>
          <w:iCs/>
        </w:rPr>
        <w:t xml:space="preserve">likely </w:t>
      </w:r>
      <w:r w:rsidRPr="00775327">
        <w:rPr>
          <w:i/>
          <w:iCs/>
        </w:rPr>
        <w:t>‘b</w:t>
      </w:r>
      <w:r w:rsidR="00EC45BF" w:rsidRPr="00775327">
        <w:rPr>
          <w:i/>
          <w:iCs/>
        </w:rPr>
        <w:t>enefit</w:t>
      </w:r>
      <w:r w:rsidRPr="00775327">
        <w:rPr>
          <w:i/>
          <w:iCs/>
        </w:rPr>
        <w:t>’</w:t>
      </w:r>
      <w:r w:rsidR="00EC45BF" w:rsidRPr="00775327">
        <w:rPr>
          <w:i/>
          <w:iCs/>
        </w:rPr>
        <w:t xml:space="preserve"> </w:t>
      </w:r>
      <w:r w:rsidRPr="00775327">
        <w:rPr>
          <w:i/>
          <w:iCs/>
        </w:rPr>
        <w:t xml:space="preserve">of a medical treatment </w:t>
      </w:r>
      <w:r w:rsidR="00930C26" w:rsidRPr="00775327">
        <w:rPr>
          <w:i/>
          <w:iCs/>
        </w:rPr>
        <w:t xml:space="preserve">establishes an upper limit on the </w:t>
      </w:r>
      <w:r>
        <w:rPr>
          <w:i/>
          <w:iCs/>
        </w:rPr>
        <w:t xml:space="preserve">likely </w:t>
      </w:r>
      <w:r w:rsidR="00930C26" w:rsidRPr="00775327">
        <w:rPr>
          <w:i/>
          <w:iCs/>
        </w:rPr>
        <w:t xml:space="preserve">amount of </w:t>
      </w:r>
      <w:r>
        <w:rPr>
          <w:i/>
          <w:iCs/>
        </w:rPr>
        <w:t>‘</w:t>
      </w:r>
      <w:r w:rsidR="00930C26" w:rsidRPr="00775327">
        <w:rPr>
          <w:i/>
          <w:iCs/>
        </w:rPr>
        <w:t>risk</w:t>
      </w:r>
      <w:r>
        <w:rPr>
          <w:i/>
          <w:iCs/>
        </w:rPr>
        <w:t>’</w:t>
      </w:r>
      <w:r w:rsidR="00930C26" w:rsidRPr="00775327">
        <w:rPr>
          <w:i/>
          <w:iCs/>
        </w:rPr>
        <w:t xml:space="preserve"> that a patient can ethically be </w:t>
      </w:r>
      <w:r>
        <w:rPr>
          <w:i/>
          <w:iCs/>
        </w:rPr>
        <w:t xml:space="preserve">exposed to </w:t>
      </w:r>
      <w:r w:rsidR="00930C26" w:rsidRPr="00775327">
        <w:rPr>
          <w:i/>
          <w:iCs/>
        </w:rPr>
        <w:t>from the medical treatment</w:t>
      </w:r>
      <w:r w:rsidR="007B41B1">
        <w:rPr>
          <w:i/>
          <w:iCs/>
        </w:rPr>
        <w:t xml:space="preserve">; i.e., </w:t>
      </w:r>
      <m:oMath>
        <m:r>
          <w:rPr>
            <w:rFonts w:ascii="Cambria Math" w:hAnsi="Cambria Math"/>
          </w:rPr>
          <m:t>B&gt;R</m:t>
        </m:r>
      </m:oMath>
      <w:r w:rsidR="00930C26" w:rsidRPr="00775327">
        <w:rPr>
          <w:i/>
          <w:iCs/>
        </w:rPr>
        <w:t xml:space="preserve">.  </w:t>
      </w:r>
    </w:p>
    <w:p w14:paraId="30902048" w14:textId="1D011F40" w:rsidR="007152C0" w:rsidRPr="007152C0" w:rsidRDefault="007152C0" w:rsidP="007152C0">
      <w:pPr>
        <w:tabs>
          <w:tab w:val="center" w:pos="4104"/>
        </w:tabs>
        <w:rPr>
          <w:rFonts w:eastAsiaTheme="minorEastAsia"/>
        </w:rPr>
        <w:sectPr w:rsidR="007152C0" w:rsidRPr="007152C0" w:rsidSect="008F1C32">
          <w:type w:val="continuous"/>
          <w:pgSz w:w="12240" w:h="15840" w:code="1"/>
          <w:pgMar w:top="1152" w:right="2016" w:bottom="1152" w:left="2016" w:header="720" w:footer="720" w:gutter="0"/>
          <w:cols w:space="720"/>
          <w:titlePg/>
          <w:docGrid w:linePitch="360"/>
        </w:sectPr>
      </w:pPr>
      <w:r>
        <w:rPr>
          <w:rFonts w:eastAsiaTheme="minorEastAsia"/>
        </w:rPr>
        <w:tab/>
      </w:r>
    </w:p>
    <w:p w14:paraId="799D2588" w14:textId="193F4861" w:rsidR="00F3457C" w:rsidRDefault="00F3457C" w:rsidP="008D10B7">
      <w:pPr>
        <w:spacing w:after="80"/>
        <w:rPr>
          <w:rFonts w:eastAsiaTheme="minorEastAsia"/>
        </w:rPr>
      </w:pPr>
      <w:r>
        <w:rPr>
          <w:rFonts w:eastAsiaTheme="minorEastAsia"/>
        </w:rPr>
        <w:t xml:space="preserve">If we </w:t>
      </w:r>
      <w:r w:rsidR="00775327">
        <w:rPr>
          <w:rFonts w:eastAsiaTheme="minorEastAsia"/>
        </w:rPr>
        <w:t xml:space="preserve">now </w:t>
      </w:r>
      <w:r>
        <w:rPr>
          <w:rFonts w:eastAsiaTheme="minorEastAsia"/>
        </w:rPr>
        <w:t xml:space="preserve">define </w:t>
      </w:r>
      <m:oMath>
        <m:r>
          <w:rPr>
            <w:rFonts w:ascii="Cambria Math" w:eastAsiaTheme="minorEastAsia" w:hAnsi="Cambria Math"/>
          </w:rPr>
          <m:t>H</m:t>
        </m:r>
      </m:oMath>
      <w:r w:rsidRPr="00F60A9B">
        <w:rPr>
          <w:rFonts w:eastAsiaTheme="minorEastAsia"/>
        </w:rPr>
        <w:t xml:space="preserve"> </w:t>
      </w:r>
      <w:r>
        <w:rPr>
          <w:rFonts w:eastAsiaTheme="minorEastAsia"/>
        </w:rPr>
        <w:t>a</w:t>
      </w:r>
      <w:r w:rsidRPr="00F60A9B">
        <w:rPr>
          <w:rFonts w:eastAsiaTheme="minorEastAsia"/>
        </w:rPr>
        <w:t xml:space="preserve">s </w:t>
      </w:r>
      <w:r>
        <w:rPr>
          <w:rFonts w:eastAsiaTheme="minorEastAsia"/>
        </w:rPr>
        <w:t xml:space="preserve">the </w:t>
      </w:r>
      <w:r w:rsidRPr="00F60A9B">
        <w:rPr>
          <w:rFonts w:eastAsiaTheme="minorEastAsia"/>
        </w:rPr>
        <w:t xml:space="preserve">likely </w:t>
      </w:r>
      <w:r>
        <w:rPr>
          <w:rFonts w:eastAsiaTheme="minorEastAsia"/>
        </w:rPr>
        <w:t xml:space="preserve">amount of </w:t>
      </w:r>
      <w:r w:rsidRPr="00F60A9B">
        <w:rPr>
          <w:rFonts w:eastAsiaTheme="minorEastAsia"/>
        </w:rPr>
        <w:t xml:space="preserve">harm </w:t>
      </w:r>
      <w:r>
        <w:rPr>
          <w:rFonts w:eastAsiaTheme="minorEastAsia"/>
        </w:rPr>
        <w:t>from</w:t>
      </w:r>
      <w:r w:rsidRPr="00F60A9B">
        <w:rPr>
          <w:rFonts w:eastAsiaTheme="minorEastAsia"/>
        </w:rPr>
        <w:t xml:space="preserve"> </w:t>
      </w:r>
      <w:r>
        <w:rPr>
          <w:rFonts w:eastAsiaTheme="minorEastAsia"/>
        </w:rPr>
        <w:t xml:space="preserve">a specific </w:t>
      </w:r>
      <w:r w:rsidRPr="00F60A9B">
        <w:rPr>
          <w:rFonts w:eastAsiaTheme="minorEastAsia"/>
        </w:rPr>
        <w:t>health condition</w:t>
      </w:r>
      <w:r>
        <w:rPr>
          <w:rFonts w:eastAsiaTheme="minorEastAsia"/>
        </w:rPr>
        <w:t xml:space="preserve">, </w:t>
      </w:r>
      <w:r w:rsidR="00775327">
        <w:rPr>
          <w:rFonts w:eastAsiaTheme="minorEastAsia"/>
        </w:rPr>
        <w:t xml:space="preserve">then </w:t>
      </w:r>
      <m:oMath>
        <m:r>
          <w:rPr>
            <w:rFonts w:ascii="Cambria Math" w:eastAsiaTheme="minorEastAsia" w:hAnsi="Cambria Math"/>
          </w:rPr>
          <m:t>H≥B</m:t>
        </m:r>
      </m:oMath>
      <w:r>
        <w:rPr>
          <w:rFonts w:eastAsiaTheme="minorEastAsia"/>
        </w:rPr>
        <w:t xml:space="preserve"> because a medical treatment: </w:t>
      </w:r>
    </w:p>
    <w:p w14:paraId="1CB5DC20" w14:textId="11926BC8" w:rsidR="00F3457C" w:rsidRDefault="00F3457C" w:rsidP="00F3457C">
      <w:pPr>
        <w:pStyle w:val="ListParagraph"/>
        <w:numPr>
          <w:ilvl w:val="0"/>
          <w:numId w:val="11"/>
        </w:numPr>
        <w:rPr>
          <w:rFonts w:eastAsiaTheme="minorEastAsia"/>
        </w:rPr>
      </w:pPr>
      <w:proofErr w:type="spellStart"/>
      <w:r w:rsidRPr="004929DD">
        <w:rPr>
          <w:rFonts w:eastAsiaTheme="minorEastAsia"/>
        </w:rPr>
        <w:t>can not</w:t>
      </w:r>
      <w:proofErr w:type="spellEnd"/>
      <w:r w:rsidRPr="004929DD">
        <w:rPr>
          <w:rFonts w:eastAsiaTheme="minorEastAsia"/>
        </w:rPr>
        <w:t xml:space="preserve"> improve (or ‘benefit’) </w:t>
      </w:r>
      <w:r>
        <w:rPr>
          <w:rFonts w:eastAsiaTheme="minorEastAsia"/>
        </w:rPr>
        <w:t xml:space="preserve">the patient’s </w:t>
      </w:r>
      <w:r w:rsidRPr="004929DD">
        <w:rPr>
          <w:rFonts w:eastAsiaTheme="minorEastAsia"/>
        </w:rPr>
        <w:t xml:space="preserve">health by more than the amount of harm </w:t>
      </w:r>
      <w:r>
        <w:rPr>
          <w:rFonts w:eastAsiaTheme="minorEastAsia"/>
        </w:rPr>
        <w:t xml:space="preserve">caused by </w:t>
      </w:r>
      <w:r w:rsidRPr="004929DD">
        <w:rPr>
          <w:rFonts w:eastAsiaTheme="minorEastAsia"/>
        </w:rPr>
        <w:t>a specific health condition</w:t>
      </w:r>
      <w:r>
        <w:rPr>
          <w:rFonts w:eastAsiaTheme="minorEastAsia"/>
        </w:rPr>
        <w:t xml:space="preserve">; i.e., </w:t>
      </w:r>
      <m:oMath>
        <m:r>
          <w:rPr>
            <w:rFonts w:ascii="Cambria Math" w:eastAsiaTheme="minorEastAsia" w:hAnsi="Cambria Math"/>
          </w:rPr>
          <m:t>H</m:t>
        </m:r>
      </m:oMath>
      <w:r w:rsidR="008D10B7">
        <w:rPr>
          <w:rFonts w:eastAsiaTheme="minorEastAsia"/>
        </w:rPr>
        <w:t xml:space="preserve"> is the maximum possible value for </w:t>
      </w:r>
      <m:oMath>
        <m:r>
          <w:rPr>
            <w:rFonts w:ascii="Cambria Math" w:eastAsiaTheme="minorEastAsia" w:hAnsi="Cambria Math"/>
          </w:rPr>
          <m:t>B</m:t>
        </m:r>
      </m:oMath>
      <w:r>
        <w:rPr>
          <w:rFonts w:eastAsiaTheme="minorEastAsia"/>
        </w:rPr>
        <w:t xml:space="preserve">, or </w:t>
      </w:r>
      <m:oMath>
        <m:r>
          <w:rPr>
            <w:rFonts w:ascii="Cambria Math" w:eastAsiaTheme="minorEastAsia" w:hAnsi="Cambria Math"/>
          </w:rPr>
          <m:t>H=B</m:t>
        </m:r>
      </m:oMath>
      <w:r w:rsidR="008D10B7">
        <w:rPr>
          <w:rFonts w:eastAsiaTheme="minorEastAsia"/>
        </w:rPr>
        <w:t xml:space="preserve">.  </w:t>
      </w:r>
    </w:p>
    <w:p w14:paraId="07CA8C13" w14:textId="158EFDB9" w:rsidR="00F3457C" w:rsidRPr="004929DD" w:rsidRDefault="00F3457C" w:rsidP="00F3457C">
      <w:pPr>
        <w:pStyle w:val="ListParagraph"/>
        <w:numPr>
          <w:ilvl w:val="0"/>
          <w:numId w:val="11"/>
        </w:numPr>
        <w:rPr>
          <w:rFonts w:eastAsiaTheme="minorEastAsia"/>
        </w:rPr>
      </w:pPr>
      <w:r w:rsidRPr="004929DD">
        <w:rPr>
          <w:rFonts w:eastAsiaTheme="minorEastAsia"/>
        </w:rPr>
        <w:t xml:space="preserve">may improve </w:t>
      </w:r>
      <w:r w:rsidR="008D10B7">
        <w:rPr>
          <w:rFonts w:eastAsiaTheme="minorEastAsia"/>
        </w:rPr>
        <w:t xml:space="preserve">the patient’s </w:t>
      </w:r>
      <w:r w:rsidRPr="004929DD">
        <w:rPr>
          <w:rFonts w:eastAsiaTheme="minorEastAsia"/>
        </w:rPr>
        <w:t>health</w:t>
      </w:r>
      <w:r w:rsidR="008D10B7">
        <w:rPr>
          <w:rFonts w:eastAsiaTheme="minorEastAsia"/>
        </w:rPr>
        <w:t xml:space="preserve">, </w:t>
      </w:r>
      <m:oMath>
        <m:r>
          <w:rPr>
            <w:rFonts w:ascii="Cambria Math" w:eastAsiaTheme="minorEastAsia" w:hAnsi="Cambria Math"/>
          </w:rPr>
          <m:t>B&gt;0</m:t>
        </m:r>
      </m:oMath>
      <w:r w:rsidR="008D10B7">
        <w:rPr>
          <w:rFonts w:eastAsiaTheme="minorEastAsia"/>
        </w:rPr>
        <w:t>,</w:t>
      </w:r>
      <w:r w:rsidRPr="004929DD">
        <w:rPr>
          <w:rFonts w:eastAsiaTheme="minorEastAsia"/>
        </w:rPr>
        <w:t xml:space="preserve"> without completely curing us</w:t>
      </w:r>
      <w:r w:rsidR="00D655FC">
        <w:rPr>
          <w:rFonts w:eastAsiaTheme="minorEastAsia"/>
        </w:rPr>
        <w:t>, so</w:t>
      </w:r>
      <w:r>
        <w:rPr>
          <w:rFonts w:eastAsiaTheme="minorEastAsia"/>
        </w:rPr>
        <w:t xml:space="preserve"> </w:t>
      </w:r>
      <m:oMath>
        <m:r>
          <w:rPr>
            <w:rFonts w:ascii="Cambria Math" w:eastAsiaTheme="minorEastAsia" w:hAnsi="Cambria Math"/>
          </w:rPr>
          <m:t>H&gt;B</m:t>
        </m:r>
      </m:oMath>
      <w:r w:rsidRPr="004929DD">
        <w:rPr>
          <w:rFonts w:eastAsiaTheme="minorEastAsia"/>
        </w:rPr>
        <w:t xml:space="preserve">.  </w:t>
      </w:r>
    </w:p>
    <w:p w14:paraId="23DB1891" w14:textId="77777777" w:rsidR="00775327" w:rsidRDefault="00775327" w:rsidP="00775327">
      <w:r>
        <w:rPr>
          <w:rFonts w:eastAsiaTheme="minorEastAsia"/>
        </w:rPr>
        <w:t xml:space="preserve">Therefore, the definition of </w:t>
      </w:r>
      <m:oMath>
        <m:r>
          <w:rPr>
            <w:rFonts w:ascii="Cambria Math" w:eastAsiaTheme="minorEastAsia" w:hAnsi="Cambria Math"/>
          </w:rPr>
          <m:t>H</m:t>
        </m:r>
      </m:oMath>
      <w:r w:rsidRPr="00F60A9B">
        <w:rPr>
          <w:rFonts w:eastAsiaTheme="minorEastAsia"/>
        </w:rPr>
        <w:t xml:space="preserve"> </w:t>
      </w:r>
      <w:r>
        <w:rPr>
          <w:rFonts w:eastAsiaTheme="minorEastAsia"/>
        </w:rPr>
        <w:t>means that</w:t>
      </w:r>
      <w:r>
        <w:t xml:space="preserve">:  </w:t>
      </w:r>
    </w:p>
    <w:p w14:paraId="274A2840" w14:textId="77777777" w:rsidR="00775327" w:rsidRDefault="00775327" w:rsidP="00775327">
      <w:pPr>
        <w:sectPr w:rsidR="00775327" w:rsidSect="008F1C32">
          <w:headerReference w:type="default" r:id="rId12"/>
          <w:headerReference w:type="first" r:id="rId13"/>
          <w:type w:val="continuous"/>
          <w:pgSz w:w="12240" w:h="15840" w:code="1"/>
          <w:pgMar w:top="1152" w:right="1440" w:bottom="1152" w:left="1440" w:header="720" w:footer="720" w:gutter="0"/>
          <w:cols w:space="720"/>
          <w:titlePg/>
          <w:docGrid w:linePitch="360"/>
        </w:sectPr>
      </w:pPr>
    </w:p>
    <w:p w14:paraId="62F6F438" w14:textId="2C3C592A" w:rsidR="00775327" w:rsidRPr="00775327" w:rsidRDefault="00775327" w:rsidP="00775327">
      <w:pPr>
        <w:rPr>
          <w:i/>
          <w:iCs/>
        </w:rPr>
      </w:pPr>
      <w:r w:rsidRPr="00775327">
        <w:rPr>
          <w:i/>
          <w:iCs/>
        </w:rPr>
        <w:t xml:space="preserve">The </w:t>
      </w:r>
      <w:r>
        <w:rPr>
          <w:i/>
          <w:iCs/>
        </w:rPr>
        <w:t xml:space="preserve">likely </w:t>
      </w:r>
      <w:r w:rsidRPr="00775327">
        <w:rPr>
          <w:i/>
          <w:iCs/>
        </w:rPr>
        <w:t>‘</w:t>
      </w:r>
      <w:r>
        <w:rPr>
          <w:i/>
          <w:iCs/>
        </w:rPr>
        <w:t>harm</w:t>
      </w:r>
      <w:r w:rsidRPr="00775327">
        <w:rPr>
          <w:i/>
          <w:iCs/>
        </w:rPr>
        <w:t xml:space="preserve">’ of a medical </w:t>
      </w:r>
      <w:r>
        <w:rPr>
          <w:i/>
          <w:iCs/>
        </w:rPr>
        <w:t xml:space="preserve">condition </w:t>
      </w:r>
      <w:r w:rsidRPr="00775327">
        <w:rPr>
          <w:i/>
          <w:iCs/>
        </w:rPr>
        <w:t xml:space="preserve">establishes an upper limit on the </w:t>
      </w:r>
      <w:r>
        <w:rPr>
          <w:i/>
          <w:iCs/>
        </w:rPr>
        <w:t xml:space="preserve">likely </w:t>
      </w:r>
      <w:r w:rsidRPr="00775327">
        <w:rPr>
          <w:i/>
          <w:iCs/>
        </w:rPr>
        <w:t xml:space="preserve">amount of </w:t>
      </w:r>
      <w:r>
        <w:rPr>
          <w:i/>
          <w:iCs/>
        </w:rPr>
        <w:t xml:space="preserve">‘benefit’ </w:t>
      </w:r>
      <w:r w:rsidRPr="00775327">
        <w:rPr>
          <w:i/>
          <w:iCs/>
        </w:rPr>
        <w:t xml:space="preserve">that a patient can ethically be </w:t>
      </w:r>
      <w:r>
        <w:rPr>
          <w:i/>
          <w:iCs/>
        </w:rPr>
        <w:t xml:space="preserve">exposed to </w:t>
      </w:r>
      <w:r w:rsidRPr="00775327">
        <w:rPr>
          <w:i/>
          <w:iCs/>
        </w:rPr>
        <w:t>from the medical treatment</w:t>
      </w:r>
      <w:r w:rsidR="007B41B1">
        <w:rPr>
          <w:i/>
          <w:iCs/>
        </w:rPr>
        <w:t xml:space="preserve">; i.e., </w:t>
      </w:r>
      <m:oMath>
        <m:r>
          <w:rPr>
            <w:rFonts w:ascii="Cambria Math" w:hAnsi="Cambria Math"/>
          </w:rPr>
          <m:t>H≥B</m:t>
        </m:r>
      </m:oMath>
      <w:r w:rsidRPr="00775327">
        <w:rPr>
          <w:i/>
          <w:iCs/>
        </w:rPr>
        <w:t xml:space="preserve">. </w:t>
      </w:r>
    </w:p>
    <w:p w14:paraId="3703E16F" w14:textId="77777777" w:rsidR="00775327" w:rsidRDefault="00775327" w:rsidP="00775327">
      <w:pPr>
        <w:rPr>
          <w:rFonts w:eastAsiaTheme="minorEastAsia"/>
        </w:rPr>
        <w:sectPr w:rsidR="00775327" w:rsidSect="008F1C32">
          <w:type w:val="continuous"/>
          <w:pgSz w:w="12240" w:h="15840" w:code="1"/>
          <w:pgMar w:top="1152" w:right="2016" w:bottom="1152" w:left="2016" w:header="720" w:footer="720" w:gutter="0"/>
          <w:cols w:space="720"/>
          <w:titlePg/>
          <w:docGrid w:linePitch="360"/>
        </w:sectPr>
      </w:pPr>
    </w:p>
    <w:p w14:paraId="237ED763" w14:textId="77777777" w:rsidR="007152C0" w:rsidRDefault="007152C0" w:rsidP="00AF421A"/>
    <w:p w14:paraId="4D35E79A" w14:textId="04000319" w:rsidR="008A6EE6" w:rsidRDefault="00930C26" w:rsidP="00AF421A">
      <w:r>
        <w:t xml:space="preserve">If we </w:t>
      </w:r>
      <w:r w:rsidR="00344E37">
        <w:t xml:space="preserve">now </w:t>
      </w:r>
      <w:r>
        <w:t xml:space="preserve">consider someone who does </w:t>
      </w:r>
      <w:r w:rsidRPr="003F6761">
        <w:rPr>
          <w:i/>
          <w:iCs/>
          <w:u w:val="single"/>
        </w:rPr>
        <w:t>not</w:t>
      </w:r>
      <w:r w:rsidRPr="003F6761">
        <w:rPr>
          <w:i/>
          <w:iCs/>
        </w:rPr>
        <w:t xml:space="preserve"> meet</w:t>
      </w:r>
      <w:r>
        <w:t xml:space="preserve"> the FDA’s definition of a patient, that person </w:t>
      </w:r>
      <w:r w:rsidR="00E92D1E">
        <w:rPr>
          <w:i/>
          <w:iCs/>
        </w:rPr>
        <w:t>simultaneously</w:t>
      </w:r>
      <w:r>
        <w:t xml:space="preserve"> does not currently have a health condition </w:t>
      </w:r>
      <w:r w:rsidRPr="00640A98">
        <w:rPr>
          <w:i/>
          <w:iCs/>
        </w:rPr>
        <w:t>and</w:t>
      </w:r>
      <w:r>
        <w:t xml:space="preserve"> is not at risk of a health condition</w:t>
      </w:r>
      <w:r w:rsidR="00E92D1E">
        <w:t xml:space="preserve"> in the future</w:t>
      </w:r>
      <w:r w:rsidR="00775327">
        <w:t>; i.e.,</w:t>
      </w:r>
      <w:r w:rsidR="007152C0">
        <w:t xml:space="preserve"> for this person,</w:t>
      </w:r>
      <w:r w:rsidR="00775327">
        <w:t xml:space="preserve"> </w:t>
      </w:r>
      <m:oMath>
        <m:r>
          <w:rPr>
            <w:rFonts w:ascii="Cambria Math" w:eastAsiaTheme="minorEastAsia" w:hAnsi="Cambria Math"/>
          </w:rPr>
          <m:t>H=0</m:t>
        </m:r>
      </m:oMath>
      <w:r w:rsidR="008A6EE6">
        <w:rPr>
          <w:rFonts w:eastAsiaTheme="minorEastAsia"/>
        </w:rPr>
        <w:t>.  W</w:t>
      </w:r>
      <w:r w:rsidR="007152C0">
        <w:rPr>
          <w:rFonts w:eastAsiaTheme="minorEastAsia"/>
        </w:rPr>
        <w:t xml:space="preserve">e will </w:t>
      </w:r>
      <w:r w:rsidR="00E655D0">
        <w:t>refer to this person as ‘100% healthy’</w:t>
      </w:r>
      <w:r w:rsidR="008A6EE6">
        <w:t xml:space="preserve"> and everyone who </w:t>
      </w:r>
      <w:r w:rsidR="008A6EE6" w:rsidRPr="00764CBC">
        <w:rPr>
          <w:i/>
          <w:iCs/>
        </w:rPr>
        <w:t>meets</w:t>
      </w:r>
      <w:r w:rsidR="008A6EE6">
        <w:t xml:space="preserve"> the FDA’s definition of a patient will be referred to as ‘&lt;100% healthy’.  </w:t>
      </w:r>
    </w:p>
    <w:p w14:paraId="37CB44EF" w14:textId="03919C85" w:rsidR="00E655D0" w:rsidRDefault="004634AF" w:rsidP="00AF421A">
      <w:pPr>
        <w:rPr>
          <w:rFonts w:eastAsiaTheme="minorEastAsia"/>
        </w:rPr>
      </w:pPr>
      <w:r>
        <w:rPr>
          <w:noProof/>
        </w:rPr>
        <w:drawing>
          <wp:anchor distT="0" distB="0" distL="114300" distR="114300" simplePos="0" relativeHeight="251669504" behindDoc="0" locked="0" layoutInCell="1" allowOverlap="1" wp14:anchorId="426787A5" wp14:editId="64AAB4B3">
            <wp:simplePos x="0" y="0"/>
            <wp:positionH relativeFrom="column">
              <wp:posOffset>0</wp:posOffset>
            </wp:positionH>
            <wp:positionV relativeFrom="paragraph">
              <wp:posOffset>392430</wp:posOffset>
            </wp:positionV>
            <wp:extent cx="1504950" cy="2447925"/>
            <wp:effectExtent l="0" t="0" r="0" b="9525"/>
            <wp:wrapSquare wrapText="bothSides"/>
            <wp:docPr id="807723473" name="Picture 80772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2447925"/>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54E243FC" wp14:editId="042E4A20">
            <wp:simplePos x="0" y="0"/>
            <wp:positionH relativeFrom="column">
              <wp:posOffset>4438650</wp:posOffset>
            </wp:positionH>
            <wp:positionV relativeFrom="paragraph">
              <wp:posOffset>392430</wp:posOffset>
            </wp:positionV>
            <wp:extent cx="1508760" cy="2450465"/>
            <wp:effectExtent l="0" t="0" r="0" b="6985"/>
            <wp:wrapTight wrapText="bothSides">
              <wp:wrapPolygon edited="0">
                <wp:start x="0" y="0"/>
                <wp:lineTo x="0" y="21494"/>
                <wp:lineTo x="21273" y="21494"/>
                <wp:lineTo x="21273" y="0"/>
                <wp:lineTo x="0" y="0"/>
              </wp:wrapPolygon>
            </wp:wrapTight>
            <wp:docPr id="557795230" name="Picture 55779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8760" cy="2450465"/>
                    </a:xfrm>
                    <a:prstGeom prst="rect">
                      <a:avLst/>
                    </a:prstGeom>
                    <a:noFill/>
                    <a:ln>
                      <a:noFill/>
                    </a:ln>
                  </pic:spPr>
                </pic:pic>
              </a:graphicData>
            </a:graphic>
          </wp:anchor>
        </w:drawing>
      </w:r>
      <w:r w:rsidR="007B41B1">
        <w:rPr>
          <w:rFonts w:eastAsiaTheme="minorEastAsia"/>
        </w:rPr>
        <w:t xml:space="preserve">Since </w:t>
      </w:r>
      <m:oMath>
        <m:r>
          <w:rPr>
            <w:rFonts w:ascii="Cambria Math" w:eastAsiaTheme="minorEastAsia" w:hAnsi="Cambria Math"/>
          </w:rPr>
          <m:t>H≥B</m:t>
        </m:r>
      </m:oMath>
      <w:r w:rsidR="007B41B1">
        <w:rPr>
          <w:rFonts w:eastAsiaTheme="minorEastAsia"/>
        </w:rPr>
        <w:t xml:space="preserve"> and</w:t>
      </w:r>
      <w:r w:rsidR="007B41B1">
        <w:t xml:space="preserve"> </w:t>
      </w:r>
      <m:oMath>
        <m:r>
          <w:rPr>
            <w:rFonts w:ascii="Cambria Math" w:hAnsi="Cambria Math"/>
          </w:rPr>
          <m:t>B&gt;R</m:t>
        </m:r>
      </m:oMath>
      <w:r w:rsidR="007B41B1">
        <w:rPr>
          <w:rFonts w:eastAsiaTheme="minorEastAsia"/>
        </w:rPr>
        <w:t xml:space="preserve">, then, by the transitive properties of inequalities, </w:t>
      </w:r>
      <m:oMath>
        <m:r>
          <w:rPr>
            <w:rFonts w:ascii="Cambria Math" w:eastAsiaTheme="minorEastAsia" w:hAnsi="Cambria Math"/>
          </w:rPr>
          <m:t>H</m:t>
        </m:r>
        <m:r>
          <w:rPr>
            <w:rFonts w:ascii="Cambria Math" w:hAnsi="Cambria Math"/>
          </w:rPr>
          <m:t>&gt;R</m:t>
        </m:r>
      </m:oMath>
      <w:r w:rsidR="007B41B1">
        <w:rPr>
          <w:rFonts w:eastAsiaTheme="minorEastAsia"/>
        </w:rPr>
        <w:t xml:space="preserve">.  Therefore, </w:t>
      </w:r>
      <w:r w:rsidR="00775327">
        <w:t xml:space="preserve">when </w:t>
      </w:r>
      <m:oMath>
        <m:r>
          <w:rPr>
            <w:rFonts w:ascii="Cambria Math" w:eastAsiaTheme="minorEastAsia" w:hAnsi="Cambria Math"/>
          </w:rPr>
          <m:t>H=0</m:t>
        </m:r>
      </m:oMath>
      <w:r w:rsidR="00775327">
        <w:rPr>
          <w:rFonts w:eastAsiaTheme="minorEastAsia"/>
        </w:rPr>
        <w:t xml:space="preserve">, </w:t>
      </w:r>
      <w:r w:rsidR="007B41B1">
        <w:rPr>
          <w:rFonts w:eastAsiaTheme="minorEastAsia"/>
        </w:rPr>
        <w:t>it must also be true that</w:t>
      </w:r>
      <w:r w:rsidR="007152C0">
        <w:rPr>
          <w:rFonts w:eastAsiaTheme="minorEastAsia"/>
        </w:rPr>
        <w:t xml:space="preserve"> both </w:t>
      </w:r>
      <m:oMath>
        <m:r>
          <w:rPr>
            <w:rFonts w:ascii="Cambria Math" w:eastAsiaTheme="minorEastAsia" w:hAnsi="Cambria Math"/>
          </w:rPr>
          <m:t>B</m:t>
        </m:r>
        <m:r>
          <w:rPr>
            <w:rFonts w:ascii="Cambria Math" w:hAnsi="Cambria Math"/>
          </w:rPr>
          <m:t>=0</m:t>
        </m:r>
      </m:oMath>
      <w:r w:rsidR="007152C0">
        <w:rPr>
          <w:rFonts w:eastAsiaTheme="minorEastAsia"/>
        </w:rPr>
        <w:t xml:space="preserve"> and</w:t>
      </w:r>
      <w:r w:rsidR="007B41B1">
        <w:rPr>
          <w:rFonts w:eastAsiaTheme="minorEastAsia"/>
        </w:rPr>
        <w:t xml:space="preserve"> </w:t>
      </w:r>
      <m:oMath>
        <m:r>
          <w:rPr>
            <w:rFonts w:ascii="Cambria Math" w:hAnsi="Cambria Math"/>
          </w:rPr>
          <m:t>R=0</m:t>
        </m:r>
      </m:oMath>
      <w:r w:rsidR="007B41B1">
        <w:rPr>
          <w:rFonts w:eastAsiaTheme="minorEastAsia"/>
        </w:rPr>
        <w:t xml:space="preserve"> for an ethical medical treatment</w:t>
      </w:r>
      <w:r w:rsidR="00775327">
        <w:rPr>
          <w:rFonts w:eastAsiaTheme="minorEastAsia"/>
        </w:rPr>
        <w:t>.  However, as we discussed</w:t>
      </w:r>
      <w:r w:rsidR="00E655D0">
        <w:rPr>
          <w:rFonts w:eastAsiaTheme="minorEastAsia"/>
        </w:rPr>
        <w:t xml:space="preserve"> at the start of this section, every medical treatment exposes the patient to some risk; i.e., </w:t>
      </w:r>
      <m:oMath>
        <m:r>
          <w:rPr>
            <w:rFonts w:ascii="Cambria Math" w:hAnsi="Cambria Math"/>
          </w:rPr>
          <m:t>R&gt;0</m:t>
        </m:r>
      </m:oMath>
      <w:r w:rsidR="00E655D0">
        <w:rPr>
          <w:rFonts w:eastAsiaTheme="minorEastAsia"/>
        </w:rPr>
        <w:t xml:space="preserve"> for every medical treatment.  Since </w:t>
      </w:r>
      <m:oMath>
        <m:r>
          <w:rPr>
            <w:rFonts w:ascii="Cambria Math" w:hAnsi="Cambria Math"/>
          </w:rPr>
          <m:t>R&gt;0</m:t>
        </m:r>
      </m:oMath>
      <w:r w:rsidR="00E655D0">
        <w:rPr>
          <w:rFonts w:eastAsiaTheme="minorEastAsia"/>
        </w:rPr>
        <w:t xml:space="preserve"> for every medical treatment, but </w:t>
      </w:r>
      <m:oMath>
        <m:r>
          <w:rPr>
            <w:rFonts w:ascii="Cambria Math" w:hAnsi="Cambria Math"/>
          </w:rPr>
          <m:t>R=0</m:t>
        </m:r>
      </m:oMath>
      <w:r w:rsidR="00E655D0">
        <w:rPr>
          <w:rFonts w:eastAsiaTheme="minorEastAsia"/>
        </w:rPr>
        <w:t xml:space="preserve"> </w:t>
      </w:r>
      <w:r w:rsidR="007B41B1">
        <w:rPr>
          <w:rFonts w:eastAsiaTheme="minorEastAsia"/>
        </w:rPr>
        <w:t xml:space="preserve">for an ethical medical treatment, </w:t>
      </w:r>
      <w:r w:rsidR="00E655D0">
        <w:rPr>
          <w:rFonts w:eastAsiaTheme="minorEastAsia"/>
        </w:rPr>
        <w:t xml:space="preserve">then we can reach the conclusion that it is not ethical to perform a medical treatment on anyone </w:t>
      </w:r>
      <w:r w:rsidR="007152C0">
        <w:rPr>
          <w:rFonts w:eastAsiaTheme="minorEastAsia"/>
        </w:rPr>
        <w:t xml:space="preserve">for who </w:t>
      </w:r>
      <w:proofErr w:type="spellStart"/>
      <w:r w:rsidR="007152C0">
        <w:rPr>
          <w:rFonts w:eastAsiaTheme="minorEastAsia"/>
        </w:rPr>
        <w:t>can not</w:t>
      </w:r>
      <w:proofErr w:type="spellEnd"/>
      <w:r w:rsidR="007152C0">
        <w:rPr>
          <w:rFonts w:eastAsiaTheme="minorEastAsia"/>
        </w:rPr>
        <w:t xml:space="preserve"> receive a benefit; i.e., for whom </w:t>
      </w:r>
      <m:oMath>
        <m:r>
          <w:rPr>
            <w:rFonts w:ascii="Cambria Math" w:eastAsiaTheme="minorEastAsia" w:hAnsi="Cambria Math"/>
          </w:rPr>
          <m:t>B</m:t>
        </m:r>
        <m:r>
          <w:rPr>
            <w:rFonts w:ascii="Cambria Math" w:hAnsi="Cambria Math"/>
          </w:rPr>
          <m:t>=0</m:t>
        </m:r>
      </m:oMath>
      <w:r w:rsidR="00E655D0">
        <w:rPr>
          <w:rFonts w:eastAsiaTheme="minorEastAsia"/>
        </w:rPr>
        <w:t xml:space="preserve">.  </w:t>
      </w:r>
    </w:p>
    <w:p w14:paraId="1C6F3E0A" w14:textId="3EFD49CE" w:rsidR="00930C26" w:rsidRDefault="007B41B1" w:rsidP="00930C26">
      <w:pPr>
        <w:pStyle w:val="ListParagraph"/>
        <w:ind w:left="0"/>
        <w:contextualSpacing w:val="0"/>
      </w:pPr>
      <w:r w:rsidRPr="00F60A9B">
        <w:rPr>
          <w:noProof/>
        </w:rPr>
        <mc:AlternateContent>
          <mc:Choice Requires="wps">
            <w:drawing>
              <wp:anchor distT="0" distB="0" distL="114300" distR="114300" simplePos="0" relativeHeight="251666432" behindDoc="0" locked="0" layoutInCell="1" allowOverlap="1" wp14:anchorId="11B11A63" wp14:editId="69076C18">
                <wp:simplePos x="0" y="0"/>
                <wp:positionH relativeFrom="margin">
                  <wp:posOffset>4464050</wp:posOffset>
                </wp:positionH>
                <wp:positionV relativeFrom="paragraph">
                  <wp:posOffset>746760</wp:posOffset>
                </wp:positionV>
                <wp:extent cx="1459230" cy="318770"/>
                <wp:effectExtent l="0" t="0" r="7620" b="5080"/>
                <wp:wrapSquare wrapText="bothSides"/>
                <wp:docPr id="249218292" name="Text Box 1"/>
                <wp:cNvGraphicFramePr/>
                <a:graphic xmlns:a="http://schemas.openxmlformats.org/drawingml/2006/main">
                  <a:graphicData uri="http://schemas.microsoft.com/office/word/2010/wordprocessingShape">
                    <wps:wsp>
                      <wps:cNvSpPr txBox="1"/>
                      <wps:spPr>
                        <a:xfrm>
                          <a:off x="0" y="0"/>
                          <a:ext cx="1459230" cy="318770"/>
                        </a:xfrm>
                        <a:prstGeom prst="rect">
                          <a:avLst/>
                        </a:prstGeom>
                        <a:solidFill>
                          <a:prstClr val="white"/>
                        </a:solidFill>
                        <a:ln>
                          <a:noFill/>
                        </a:ln>
                      </wps:spPr>
                      <wps:txbx>
                        <w:txbxContent>
                          <w:p w14:paraId="599E8298" w14:textId="77777777" w:rsidR="00930C26" w:rsidRPr="00166A23" w:rsidRDefault="00930C26" w:rsidP="00930C26">
                            <w:pPr>
                              <w:pStyle w:val="Caption"/>
                              <w:spacing w:after="0"/>
                              <w:rPr>
                                <w:noProof/>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 Available Benefit and Risk for a 90% Healthy Person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11A63" id="_x0000_s1027" type="#_x0000_t202" style="position:absolute;margin-left:351.5pt;margin-top:58.8pt;width:114.9pt;height:25.1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" stroked="f">
                <v:textbox inset="0,0,0,0">
                  <w:txbxContent>
                    <w:p w14:paraId="599E8298" w14:textId="77777777" w:rsidR="00930C26" w:rsidRPr="00166A23" w:rsidRDefault="00930C26" w:rsidP="00930C26">
                      <w:pPr>
                        <w:pStyle w:val="Caption"/>
                        <w:spacing w:after="0"/>
                        <w:rPr>
                          <w:noProof/>
                        </w:rPr>
                      </w:pPr>
                      <w:r>
                        <w:t xml:space="preserve">Figure </w:t>
                      </w:r>
                      <w:fldSimple w:instr=" SEQ Figure \* ARABIC ">
                        <w:r>
                          <w:rPr>
                            <w:noProof/>
                          </w:rPr>
                          <w:t>3</w:t>
                        </w:r>
                      </w:fldSimple>
                      <w:r>
                        <w:t xml:space="preserve"> - Available Benefit and Risk for a 90% Healthy Person </w:t>
                      </w:r>
                    </w:p>
                  </w:txbxContent>
                </v:textbox>
                <w10:wrap type="square" anchorx="margin"/>
              </v:shape>
            </w:pict>
          </mc:Fallback>
        </mc:AlternateContent>
      </w:r>
      <w:r w:rsidR="00E655D0" w:rsidRPr="00F60A9B">
        <w:rPr>
          <w:noProof/>
        </w:rPr>
        <mc:AlternateContent>
          <mc:Choice Requires="wps">
            <w:drawing>
              <wp:anchor distT="0" distB="0" distL="114300" distR="114300" simplePos="0" relativeHeight="251667456" behindDoc="0" locked="0" layoutInCell="1" allowOverlap="1" wp14:anchorId="2FBBF6B0" wp14:editId="160528B3">
                <wp:simplePos x="0" y="0"/>
                <wp:positionH relativeFrom="margin">
                  <wp:posOffset>12700</wp:posOffset>
                </wp:positionH>
                <wp:positionV relativeFrom="paragraph">
                  <wp:posOffset>758825</wp:posOffset>
                </wp:positionV>
                <wp:extent cx="1479550" cy="635"/>
                <wp:effectExtent l="0" t="0" r="6350" b="6985"/>
                <wp:wrapSquare wrapText="bothSides"/>
                <wp:docPr id="1822761609" name="Text Box 1"/>
                <wp:cNvGraphicFramePr/>
                <a:graphic xmlns:a="http://schemas.openxmlformats.org/drawingml/2006/main">
                  <a:graphicData uri="http://schemas.microsoft.com/office/word/2010/wordprocessingShape">
                    <wps:wsp>
                      <wps:cNvSpPr txBox="1"/>
                      <wps:spPr>
                        <a:xfrm>
                          <a:off x="0" y="0"/>
                          <a:ext cx="1479550" cy="635"/>
                        </a:xfrm>
                        <a:prstGeom prst="rect">
                          <a:avLst/>
                        </a:prstGeom>
                        <a:solidFill>
                          <a:prstClr val="white"/>
                        </a:solidFill>
                        <a:ln>
                          <a:noFill/>
                        </a:ln>
                      </wps:spPr>
                      <wps:txbx>
                        <w:txbxContent>
                          <w:p w14:paraId="7AD4BFF4" w14:textId="77777777" w:rsidR="00930C26" w:rsidRPr="003455FA" w:rsidRDefault="00930C26" w:rsidP="00930C26">
                            <w:pPr>
                              <w:pStyle w:val="Caption"/>
                              <w:spacing w:after="0"/>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 Available Benefit and Risk for a 100% Healthy Person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BBF6B0" id="_x0000_s1028" type="#_x0000_t202" style="position:absolute;margin-left:1pt;margin-top:59.75pt;width:116.5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" stroked="f">
                <v:textbox style="mso-fit-shape-to-text:t" inset="0,0,0,0">
                  <w:txbxContent>
                    <w:p w14:paraId="7AD4BFF4" w14:textId="77777777" w:rsidR="00930C26" w:rsidRPr="003455FA" w:rsidRDefault="00930C26" w:rsidP="00930C26">
                      <w:pPr>
                        <w:pStyle w:val="Caption"/>
                        <w:spacing w:after="0"/>
                        <w:rPr>
                          <w:noProof/>
                        </w:rPr>
                      </w:pPr>
                      <w:r>
                        <w:t xml:space="preserve">Figure </w:t>
                      </w:r>
                      <w:fldSimple w:instr=" SEQ Figure \* ARABIC ">
                        <w:r>
                          <w:rPr>
                            <w:noProof/>
                          </w:rPr>
                          <w:t>2</w:t>
                        </w:r>
                      </w:fldSimple>
                      <w:r>
                        <w:t xml:space="preserve"> - Available Benefit and Risk for a 100% Healthy Person</w:t>
                      </w:r>
                    </w:p>
                  </w:txbxContent>
                </v:textbox>
                <w10:wrap type="square" anchorx="margin"/>
              </v:shape>
            </w:pict>
          </mc:Fallback>
        </mc:AlternateContent>
      </w:r>
      <w:r w:rsidR="00930C26" w:rsidRPr="00F60A9B">
        <w:t xml:space="preserve">On the other hand, per </w:t>
      </w:r>
      <w:r w:rsidR="00930C26" w:rsidRPr="00F60A9B">
        <w:fldChar w:fldCharType="begin"/>
      </w:r>
      <w:r w:rsidR="00930C26" w:rsidRPr="00F60A9B">
        <w:instrText xml:space="preserve"> REF _Ref138115008 \h </w:instrText>
      </w:r>
      <w:r w:rsidR="00930C26" w:rsidRPr="00F60A9B">
        <w:fldChar w:fldCharType="separate"/>
      </w:r>
      <w:r w:rsidR="00930C26">
        <w:t xml:space="preserve">Figure </w:t>
      </w:r>
      <w:r w:rsidR="00930C26">
        <w:rPr>
          <w:noProof/>
        </w:rPr>
        <w:t>3</w:t>
      </w:r>
      <w:r w:rsidR="00930C26" w:rsidRPr="00F60A9B">
        <w:fldChar w:fldCharType="end"/>
      </w:r>
      <w:r w:rsidR="00930C26" w:rsidRPr="00F60A9B">
        <w:t xml:space="preserve">, if someone either has, or is at least at risk of, a health condition, then their health is less than 100% </w:t>
      </w:r>
      <w:r w:rsidR="00930C26">
        <w:t xml:space="preserve">(e.g., 90% in </w:t>
      </w:r>
      <w:r w:rsidR="00930C26" w:rsidRPr="00F60A9B">
        <w:fldChar w:fldCharType="begin"/>
      </w:r>
      <w:r w:rsidR="00930C26" w:rsidRPr="00F60A9B">
        <w:instrText xml:space="preserve"> REF _Ref138115008 \h </w:instrText>
      </w:r>
      <w:r w:rsidR="00930C26" w:rsidRPr="00F60A9B">
        <w:fldChar w:fldCharType="separate"/>
      </w:r>
      <w:r w:rsidR="00930C26">
        <w:t xml:space="preserve">Figure </w:t>
      </w:r>
      <w:r w:rsidR="00930C26">
        <w:rPr>
          <w:noProof/>
        </w:rPr>
        <w:t>3</w:t>
      </w:r>
      <w:r w:rsidR="00930C26" w:rsidRPr="00F60A9B">
        <w:fldChar w:fldCharType="end"/>
      </w:r>
      <w:r w:rsidR="00930C26">
        <w:t>).  T</w:t>
      </w:r>
      <w:r w:rsidR="00930C26" w:rsidRPr="00F60A9B">
        <w:t xml:space="preserve">his loss of health presents </w:t>
      </w:r>
      <w:r w:rsidR="00930C26">
        <w:t xml:space="preserve">an </w:t>
      </w:r>
      <w:r w:rsidR="00930C26" w:rsidRPr="00F60A9B">
        <w:t xml:space="preserve">opportunity </w:t>
      </w:r>
      <w:r w:rsidR="00930C26">
        <w:t xml:space="preserve">for the patient </w:t>
      </w:r>
      <w:r w:rsidR="00930C26" w:rsidRPr="00F60A9B">
        <w:t xml:space="preserve">to benefit from a medical treatment.   We can, then, ethically expose this person to a medical treatment if that </w:t>
      </w:r>
      <w:r w:rsidR="00930C26">
        <w:t>medical treatment’s</w:t>
      </w:r>
      <w:r w:rsidR="00930C26" w:rsidRPr="00F60A9B">
        <w:t xml:space="preserve"> expected risk is less than the </w:t>
      </w:r>
      <w:r w:rsidR="00E655D0">
        <w:t xml:space="preserve">treatment’s </w:t>
      </w:r>
      <w:r w:rsidR="00930C26" w:rsidRPr="00F60A9B">
        <w:t xml:space="preserve">expected benefit. </w:t>
      </w:r>
      <w:r w:rsidR="00930C26">
        <w:t xml:space="preserve"> </w:t>
      </w:r>
    </w:p>
    <w:p w14:paraId="5B74EFF7" w14:textId="77777777" w:rsidR="00F9135E" w:rsidRDefault="005E2E2C" w:rsidP="007B41B1">
      <w:pPr>
        <w:pStyle w:val="Heading3"/>
        <w:keepNext w:val="0"/>
        <w:keepLines w:val="0"/>
      </w:pPr>
      <w:bookmarkStart w:id="17" w:name="_Toc156728640"/>
      <w:r w:rsidRPr="00811026">
        <w:rPr>
          <w:u w:val="single"/>
        </w:rPr>
        <w:t>A</w:t>
      </w:r>
      <w:r w:rsidR="00AC64B9" w:rsidRPr="00811026">
        <w:rPr>
          <w:u w:val="single"/>
        </w:rPr>
        <w:t xml:space="preserve"> real-world </w:t>
      </w:r>
      <w:r w:rsidRPr="00811026">
        <w:rPr>
          <w:u w:val="single"/>
        </w:rPr>
        <w:t xml:space="preserve">example of </w:t>
      </w:r>
      <w:r w:rsidR="00AC64B9" w:rsidRPr="00811026">
        <w:rPr>
          <w:u w:val="single"/>
        </w:rPr>
        <w:t>benefit and risk</w:t>
      </w:r>
      <w:r w:rsidR="006D07AD" w:rsidRPr="00811026">
        <w:rPr>
          <w:u w:val="single"/>
        </w:rPr>
        <w:t xml:space="preserve"> tradeoffs</w:t>
      </w:r>
      <w:bookmarkEnd w:id="17"/>
      <w:r>
        <w:t xml:space="preserve">  </w:t>
      </w:r>
    </w:p>
    <w:p w14:paraId="4B11CDDC" w14:textId="60636325" w:rsidR="005E2E2C" w:rsidRDefault="00717972" w:rsidP="007B41B1">
      <w:r>
        <w:lastRenderedPageBreak/>
        <w:t>If you live in the United States, y</w:t>
      </w:r>
      <w:r w:rsidR="005E2E2C">
        <w:t>ou may have seen recent television ads about using Botox to treat migraines</w:t>
      </w:r>
      <w:r w:rsidR="008A6BC3">
        <w:rPr>
          <w:rStyle w:val="FootnoteReference"/>
        </w:rPr>
        <w:footnoteReference w:id="18"/>
      </w:r>
      <w:r w:rsidR="008A6BC3" w:rsidRPr="008C1394">
        <w:rPr>
          <w:vertAlign w:val="superscript"/>
        </w:rPr>
        <w:t xml:space="preserve">, </w:t>
      </w:r>
      <w:r w:rsidR="008A6BC3">
        <w:rPr>
          <w:rStyle w:val="FootnoteReference"/>
        </w:rPr>
        <w:footnoteReference w:id="19"/>
      </w:r>
      <w:r w:rsidR="005E2E2C">
        <w:t xml:space="preserve">.  The ads state that Botox </w:t>
      </w:r>
      <w:r w:rsidR="005E2E2C" w:rsidRPr="00A03AE4">
        <w:rPr>
          <w:i/>
          <w:iCs/>
        </w:rPr>
        <w:t>is intended</w:t>
      </w:r>
      <w:r w:rsidR="005E2E2C">
        <w:t xml:space="preserve"> to treat migraines in people with at least 15 headache days per month, where each headache lasts 4 hours a day or longer</w:t>
      </w:r>
      <w:r w:rsidR="00AC64B9">
        <w:t xml:space="preserve">; i.e., </w:t>
      </w:r>
      <m:oMath>
        <m:r>
          <w:rPr>
            <w:rFonts w:ascii="Cambria Math" w:eastAsiaTheme="minorEastAsia" w:hAnsi="Cambria Math"/>
          </w:rPr>
          <m:t>H=</m:t>
        </m:r>
      </m:oMath>
      <w:r w:rsidR="00A60993">
        <w:rPr>
          <w:rFonts w:eastAsiaTheme="minorEastAsia"/>
        </w:rPr>
        <w:t xml:space="preserve"> </w:t>
      </w:r>
      <w:r w:rsidR="00A60993" w:rsidRPr="00A60993">
        <w:rPr>
          <w:rFonts w:eastAsiaTheme="minorEastAsia"/>
        </w:rPr>
        <w:t>"at least 15 headache days per month,</w:t>
      </w:r>
      <w:r w:rsidR="00A60993">
        <w:rPr>
          <w:rFonts w:eastAsiaTheme="minorEastAsia"/>
        </w:rPr>
        <w:t xml:space="preserve"> </w:t>
      </w:r>
      <w:r w:rsidR="00A60993" w:rsidRPr="00A60993">
        <w:rPr>
          <w:rFonts w:eastAsiaTheme="minorEastAsia"/>
        </w:rPr>
        <w:t xml:space="preserve">where each headache lasts </w:t>
      </w:r>
      <w:r w:rsidR="00ED07E6">
        <w:rPr>
          <w:rFonts w:eastAsiaTheme="minorEastAsia"/>
        </w:rPr>
        <w:t xml:space="preserve">at least </w:t>
      </w:r>
      <w:r w:rsidR="00A60993" w:rsidRPr="00A60993">
        <w:rPr>
          <w:rFonts w:eastAsiaTheme="minorEastAsia"/>
        </w:rPr>
        <w:t>4 hours a day"</w:t>
      </w:r>
      <w:r w:rsidR="005E2E2C">
        <w:t xml:space="preserve">.  </w:t>
      </w:r>
      <w:r w:rsidR="00A60993">
        <w:t xml:space="preserve">Since </w:t>
      </w:r>
      <m:oMath>
        <m:r>
          <w:rPr>
            <w:rFonts w:ascii="Cambria Math" w:eastAsiaTheme="minorEastAsia" w:hAnsi="Cambria Math"/>
          </w:rPr>
          <m:t>H≥B</m:t>
        </m:r>
      </m:oMath>
      <w:r w:rsidR="00A60993">
        <w:rPr>
          <w:rFonts w:eastAsiaTheme="minorEastAsia"/>
        </w:rPr>
        <w:t xml:space="preserve"> and</w:t>
      </w:r>
      <w:r w:rsidR="00A60993">
        <w:t xml:space="preserve"> </w:t>
      </w:r>
      <m:oMath>
        <m:r>
          <w:rPr>
            <w:rFonts w:ascii="Cambria Math" w:hAnsi="Cambria Math"/>
          </w:rPr>
          <m:t>B&gt;R</m:t>
        </m:r>
      </m:oMath>
      <w:r w:rsidR="00A60993">
        <w:rPr>
          <w:rFonts w:eastAsiaTheme="minorEastAsia"/>
        </w:rPr>
        <w:t>, then</w:t>
      </w:r>
      <w:r w:rsidR="006D07AD">
        <w:rPr>
          <w:rFonts w:eastAsiaTheme="minorEastAsia"/>
        </w:rPr>
        <w:t>, by the transitive properties of inequalities,</w:t>
      </w:r>
      <w:r w:rsidR="00A60993">
        <w:rPr>
          <w:rFonts w:eastAsiaTheme="minorEastAsia"/>
        </w:rPr>
        <w:t xml:space="preserve"> </w:t>
      </w:r>
      <m:oMath>
        <m:r>
          <w:rPr>
            <w:rFonts w:ascii="Cambria Math" w:eastAsiaTheme="minorEastAsia" w:hAnsi="Cambria Math"/>
          </w:rPr>
          <m:t>H</m:t>
        </m:r>
        <m:r>
          <w:rPr>
            <w:rFonts w:ascii="Cambria Math" w:hAnsi="Cambria Math"/>
          </w:rPr>
          <m:t>&gt;R</m:t>
        </m:r>
      </m:oMath>
      <w:r w:rsidR="00A60993">
        <w:rPr>
          <w:rFonts w:eastAsiaTheme="minorEastAsia"/>
        </w:rPr>
        <w:t xml:space="preserve">.  If we assume that, in order to maximize their patient population, that Botox set </w:t>
      </w:r>
      <m:oMath>
        <m:r>
          <w:rPr>
            <w:rFonts w:ascii="Cambria Math" w:eastAsiaTheme="minorEastAsia" w:hAnsi="Cambria Math"/>
          </w:rPr>
          <m:t>H</m:t>
        </m:r>
      </m:oMath>
      <w:r w:rsidR="00A60993">
        <w:rPr>
          <w:rFonts w:eastAsiaTheme="minorEastAsia"/>
        </w:rPr>
        <w:t xml:space="preserve"> as low as possible </w:t>
      </w:r>
      <w:r w:rsidR="00A5333B">
        <w:rPr>
          <w:rFonts w:eastAsiaTheme="minorEastAsia"/>
        </w:rPr>
        <w:t xml:space="preserve">while </w:t>
      </w:r>
      <w:r w:rsidR="00A60993">
        <w:rPr>
          <w:rFonts w:eastAsiaTheme="minorEastAsia"/>
        </w:rPr>
        <w:t>still exceed</w:t>
      </w:r>
      <w:r w:rsidR="00A5333B">
        <w:rPr>
          <w:rFonts w:eastAsiaTheme="minorEastAsia"/>
        </w:rPr>
        <w:t>ing</w:t>
      </w:r>
      <w:r w:rsidR="00A60993">
        <w:rPr>
          <w:rFonts w:eastAsiaTheme="minorEastAsia"/>
        </w:rPr>
        <w:t xml:space="preserve"> </w:t>
      </w:r>
      <m:oMath>
        <m:r>
          <w:rPr>
            <w:rFonts w:ascii="Cambria Math" w:eastAsiaTheme="minorEastAsia" w:hAnsi="Cambria Math"/>
          </w:rPr>
          <m:t>R</m:t>
        </m:r>
      </m:oMath>
      <w:r w:rsidR="00A60993">
        <w:rPr>
          <w:rFonts w:eastAsiaTheme="minorEastAsia"/>
        </w:rPr>
        <w:t xml:space="preserve">, </w:t>
      </w:r>
      <w:r w:rsidR="00A5333B">
        <w:rPr>
          <w:rFonts w:eastAsiaTheme="minorEastAsia"/>
        </w:rPr>
        <w:t xml:space="preserve">then </w:t>
      </w:r>
      <m:oMath>
        <m:r>
          <w:rPr>
            <w:rFonts w:ascii="Cambria Math" w:eastAsiaTheme="minorEastAsia" w:hAnsi="Cambria Math"/>
          </w:rPr>
          <m:t>R</m:t>
        </m:r>
      </m:oMath>
      <w:r w:rsidR="00A5333B">
        <w:rPr>
          <w:rFonts w:eastAsiaTheme="minorEastAsia"/>
        </w:rPr>
        <w:t xml:space="preserve"> is only slightly smaller than </w:t>
      </w:r>
      <m:oMath>
        <m:r>
          <w:rPr>
            <w:rFonts w:ascii="Cambria Math" w:eastAsiaTheme="minorEastAsia" w:hAnsi="Cambria Math"/>
          </w:rPr>
          <m:t>H</m:t>
        </m:r>
      </m:oMath>
      <w:r w:rsidR="006E614A">
        <w:t xml:space="preserve">, so that </w:t>
      </w:r>
      <m:oMath>
        <m:r>
          <w:rPr>
            <w:rFonts w:ascii="Cambria Math" w:eastAsiaTheme="minorEastAsia" w:hAnsi="Cambria Math"/>
          </w:rPr>
          <m:t>R</m:t>
        </m:r>
        <m:r>
          <w:rPr>
            <w:rFonts w:ascii="Cambria Math" w:eastAsiaTheme="minorEastAsia" w:hAnsi="Cambria Math" w:cs="Calibri"/>
          </w:rPr>
          <m:t>≈</m:t>
        </m:r>
      </m:oMath>
      <w:r w:rsidR="0037442F">
        <w:rPr>
          <w:rFonts w:eastAsiaTheme="minorEastAsia"/>
        </w:rPr>
        <w:t xml:space="preserve"> </w:t>
      </w:r>
      <w:r w:rsidR="0037442F" w:rsidRPr="00A60993">
        <w:rPr>
          <w:rFonts w:eastAsiaTheme="minorEastAsia"/>
        </w:rPr>
        <w:t>"15 headache days per month,</w:t>
      </w:r>
      <w:r w:rsidR="0037442F">
        <w:rPr>
          <w:rFonts w:eastAsiaTheme="minorEastAsia"/>
        </w:rPr>
        <w:t xml:space="preserve"> </w:t>
      </w:r>
      <w:r w:rsidR="0037442F" w:rsidRPr="00A60993">
        <w:rPr>
          <w:rFonts w:eastAsiaTheme="minorEastAsia"/>
        </w:rPr>
        <w:t>where each headache lasts 4 hours a day"</w:t>
      </w:r>
      <w:r w:rsidR="00C50035">
        <w:rPr>
          <w:rFonts w:eastAsiaTheme="minorEastAsia"/>
        </w:rPr>
        <w:t xml:space="preserve">.  This enables us to </w:t>
      </w:r>
      <w:r w:rsidR="005E2E2C">
        <w:t>infer</w:t>
      </w:r>
      <w:r w:rsidR="006D07AD">
        <w:t>,</w:t>
      </w:r>
      <w:r w:rsidR="005E2E2C">
        <w:t xml:space="preserve"> </w:t>
      </w:r>
      <w:r w:rsidR="00A03AE4">
        <w:t xml:space="preserve">from the </w:t>
      </w:r>
      <w:r w:rsidR="006D07AD">
        <w:t xml:space="preserve">symptoms necessary for a patient to meet the </w:t>
      </w:r>
      <w:r w:rsidR="00A03AE4">
        <w:t>intended use</w:t>
      </w:r>
      <w:r w:rsidR="006D07AD">
        <w:t>,</w:t>
      </w:r>
      <w:r w:rsidR="00A03AE4">
        <w:t xml:space="preserve"> </w:t>
      </w:r>
      <w:r w:rsidR="005E2E2C">
        <w:t xml:space="preserve">that </w:t>
      </w:r>
      <w:r w:rsidR="00ED07E6">
        <w:t xml:space="preserve">the </w:t>
      </w:r>
      <w:r w:rsidR="00156804">
        <w:t xml:space="preserve">medical </w:t>
      </w:r>
      <w:r w:rsidR="00ED07E6">
        <w:t xml:space="preserve">treatment of migraines with Botox </w:t>
      </w:r>
      <w:r w:rsidR="00BE7A08">
        <w:t>can be expected to cause</w:t>
      </w:r>
      <w:r w:rsidR="005E2E2C">
        <w:t xml:space="preserve"> significant, harmful side-effects. </w:t>
      </w:r>
      <w:r w:rsidR="007B41B1">
        <w:t xml:space="preserve"> </w:t>
      </w:r>
    </w:p>
    <w:p w14:paraId="4474E4F8" w14:textId="77777777" w:rsidR="007B41B1" w:rsidRDefault="007B41B1" w:rsidP="007B41B1">
      <w:r>
        <w:t>By extension, as the patient’s health condition becomes more dire (i.e., as the amount of potential benefit increases), the amount of risk that we can tolerate in procedures that treat the patient’s health condition also increases.  In the limit, patients with extreme health conditions (including terminally ill patients) may legally and ethically be given experimental medical treatments with unproven risks and benefits</w:t>
      </w:r>
      <w:r>
        <w:rPr>
          <w:rStyle w:val="FootnoteReference"/>
        </w:rPr>
        <w:footnoteReference w:id="20"/>
      </w:r>
      <w:r>
        <w:t xml:space="preserve">, typically through either controlled trials or compassionate use programs.  </w:t>
      </w:r>
    </w:p>
    <w:p w14:paraId="1A00DA77" w14:textId="77777777" w:rsidR="002F1C87" w:rsidRPr="00F60A9B" w:rsidRDefault="002F1C87" w:rsidP="00AA2310">
      <w:pPr>
        <w:spacing w:after="0" w:line="240" w:lineRule="auto"/>
      </w:pPr>
    </w:p>
    <w:p w14:paraId="6C802CAD" w14:textId="753EAE76" w:rsidR="00E13ACB" w:rsidRPr="00F60A9B" w:rsidRDefault="0007121B" w:rsidP="00BF3E5E">
      <w:r w:rsidRPr="00F60A9B">
        <w:t xml:space="preserve">Over the course of the next </w:t>
      </w:r>
      <w:r w:rsidR="00590CF3" w:rsidRPr="00F60A9B">
        <w:t xml:space="preserve">four </w:t>
      </w:r>
      <w:r w:rsidRPr="00F60A9B">
        <w:t xml:space="preserve">sections, </w:t>
      </w:r>
      <w:r w:rsidR="008A6A72" w:rsidRPr="00F60A9B">
        <w:t xml:space="preserve">we will </w:t>
      </w:r>
      <w:r w:rsidR="008901D1" w:rsidRPr="00F60A9B">
        <w:t xml:space="preserve">leverage </w:t>
      </w:r>
      <w:r w:rsidR="007B42C3">
        <w:t xml:space="preserve">this section’s </w:t>
      </w:r>
      <w:r w:rsidR="008A6A72" w:rsidRPr="00F60A9B">
        <w:t xml:space="preserve">look at </w:t>
      </w:r>
      <w:r w:rsidR="007B42C3">
        <w:t>‘</w:t>
      </w:r>
      <w:r w:rsidR="008A6A72" w:rsidRPr="00F60A9B">
        <w:t>benefit</w:t>
      </w:r>
      <w:r w:rsidR="007B42C3">
        <w:t>’</w:t>
      </w:r>
      <w:r w:rsidR="000F2A1D">
        <w:t xml:space="preserve"> </w:t>
      </w:r>
      <w:r w:rsidR="008A6A72" w:rsidRPr="00F60A9B">
        <w:t xml:space="preserve">to </w:t>
      </w:r>
      <w:r w:rsidR="002F1C87" w:rsidRPr="00F60A9B">
        <w:t xml:space="preserve">develop a </w:t>
      </w:r>
      <w:r w:rsidRPr="00F60A9B">
        <w:t xml:space="preserve">more objective </w:t>
      </w:r>
      <w:r w:rsidR="002F1C87" w:rsidRPr="00F60A9B">
        <w:t xml:space="preserve">method </w:t>
      </w:r>
      <w:r w:rsidRPr="00F60A9B">
        <w:t xml:space="preserve">of </w:t>
      </w:r>
      <w:r w:rsidR="002F1C87" w:rsidRPr="00F60A9B">
        <w:t>determining whether benefit exceeds risk.</w:t>
      </w:r>
      <w:r w:rsidR="00A61CB1" w:rsidRPr="00F60A9B">
        <w:t xml:space="preserve"> </w:t>
      </w:r>
      <w:r w:rsidR="002F1C87" w:rsidRPr="00F60A9B">
        <w:t xml:space="preserve"> </w:t>
      </w:r>
    </w:p>
    <w:p w14:paraId="39FBA723" w14:textId="00B7C920" w:rsidR="002F1C87" w:rsidRPr="00F60A9B" w:rsidRDefault="002F1C87" w:rsidP="00AA2310">
      <w:pPr>
        <w:spacing w:after="0" w:line="240" w:lineRule="auto"/>
      </w:pPr>
    </w:p>
    <w:p w14:paraId="47749E2E" w14:textId="2E98316B" w:rsidR="00457226" w:rsidRPr="00422D28" w:rsidRDefault="0054342E" w:rsidP="008A21B4">
      <w:pPr>
        <w:pStyle w:val="Heading2"/>
        <w:rPr>
          <w:b/>
          <w:bCs/>
          <w:u w:val="single"/>
        </w:rPr>
      </w:pPr>
      <w:bookmarkStart w:id="18" w:name="_Toc156728641"/>
      <w:r w:rsidRPr="00422D28">
        <w:rPr>
          <w:b/>
          <w:bCs/>
          <w:u w:val="single"/>
        </w:rPr>
        <w:t>Moving to a Future State –</w:t>
      </w:r>
      <w:r w:rsidR="00CD4B28" w:rsidRPr="00422D28">
        <w:rPr>
          <w:b/>
          <w:bCs/>
          <w:u w:val="single"/>
        </w:rPr>
        <w:t xml:space="preserve"> </w:t>
      </w:r>
      <w:r w:rsidR="002F1C87" w:rsidRPr="00422D28">
        <w:rPr>
          <w:b/>
          <w:bCs/>
          <w:u w:val="single"/>
        </w:rPr>
        <w:t xml:space="preserve">Describing </w:t>
      </w:r>
      <w:r w:rsidRPr="00422D28">
        <w:rPr>
          <w:b/>
          <w:bCs/>
          <w:u w:val="single"/>
        </w:rPr>
        <w:t>‘Benefit’</w:t>
      </w:r>
      <w:r w:rsidR="002F1C87" w:rsidRPr="00422D28">
        <w:rPr>
          <w:b/>
          <w:bCs/>
          <w:u w:val="single"/>
        </w:rPr>
        <w:t xml:space="preserve"> with ‘Risk’</w:t>
      </w:r>
      <w:bookmarkEnd w:id="18"/>
      <w:r w:rsidR="00082E8D">
        <w:rPr>
          <w:b/>
          <w:bCs/>
          <w:u w:val="single"/>
        </w:rPr>
        <w:t xml:space="preserve">  </w:t>
      </w:r>
    </w:p>
    <w:p w14:paraId="7822847F" w14:textId="44ABC5C9" w:rsidR="00A61CB1" w:rsidRPr="00F60A9B" w:rsidRDefault="00A61CB1" w:rsidP="00A61CB1">
      <w:pPr>
        <w:rPr>
          <w:rFonts w:eastAsiaTheme="minorEastAsia"/>
        </w:rPr>
      </w:pPr>
      <w:r w:rsidRPr="00F60A9B">
        <w:rPr>
          <w:rFonts w:eastAsiaTheme="minorEastAsia"/>
        </w:rPr>
        <w:t xml:space="preserve">Since </w:t>
      </w:r>
      <m:oMath>
        <m:r>
          <w:rPr>
            <w:rFonts w:ascii="Cambria Math" w:eastAsiaTheme="minorEastAsia" w:hAnsi="Cambria Math"/>
          </w:rPr>
          <m:t>H</m:t>
        </m:r>
      </m:oMath>
      <w:r w:rsidRPr="00F60A9B">
        <w:rPr>
          <w:rFonts w:eastAsiaTheme="minorEastAsia"/>
        </w:rPr>
        <w:t xml:space="preserve"> is the </w:t>
      </w:r>
      <w:r w:rsidR="00DC26CB" w:rsidRPr="00F60A9B">
        <w:rPr>
          <w:rFonts w:eastAsiaTheme="minorEastAsia"/>
        </w:rPr>
        <w:t>likely</w:t>
      </w:r>
      <w:r w:rsidR="00392B7C">
        <w:rPr>
          <w:rFonts w:eastAsiaTheme="minorEastAsia"/>
        </w:rPr>
        <w:t xml:space="preserve"> amount of</w:t>
      </w:r>
      <w:r w:rsidR="00DC26CB" w:rsidRPr="00F60A9B">
        <w:rPr>
          <w:rFonts w:eastAsiaTheme="minorEastAsia"/>
        </w:rPr>
        <w:t xml:space="preserve"> </w:t>
      </w:r>
      <w:r w:rsidRPr="00F60A9B">
        <w:rPr>
          <w:rFonts w:eastAsiaTheme="minorEastAsia"/>
        </w:rPr>
        <w:t xml:space="preserve">harm </w:t>
      </w:r>
      <w:r w:rsidR="009440DF">
        <w:rPr>
          <w:rFonts w:eastAsiaTheme="minorEastAsia"/>
        </w:rPr>
        <w:t>from</w:t>
      </w:r>
      <w:r w:rsidRPr="00F60A9B">
        <w:rPr>
          <w:rFonts w:eastAsiaTheme="minorEastAsia"/>
        </w:rPr>
        <w:t xml:space="preserve"> </w:t>
      </w:r>
      <w:r w:rsidR="00241B0F">
        <w:rPr>
          <w:rFonts w:eastAsiaTheme="minorEastAsia"/>
        </w:rPr>
        <w:t>a specific</w:t>
      </w:r>
      <w:r w:rsidRPr="00F60A9B">
        <w:rPr>
          <w:rFonts w:eastAsiaTheme="minorEastAsia"/>
        </w:rPr>
        <w:t xml:space="preserve"> health condition, then</w:t>
      </w:r>
      <w:r w:rsidR="007D0DE1">
        <w:rPr>
          <w:rFonts w:eastAsiaTheme="minorEastAsia"/>
        </w:rPr>
        <w:t xml:space="preserve">, using the definition of </w:t>
      </w:r>
      <m:oMath>
        <m:r>
          <w:rPr>
            <w:rFonts w:ascii="Cambria Math" w:eastAsiaTheme="minorEastAsia" w:hAnsi="Cambria Math"/>
          </w:rPr>
          <m:t>B</m:t>
        </m:r>
      </m:oMath>
      <w:r w:rsidR="007D0DE1">
        <w:rPr>
          <w:rFonts w:eastAsiaTheme="minorEastAsia"/>
        </w:rPr>
        <w:t xml:space="preserve"> from before </w:t>
      </w:r>
      <w:r w:rsidR="007D0DE1">
        <w:rPr>
          <w:rFonts w:eastAsiaTheme="minorEastAsia"/>
        </w:rPr>
        <w:fldChar w:fldCharType="begin"/>
      </w:r>
      <w:r w:rsidR="007D0DE1">
        <w:rPr>
          <w:rFonts w:eastAsiaTheme="minorEastAsia"/>
        </w:rPr>
        <w:instrText xml:space="preserve"> REF _Ref132953418 \h </w:instrText>
      </w:r>
      <w:r w:rsidR="007D0DE1">
        <w:rPr>
          <w:rFonts w:eastAsiaTheme="minorEastAsia"/>
        </w:rPr>
      </w:r>
      <w:r w:rsidR="007D0DE1">
        <w:rPr>
          <w:rFonts w:eastAsiaTheme="minorEastAsia"/>
        </w:rPr>
        <w:fldChar w:fldCharType="separate"/>
      </w:r>
      <w:r w:rsidR="001E41EA" w:rsidRPr="00F60A9B">
        <w:t xml:space="preserve">Equation </w:t>
      </w:r>
      <w:r w:rsidR="001E41EA">
        <w:rPr>
          <w:noProof/>
        </w:rPr>
        <w:t>1</w:t>
      </w:r>
      <w:r w:rsidR="007D0DE1">
        <w:rPr>
          <w:rFonts w:eastAsiaTheme="minorEastAsia"/>
        </w:rPr>
        <w:fldChar w:fldCharType="end"/>
      </w:r>
      <w:r w:rsidR="007D0DE1">
        <w:rPr>
          <w:rFonts w:eastAsiaTheme="minorEastAsia"/>
        </w:rPr>
        <w:t>, we can see that</w:t>
      </w:r>
      <w:r w:rsidRPr="00F60A9B">
        <w:rPr>
          <w:rFonts w:eastAsiaTheme="minorEastAsia"/>
        </w:rPr>
        <w:t xml:space="preserve"> </w:t>
      </w:r>
      <m:oMath>
        <m:r>
          <w:rPr>
            <w:rFonts w:ascii="Cambria Math" w:eastAsiaTheme="minorEastAsia" w:hAnsi="Cambria Math"/>
          </w:rPr>
          <m:t>H-B</m:t>
        </m:r>
      </m:oMath>
      <w:r w:rsidRPr="00F60A9B">
        <w:rPr>
          <w:rFonts w:eastAsiaTheme="minorEastAsia"/>
        </w:rPr>
        <w:t xml:space="preserve"> is the </w:t>
      </w:r>
      <w:r w:rsidR="00DC26CB" w:rsidRPr="00F60A9B">
        <w:rPr>
          <w:rFonts w:eastAsiaTheme="minorEastAsia"/>
        </w:rPr>
        <w:t xml:space="preserve">likely </w:t>
      </w:r>
      <w:r w:rsidR="00392B7C">
        <w:rPr>
          <w:rFonts w:eastAsiaTheme="minorEastAsia"/>
        </w:rPr>
        <w:t xml:space="preserve">amount of </w:t>
      </w:r>
      <w:r w:rsidRPr="00F60A9B">
        <w:rPr>
          <w:rFonts w:eastAsiaTheme="minorEastAsia"/>
        </w:rPr>
        <w:t xml:space="preserve">harm </w:t>
      </w:r>
      <w:r w:rsidR="007D0DE1">
        <w:rPr>
          <w:rFonts w:eastAsiaTheme="minorEastAsia"/>
        </w:rPr>
        <w:t xml:space="preserve">from the health condition </w:t>
      </w:r>
      <w:r w:rsidRPr="00F60A9B">
        <w:rPr>
          <w:rFonts w:eastAsiaTheme="minorEastAsia"/>
        </w:rPr>
        <w:t xml:space="preserve">that remains </w:t>
      </w:r>
      <w:r w:rsidRPr="00F60A9B">
        <w:rPr>
          <w:rFonts w:eastAsiaTheme="minorEastAsia"/>
          <w:i/>
          <w:iCs/>
        </w:rPr>
        <w:t>after</w:t>
      </w:r>
      <w:r w:rsidRPr="00F60A9B">
        <w:rPr>
          <w:rFonts w:eastAsiaTheme="minorEastAsia"/>
        </w:rPr>
        <w:t xml:space="preserve"> the medical treatment; i.e., the benefit </w:t>
      </w:r>
      <w:r w:rsidR="00DB5694">
        <w:rPr>
          <w:rFonts w:eastAsiaTheme="minorEastAsia"/>
        </w:rPr>
        <w:t>from</w:t>
      </w:r>
      <w:r w:rsidRPr="00F60A9B">
        <w:rPr>
          <w:rFonts w:eastAsiaTheme="minorEastAsia"/>
        </w:rPr>
        <w:t xml:space="preserve"> a medical treatment is the same as the reduction in </w:t>
      </w:r>
      <w:r w:rsidR="003A3C96">
        <w:rPr>
          <w:rFonts w:eastAsiaTheme="minorEastAsia"/>
        </w:rPr>
        <w:t>the patient’s health condition</w:t>
      </w:r>
      <w:r w:rsidRPr="00F60A9B">
        <w:rPr>
          <w:rFonts w:eastAsiaTheme="minorEastAsia"/>
        </w:rPr>
        <w:t xml:space="preserve"> from </w:t>
      </w:r>
      <w:r w:rsidR="00DB5694">
        <w:rPr>
          <w:rFonts w:eastAsiaTheme="minorEastAsia"/>
        </w:rPr>
        <w:t>a</w:t>
      </w:r>
      <w:r w:rsidRPr="00F60A9B">
        <w:rPr>
          <w:rFonts w:eastAsiaTheme="minorEastAsia"/>
        </w:rPr>
        <w:t xml:space="preserve"> medical </w:t>
      </w:r>
      <w:r w:rsidR="003A3C96">
        <w:rPr>
          <w:rFonts w:eastAsiaTheme="minorEastAsia"/>
        </w:rPr>
        <w:t>treatment</w:t>
      </w:r>
      <w:r w:rsidRPr="00F60A9B">
        <w:rPr>
          <w:rFonts w:eastAsiaTheme="minorEastAsia"/>
        </w:rPr>
        <w:t xml:space="preserve">.  </w:t>
      </w:r>
    </w:p>
    <w:p w14:paraId="5F41EB41" w14:textId="50D4C87F" w:rsidR="00A61CB1" w:rsidRPr="00F60A9B" w:rsidRDefault="00A61CB1" w:rsidP="008D626E">
      <w:pPr>
        <w:rPr>
          <w:rFonts w:eastAsiaTheme="minorEastAsia"/>
        </w:rPr>
      </w:pPr>
      <w:r w:rsidRPr="00F60A9B">
        <w:rPr>
          <w:rFonts w:eastAsiaTheme="minorEastAsia"/>
        </w:rPr>
        <w:t xml:space="preserve">By itself, the last sentence </w:t>
      </w:r>
      <w:r w:rsidR="00866318" w:rsidRPr="00F60A9B">
        <w:rPr>
          <w:rFonts w:eastAsiaTheme="minorEastAsia"/>
        </w:rPr>
        <w:t xml:space="preserve">just </w:t>
      </w:r>
      <w:r w:rsidR="00681AEB" w:rsidRPr="00F60A9B">
        <w:rPr>
          <w:rFonts w:eastAsiaTheme="minorEastAsia"/>
        </w:rPr>
        <w:t>says the same thing twice, but with different words</w:t>
      </w:r>
      <w:r w:rsidRPr="00F60A9B">
        <w:rPr>
          <w:rFonts w:eastAsiaTheme="minorEastAsia"/>
        </w:rPr>
        <w:t>.  However, when we juxtapose a paraphrased definition of risk from ISO 14971</w:t>
      </w:r>
      <w:bookmarkStart w:id="19" w:name="_Ref149365441"/>
      <w:r w:rsidR="001028CB">
        <w:rPr>
          <w:rStyle w:val="FootnoteReference"/>
          <w:rFonts w:eastAsiaTheme="minorEastAsia"/>
        </w:rPr>
        <w:footnoteReference w:id="21"/>
      </w:r>
      <w:bookmarkEnd w:id="19"/>
      <w:r w:rsidRPr="00F60A9B">
        <w:rPr>
          <w:rFonts w:eastAsiaTheme="minorEastAsia"/>
        </w:rPr>
        <w:t xml:space="preserve"> </w:t>
      </w:r>
      <w:r w:rsidR="00866318" w:rsidRPr="00F60A9B">
        <w:rPr>
          <w:rFonts w:eastAsiaTheme="minorEastAsia"/>
        </w:rPr>
        <w:t xml:space="preserve">with </w:t>
      </w:r>
      <w:r w:rsidRPr="00F60A9B">
        <w:rPr>
          <w:rFonts w:eastAsiaTheme="minorEastAsia"/>
        </w:rPr>
        <w:t xml:space="preserve">definition of </w:t>
      </w:r>
      <m:oMath>
        <m:r>
          <w:rPr>
            <w:rFonts w:ascii="Cambria Math" w:eastAsiaTheme="minorEastAsia" w:hAnsi="Cambria Math"/>
          </w:rPr>
          <m:t>H</m:t>
        </m:r>
      </m:oMath>
      <w:r w:rsidRPr="00F60A9B">
        <w:rPr>
          <w:rFonts w:eastAsiaTheme="minorEastAsia"/>
        </w:rPr>
        <w:t xml:space="preserve"> from this document, we get: </w:t>
      </w:r>
    </w:p>
    <w:p w14:paraId="7EEB04D6" w14:textId="6CC317CF" w:rsidR="00A61CB1" w:rsidRPr="00F60A9B" w:rsidRDefault="00A61CB1">
      <w:pPr>
        <w:pStyle w:val="ListParagraph"/>
        <w:numPr>
          <w:ilvl w:val="0"/>
          <w:numId w:val="3"/>
        </w:numPr>
        <w:contextualSpacing w:val="0"/>
        <w:rPr>
          <w:rFonts w:eastAsiaTheme="minorEastAsia"/>
        </w:rPr>
      </w:pPr>
      <w:r w:rsidRPr="00F60A9B">
        <w:rPr>
          <w:rFonts w:eastAsiaTheme="minorEastAsia"/>
        </w:rPr>
        <w:t>‘risk’</w:t>
      </w:r>
      <w:r w:rsidRPr="00F60A9B">
        <w:rPr>
          <w:rStyle w:val="FootnoteReference"/>
          <w:rFonts w:eastAsiaTheme="minorEastAsia"/>
        </w:rPr>
        <w:footnoteReference w:id="22"/>
      </w:r>
      <w:r w:rsidRPr="00F60A9B">
        <w:rPr>
          <w:rFonts w:eastAsiaTheme="minorEastAsia"/>
        </w:rPr>
        <w:t xml:space="preserve"> is </w:t>
      </w:r>
      <w:r w:rsidRPr="00F60A9B">
        <w:t>a ‘combination of the probability of occurrence and severity of a specific harm</w:t>
      </w:r>
      <w:r w:rsidRPr="00F60A9B">
        <w:rPr>
          <w:rFonts w:eastAsiaTheme="minorEastAsia"/>
        </w:rPr>
        <w:t xml:space="preserve">’, and </w:t>
      </w:r>
    </w:p>
    <w:p w14:paraId="192578FC" w14:textId="7D3889C9" w:rsidR="00A61CB1" w:rsidRPr="00F60A9B" w:rsidRDefault="00A61CB1">
      <w:pPr>
        <w:pStyle w:val="ListParagraph"/>
        <w:numPr>
          <w:ilvl w:val="0"/>
          <w:numId w:val="3"/>
        </w:numPr>
        <w:contextualSpacing w:val="0"/>
        <w:rPr>
          <w:rFonts w:eastAsiaTheme="minorEastAsia"/>
        </w:rPr>
      </w:pPr>
      <m:oMath>
        <m:r>
          <w:rPr>
            <w:rFonts w:ascii="Cambria Math" w:eastAsiaTheme="minorEastAsia" w:hAnsi="Cambria Math"/>
          </w:rPr>
          <m:t>H</m:t>
        </m:r>
      </m:oMath>
      <w:r w:rsidRPr="00F60A9B">
        <w:rPr>
          <w:rFonts w:eastAsiaTheme="minorEastAsia"/>
        </w:rPr>
        <w:t xml:space="preserve"> is the</w:t>
      </w:r>
      <w:r w:rsidR="005F176C" w:rsidRPr="00F60A9B">
        <w:rPr>
          <w:rFonts w:eastAsiaTheme="minorEastAsia"/>
        </w:rPr>
        <w:t xml:space="preserve"> likely </w:t>
      </w:r>
      <w:r w:rsidR="00392B7C">
        <w:rPr>
          <w:rFonts w:eastAsiaTheme="minorEastAsia"/>
        </w:rPr>
        <w:t xml:space="preserve">amount of </w:t>
      </w:r>
      <w:r w:rsidRPr="00F60A9B">
        <w:rPr>
          <w:rFonts w:eastAsiaTheme="minorEastAsia"/>
        </w:rPr>
        <w:t>harm from a specific health condition.</w:t>
      </w:r>
      <w:r w:rsidR="00D8206A" w:rsidRPr="00F60A9B">
        <w:rPr>
          <w:rFonts w:eastAsiaTheme="minorEastAsia"/>
        </w:rPr>
        <w:t xml:space="preserve"> </w:t>
      </w:r>
      <w:r w:rsidRPr="00F60A9B">
        <w:rPr>
          <w:rFonts w:eastAsiaTheme="minorEastAsia"/>
        </w:rPr>
        <w:t xml:space="preserve"> </w:t>
      </w:r>
    </w:p>
    <w:p w14:paraId="3ECC4727" w14:textId="1CFD0B74" w:rsidR="00D8206A" w:rsidRPr="00F60A9B" w:rsidRDefault="00A61CB1" w:rsidP="008D626E">
      <w:pPr>
        <w:rPr>
          <w:rFonts w:eastAsiaTheme="minorEastAsia"/>
        </w:rPr>
      </w:pPr>
      <w:r w:rsidRPr="00F60A9B">
        <w:rPr>
          <w:rFonts w:eastAsiaTheme="minorEastAsia"/>
        </w:rPr>
        <w:t xml:space="preserve">Comparing these two statements, we can see that </w:t>
      </w:r>
      <m:oMath>
        <m:r>
          <w:rPr>
            <w:rFonts w:ascii="Cambria Math" w:eastAsiaTheme="minorEastAsia" w:hAnsi="Cambria Math"/>
          </w:rPr>
          <m:t>H</m:t>
        </m:r>
      </m:oMath>
      <w:r w:rsidRPr="00F60A9B">
        <w:rPr>
          <w:rFonts w:eastAsiaTheme="minorEastAsia"/>
        </w:rPr>
        <w:t xml:space="preserve"> is an estimate of the likely </w:t>
      </w:r>
      <w:r w:rsidR="00392B7C">
        <w:rPr>
          <w:rFonts w:eastAsiaTheme="minorEastAsia"/>
        </w:rPr>
        <w:t xml:space="preserve">amount of </w:t>
      </w:r>
      <w:r w:rsidRPr="00F60A9B">
        <w:rPr>
          <w:rFonts w:eastAsiaTheme="minorEastAsia"/>
        </w:rPr>
        <w:t xml:space="preserve">harm from a specific health condition, and ‘risk’ is a probabilistic (aka ‘likely’) estimate of the severity (aka ‘amount’) of harm from a specific </w:t>
      </w:r>
      <w:r w:rsidR="006E2D52">
        <w:rPr>
          <w:rFonts w:eastAsiaTheme="minorEastAsia"/>
        </w:rPr>
        <w:t>harm (aka ‘</w:t>
      </w:r>
      <w:r w:rsidRPr="00F60A9B">
        <w:rPr>
          <w:rFonts w:eastAsiaTheme="minorEastAsia"/>
        </w:rPr>
        <w:t>health condition</w:t>
      </w:r>
      <w:r w:rsidR="006E2D52">
        <w:rPr>
          <w:rFonts w:eastAsiaTheme="minorEastAsia"/>
        </w:rPr>
        <w:t>’)</w:t>
      </w:r>
      <w:r w:rsidRPr="00F60A9B">
        <w:rPr>
          <w:rFonts w:eastAsiaTheme="minorEastAsia"/>
        </w:rPr>
        <w:t xml:space="preserve">.  This comparison enables us to </w:t>
      </w:r>
      <w:r w:rsidR="00D8206A" w:rsidRPr="00F60A9B">
        <w:rPr>
          <w:rFonts w:eastAsiaTheme="minorEastAsia"/>
        </w:rPr>
        <w:t xml:space="preserve">state that </w:t>
      </w:r>
      <m:oMath>
        <m:r>
          <w:rPr>
            <w:rFonts w:ascii="Cambria Math" w:eastAsiaTheme="minorEastAsia" w:hAnsi="Cambria Math"/>
          </w:rPr>
          <m:t>H</m:t>
        </m:r>
      </m:oMath>
      <w:r w:rsidR="00D8206A" w:rsidRPr="00F60A9B">
        <w:rPr>
          <w:rFonts w:eastAsiaTheme="minorEastAsia"/>
        </w:rPr>
        <w:t xml:space="preserve"> is the risk to someone’s health from their health condition.  </w:t>
      </w:r>
    </w:p>
    <w:p w14:paraId="4D9F1D1C" w14:textId="5F7D207F" w:rsidR="00A61CB1" w:rsidRPr="00F60A9B" w:rsidRDefault="00D8206A" w:rsidP="00A61CB1">
      <w:r w:rsidRPr="00F60A9B">
        <w:rPr>
          <w:rFonts w:eastAsiaTheme="minorEastAsia"/>
        </w:rPr>
        <w:lastRenderedPageBreak/>
        <w:t xml:space="preserve">The significance of showing </w:t>
      </w:r>
      <w:r w:rsidR="00244594" w:rsidRPr="00F60A9B">
        <w:rPr>
          <w:rFonts w:eastAsiaTheme="minorEastAsia"/>
        </w:rPr>
        <w:t xml:space="preserve">that </w:t>
      </w:r>
      <m:oMath>
        <m:r>
          <w:rPr>
            <w:rFonts w:ascii="Cambria Math" w:eastAsiaTheme="minorEastAsia" w:hAnsi="Cambria Math"/>
          </w:rPr>
          <m:t>H</m:t>
        </m:r>
      </m:oMath>
      <w:r w:rsidR="00244594" w:rsidRPr="00F60A9B">
        <w:rPr>
          <w:rFonts w:eastAsiaTheme="minorEastAsia"/>
        </w:rPr>
        <w:t xml:space="preserve"> is </w:t>
      </w:r>
      <w:r w:rsidR="003F0D39" w:rsidRPr="00F60A9B">
        <w:rPr>
          <w:rFonts w:eastAsiaTheme="minorEastAsia"/>
        </w:rPr>
        <w:t xml:space="preserve">a </w:t>
      </w:r>
      <w:r w:rsidRPr="00F60A9B">
        <w:rPr>
          <w:rFonts w:eastAsiaTheme="minorEastAsia"/>
        </w:rPr>
        <w:t xml:space="preserve">‘risk’ </w:t>
      </w:r>
      <w:r w:rsidR="003F0D39" w:rsidRPr="00F60A9B">
        <w:rPr>
          <w:rFonts w:eastAsiaTheme="minorEastAsia"/>
        </w:rPr>
        <w:t xml:space="preserve">to someone’s health </w:t>
      </w:r>
      <w:r w:rsidRPr="00F60A9B">
        <w:rPr>
          <w:rFonts w:eastAsiaTheme="minorEastAsia"/>
        </w:rPr>
        <w:t xml:space="preserve">is that this realization enables us to use </w:t>
      </w:r>
      <w:r w:rsidR="00A61CB1" w:rsidRPr="00F60A9B">
        <w:t xml:space="preserve">the well-established tools </w:t>
      </w:r>
      <w:r w:rsidR="00A8416D">
        <w:t xml:space="preserve">that were </w:t>
      </w:r>
      <w:r w:rsidR="00A61CB1" w:rsidRPr="00F60A9B">
        <w:t>developed for estimating the size and likelihood of risk</w:t>
      </w:r>
      <w:r w:rsidR="003F0D39" w:rsidRPr="00F60A9B">
        <w:t xml:space="preserve"> from a medical device</w:t>
      </w:r>
      <w:r w:rsidR="00A61CB1" w:rsidRPr="00F60A9B">
        <w:t xml:space="preserve"> in the novel application of estimating the size and likelihood of </w:t>
      </w:r>
      <w:r w:rsidR="009E1A79">
        <w:t>benefit</w:t>
      </w:r>
      <w:r w:rsidR="003F0D39" w:rsidRPr="00F60A9B">
        <w:t xml:space="preserve"> from a health condition</w:t>
      </w:r>
      <w:r w:rsidR="00A61CB1" w:rsidRPr="00F60A9B">
        <w:t xml:space="preserve">.  </w:t>
      </w:r>
      <w:r w:rsidR="003F0D39" w:rsidRPr="00F60A9B">
        <w:t>Similar</w:t>
      </w:r>
      <w:r w:rsidR="009E1A79">
        <w:t xml:space="preserve"> to </w:t>
      </w:r>
      <m:oMath>
        <m:r>
          <w:rPr>
            <w:rFonts w:ascii="Cambria Math" w:eastAsiaTheme="minorEastAsia" w:hAnsi="Cambria Math"/>
          </w:rPr>
          <m:t>H</m:t>
        </m:r>
      </m:oMath>
      <w:r w:rsidR="009E1A79" w:rsidRPr="00F60A9B">
        <w:rPr>
          <w:rFonts w:eastAsiaTheme="minorEastAsia"/>
        </w:rPr>
        <w:t xml:space="preserve"> </w:t>
      </w:r>
      <w:r w:rsidR="009E1A79">
        <w:rPr>
          <w:rFonts w:eastAsiaTheme="minorEastAsia"/>
        </w:rPr>
        <w:t xml:space="preserve">being the risk </w:t>
      </w:r>
      <w:r w:rsidR="009E1A79" w:rsidRPr="00F60A9B">
        <w:rPr>
          <w:rFonts w:eastAsiaTheme="minorEastAsia"/>
        </w:rPr>
        <w:t>from a specific health condition</w:t>
      </w:r>
      <w:r w:rsidR="003F0D39" w:rsidRPr="00F60A9B">
        <w:t xml:space="preserve">, </w:t>
      </w:r>
      <m:oMath>
        <m:r>
          <w:rPr>
            <w:rFonts w:ascii="Cambria Math" w:eastAsiaTheme="minorEastAsia" w:hAnsi="Cambria Math"/>
          </w:rPr>
          <m:t>H-B</m:t>
        </m:r>
      </m:oMath>
      <w:r w:rsidR="003F0D39" w:rsidRPr="00F60A9B">
        <w:rPr>
          <w:rFonts w:eastAsiaTheme="minorEastAsia"/>
        </w:rPr>
        <w:t xml:space="preserve"> is the risk that remains </w:t>
      </w:r>
      <w:r w:rsidR="00681AEB" w:rsidRPr="00F60A9B">
        <w:rPr>
          <w:rFonts w:eastAsiaTheme="minorEastAsia"/>
        </w:rPr>
        <w:t xml:space="preserve">from a health condition </w:t>
      </w:r>
      <w:r w:rsidR="003F0D39" w:rsidRPr="00F60A9B">
        <w:rPr>
          <w:rFonts w:eastAsiaTheme="minorEastAsia"/>
          <w:i/>
          <w:iCs/>
        </w:rPr>
        <w:t>after</w:t>
      </w:r>
      <w:r w:rsidR="003F0D39" w:rsidRPr="00F60A9B">
        <w:rPr>
          <w:rFonts w:eastAsiaTheme="minorEastAsia"/>
        </w:rPr>
        <w:t xml:space="preserve"> the medical treatment</w:t>
      </w:r>
      <w:r w:rsidR="009E1A79">
        <w:rPr>
          <w:rFonts w:eastAsiaTheme="minorEastAsia"/>
        </w:rPr>
        <w:t xml:space="preserve"> is completed</w:t>
      </w:r>
      <w:r w:rsidR="00681AEB" w:rsidRPr="00F60A9B">
        <w:rPr>
          <w:rFonts w:eastAsiaTheme="minorEastAsia"/>
        </w:rPr>
        <w:t xml:space="preserve">.  </w:t>
      </w:r>
    </w:p>
    <w:p w14:paraId="2828BC4D" w14:textId="7CA9FA3E" w:rsidR="00FA4480" w:rsidRPr="00F60A9B" w:rsidRDefault="002E0206" w:rsidP="00FA4480">
      <w:r w:rsidRPr="00F60A9B">
        <w:t xml:space="preserve">We </w:t>
      </w:r>
      <w:proofErr w:type="spellStart"/>
      <w:r w:rsidRPr="00F60A9B">
        <w:t>can not</w:t>
      </w:r>
      <w:proofErr w:type="spellEnd"/>
      <w:r w:rsidRPr="00F60A9B">
        <w:t xml:space="preserve"> directly observe the benefit of a medical treatment</w:t>
      </w:r>
      <w:r w:rsidR="009E1A79">
        <w:t xml:space="preserve">.  What we </w:t>
      </w:r>
      <w:r w:rsidR="009E1A79" w:rsidRPr="003E2D48">
        <w:rPr>
          <w:i/>
          <w:iCs/>
        </w:rPr>
        <w:t>can</w:t>
      </w:r>
      <w:r w:rsidR="009E1A79">
        <w:t xml:space="preserve"> observe </w:t>
      </w:r>
      <w:r w:rsidR="00010838">
        <w:t xml:space="preserve">is </w:t>
      </w:r>
      <w:r w:rsidR="001E4086" w:rsidRPr="00F60A9B">
        <w:t>the patient’s health condition before and after</w:t>
      </w:r>
      <w:r w:rsidR="0008000D" w:rsidRPr="00F60A9B">
        <w:t xml:space="preserve"> </w:t>
      </w:r>
      <w:r w:rsidR="00010838">
        <w:t>a</w:t>
      </w:r>
      <w:r w:rsidR="0008000D" w:rsidRPr="00F60A9B">
        <w:t xml:space="preserve"> medical treatment</w:t>
      </w:r>
      <w:r w:rsidR="00010838">
        <w:t>,</w:t>
      </w:r>
      <w:r w:rsidRPr="00F60A9B">
        <w:t xml:space="preserve"> and </w:t>
      </w:r>
      <w:r w:rsidR="00010838">
        <w:t xml:space="preserve">we can </w:t>
      </w:r>
      <w:r w:rsidRPr="00F60A9B">
        <w:t>compar</w:t>
      </w:r>
      <w:r w:rsidR="009E1A79">
        <w:t>e</w:t>
      </w:r>
      <w:r w:rsidRPr="00F60A9B">
        <w:t xml:space="preserve"> the two</w:t>
      </w:r>
      <w:r w:rsidR="009E1A79">
        <w:t xml:space="preserve"> observations to infer </w:t>
      </w:r>
      <w:r w:rsidR="009E1A79" w:rsidRPr="00F60A9B">
        <w:t>the benefit of a medical treatment</w:t>
      </w:r>
      <w:r w:rsidRPr="00F60A9B">
        <w:t xml:space="preserve">.  In order to </w:t>
      </w:r>
      <w:r w:rsidR="00010838">
        <w:t xml:space="preserve">define our </w:t>
      </w:r>
      <w:r w:rsidR="0008000D" w:rsidRPr="00F60A9B">
        <w:t>directly observe</w:t>
      </w:r>
      <w:r w:rsidR="00010838">
        <w:t>d</w:t>
      </w:r>
      <w:r w:rsidR="0008000D" w:rsidRPr="00F60A9B">
        <w:t xml:space="preserve"> quantities, we shall </w:t>
      </w:r>
      <w:r w:rsidR="00FA4480" w:rsidRPr="00F60A9B">
        <w:t xml:space="preserve">define: </w:t>
      </w:r>
    </w:p>
    <w:p w14:paraId="640AA6A4" w14:textId="178ADFC4" w:rsidR="00FA4480" w:rsidRPr="00F60A9B" w:rsidRDefault="00000000" w:rsidP="00FA4480">
      <w:pPr>
        <w:ind w:firstLine="720"/>
      </w:pP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FA4480" w:rsidRPr="00F60A9B">
        <w:t xml:space="preserve"> as the </w:t>
      </w:r>
      <w:r w:rsidR="00392B7C">
        <w:t xml:space="preserve">likely amount of </w:t>
      </w:r>
      <w:r w:rsidR="00FA4480" w:rsidRPr="00F60A9B">
        <w:t xml:space="preserve">risk </w:t>
      </w:r>
      <w:r w:rsidR="00392B7C">
        <w:t xml:space="preserve">from </w:t>
      </w:r>
      <w:r w:rsidR="00FA4480" w:rsidRPr="00F60A9B">
        <w:t xml:space="preserve">the patient’s health </w:t>
      </w:r>
      <w:r w:rsidR="002E0206" w:rsidRPr="00F60A9B">
        <w:t xml:space="preserve">condition </w:t>
      </w:r>
      <w:r w:rsidR="003E2D48" w:rsidRPr="003E2D48">
        <w:rPr>
          <w:b/>
          <w:bCs/>
          <w:i/>
          <w:iCs/>
        </w:rPr>
        <w:t>B</w:t>
      </w:r>
      <w:r w:rsidR="00FA4480" w:rsidRPr="00F60A9B">
        <w:t xml:space="preserve">efore the medical treatment, and </w:t>
      </w:r>
    </w:p>
    <w:p w14:paraId="1EA374C3" w14:textId="0A7E43CD" w:rsidR="0008000D" w:rsidRPr="00F60A9B" w:rsidRDefault="00000000" w:rsidP="0008000D">
      <w:pPr>
        <w:ind w:firstLine="720"/>
      </w:pP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FA4480" w:rsidRPr="00F60A9B">
        <w:t xml:space="preserve"> as the </w:t>
      </w:r>
      <w:r w:rsidR="00392B7C">
        <w:t xml:space="preserve">likely amount of </w:t>
      </w:r>
      <w:r w:rsidR="00392B7C" w:rsidRPr="00F60A9B">
        <w:t xml:space="preserve">risk </w:t>
      </w:r>
      <w:r w:rsidR="00392B7C">
        <w:t xml:space="preserve">from </w:t>
      </w:r>
      <w:r w:rsidR="00FA4480" w:rsidRPr="00F60A9B">
        <w:t xml:space="preserve">the patient’s health </w:t>
      </w:r>
      <w:r w:rsidR="002E0206" w:rsidRPr="00F60A9B">
        <w:t xml:space="preserve">condition </w:t>
      </w:r>
      <w:r w:rsidR="003E2D48">
        <w:rPr>
          <w:b/>
          <w:bCs/>
          <w:i/>
          <w:iCs/>
        </w:rPr>
        <w:t>A</w:t>
      </w:r>
      <w:r w:rsidR="00FA4480" w:rsidRPr="00F60A9B">
        <w:t>fter the medical treatment</w:t>
      </w:r>
      <w:r w:rsidR="0008000D" w:rsidRPr="00F60A9B">
        <w:t xml:space="preserve">, </w:t>
      </w:r>
    </w:p>
    <w:p w14:paraId="73510137" w14:textId="355BD266" w:rsidR="00FA4480" w:rsidRPr="00F60A9B" w:rsidRDefault="00FA4480" w:rsidP="0008000D">
      <w:r w:rsidRPr="00F60A9B">
        <w:t xml:space="preserve">then: </w:t>
      </w:r>
    </w:p>
    <w:p w14:paraId="0E6E65FE" w14:textId="77777777" w:rsidR="009077A5" w:rsidRPr="00F60A9B" w:rsidRDefault="00FA4480" w:rsidP="00BF3E5E">
      <w:pPr>
        <w:rPr>
          <w:rFonts w:eastAsiaTheme="minorEastAsia"/>
        </w:rPr>
      </w:pPr>
      <w:r w:rsidRPr="00F60A9B">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eastAsiaTheme="minorEastAsia" w:hAnsi="Cambria Math"/>
          </w:rPr>
          <m:t>=H</m:t>
        </m:r>
      </m:oMath>
      <w:r w:rsidRPr="00F60A9B">
        <w:rPr>
          <w:rFonts w:eastAsiaTheme="minorEastAsia"/>
        </w:rPr>
        <w:t xml:space="preserve">, </w:t>
      </w:r>
    </w:p>
    <w:p w14:paraId="61E8376F" w14:textId="421A8508" w:rsidR="00FA4480" w:rsidRPr="00F60A9B" w:rsidRDefault="00000000" w:rsidP="009077A5">
      <w:pPr>
        <w:ind w:firstLine="720"/>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=H-B</m:t>
        </m:r>
      </m:oMath>
      <w:r w:rsidR="00FF5718" w:rsidRPr="00F60A9B">
        <w:rPr>
          <w:rFonts w:eastAsiaTheme="minorEastAsia"/>
        </w:rPr>
        <w:t>, a</w:t>
      </w:r>
      <w:r w:rsidR="00FA4480" w:rsidRPr="00F60A9B">
        <w:rPr>
          <w:rFonts w:eastAsiaTheme="minorEastAsia"/>
        </w:rPr>
        <w:t xml:space="preserve">nd </w:t>
      </w:r>
    </w:p>
    <w:p w14:paraId="69903DDE" w14:textId="505CAAEF" w:rsidR="00740E84" w:rsidRPr="00740E84" w:rsidRDefault="00000000" w:rsidP="00BF3E5E">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B</m:t>
              </m:r>
            </m:sup>
          </m:sSup>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1</m:t>
                      </m:r>
                    </m:sub>
                    <m:sup>
                      <m:r>
                        <w:rPr>
                          <w:rFonts w:ascii="Cambria Math" w:eastAsiaTheme="minorEastAsia" w:hAnsi="Cambria Math"/>
                        </w:rPr>
                        <m:t>B</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1</m:t>
                      </m:r>
                    </m:sub>
                    <m:sup>
                      <m:r>
                        <w:rPr>
                          <w:rFonts w:ascii="Cambria Math" w:eastAsiaTheme="minorEastAsia" w:hAnsi="Cambria Math"/>
                        </w:rPr>
                        <m:t>B</m:t>
                      </m:r>
                    </m:sup>
                  </m:sSubSup>
                </m:e>
              </m:d>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2</m:t>
                      </m:r>
                    </m:sub>
                    <m:sup>
                      <m:r>
                        <w:rPr>
                          <w:rFonts w:ascii="Cambria Math" w:eastAsiaTheme="minorEastAsia" w:hAnsi="Cambria Math"/>
                        </w:rPr>
                        <m:t>B</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2</m:t>
                      </m:r>
                    </m:sub>
                    <m:sup>
                      <m:r>
                        <w:rPr>
                          <w:rFonts w:ascii="Cambria Math" w:eastAsiaTheme="minorEastAsia" w:hAnsi="Cambria Math"/>
                        </w:rPr>
                        <m:t>B</m:t>
                      </m:r>
                    </m:sup>
                  </m:sSubSup>
                </m:e>
              </m:d>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3</m:t>
                      </m:r>
                    </m:sub>
                    <m:sup>
                      <m:r>
                        <w:rPr>
                          <w:rFonts w:ascii="Cambria Math" w:eastAsiaTheme="minorEastAsia" w:hAnsi="Cambria Math"/>
                        </w:rPr>
                        <m:t>B</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3</m:t>
                      </m:r>
                    </m:sub>
                    <m:sup>
                      <m:r>
                        <w:rPr>
                          <w:rFonts w:ascii="Cambria Math" w:eastAsiaTheme="minorEastAsia" w:hAnsi="Cambria Math"/>
                        </w:rPr>
                        <m:t>B</m:t>
                      </m:r>
                    </m:sup>
                  </m:sSubSup>
                </m:e>
              </m:d>
              <m:r>
                <w:rPr>
                  <w:rFonts w:ascii="Cambria Math" w:eastAsiaTheme="minorEastAsia" w:hAnsi="Cambria Math"/>
                </w:rPr>
                <m:t xml:space="preserve">, …,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B</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m</m:t>
                      </m:r>
                    </m:sub>
                    <m:sup>
                      <m:r>
                        <w:rPr>
                          <w:rFonts w:ascii="Cambria Math" w:eastAsiaTheme="minorEastAsia" w:hAnsi="Cambria Math"/>
                        </w:rPr>
                        <m:t>B</m:t>
                      </m:r>
                    </m:sup>
                  </m:sSubSup>
                </m:e>
              </m:d>
            </m:e>
          </m:d>
        </m:oMath>
      </m:oMathPara>
    </w:p>
    <w:bookmarkStart w:id="20" w:name="_Ref132953407"/>
    <w:p w14:paraId="106D7D0E" w14:textId="006AF31A" w:rsidR="00740E84" w:rsidRPr="00740E84" w:rsidRDefault="00000000" w:rsidP="00740E84">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A</m:t>
              </m:r>
            </m:sup>
          </m:sSup>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1</m:t>
                      </m:r>
                    </m:sub>
                    <m:sup>
                      <m:r>
                        <w:rPr>
                          <w:rFonts w:ascii="Cambria Math" w:eastAsiaTheme="minorEastAsia" w:hAnsi="Cambria Math"/>
                        </w:rPr>
                        <m:t>A</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1</m:t>
                      </m:r>
                    </m:sub>
                    <m:sup>
                      <m:r>
                        <w:rPr>
                          <w:rFonts w:ascii="Cambria Math" w:eastAsiaTheme="minorEastAsia" w:hAnsi="Cambria Math"/>
                        </w:rPr>
                        <m:t>A</m:t>
                      </m:r>
                    </m:sup>
                  </m:sSubSup>
                </m:e>
              </m:d>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2</m:t>
                      </m:r>
                    </m:sub>
                    <m:sup>
                      <m:r>
                        <w:rPr>
                          <w:rFonts w:ascii="Cambria Math" w:eastAsiaTheme="minorEastAsia" w:hAnsi="Cambria Math"/>
                        </w:rPr>
                        <m:t>A</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2</m:t>
                      </m:r>
                    </m:sub>
                    <m:sup>
                      <m:r>
                        <w:rPr>
                          <w:rFonts w:ascii="Cambria Math" w:eastAsiaTheme="minorEastAsia" w:hAnsi="Cambria Math"/>
                        </w:rPr>
                        <m:t>A</m:t>
                      </m:r>
                    </m:sup>
                  </m:sSubSup>
                </m:e>
              </m:d>
              <m:r>
                <w:rPr>
                  <w:rFonts w:ascii="Cambria Math" w:eastAsiaTheme="minorEastAsia" w:hAnsi="Cambria Math"/>
                </w:rPr>
                <m:t xml:space="preserve">,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3</m:t>
                      </m:r>
                    </m:sub>
                    <m:sup>
                      <m:r>
                        <w:rPr>
                          <w:rFonts w:ascii="Cambria Math" w:eastAsiaTheme="minorEastAsia" w:hAnsi="Cambria Math"/>
                        </w:rPr>
                        <m:t>A</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3</m:t>
                      </m:r>
                    </m:sub>
                    <m:sup>
                      <m:r>
                        <w:rPr>
                          <w:rFonts w:ascii="Cambria Math" w:eastAsiaTheme="minorEastAsia" w:hAnsi="Cambria Math"/>
                        </w:rPr>
                        <m:t>A</m:t>
                      </m:r>
                    </m:sup>
                  </m:sSubSup>
                </m:e>
              </m:d>
              <m:r>
                <w:rPr>
                  <w:rFonts w:ascii="Cambria Math" w:eastAsiaTheme="minorEastAsia" w:hAnsi="Cambria Math"/>
                </w:rPr>
                <m:t xml:space="preserve">, …, </m:t>
              </m:r>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A</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m</m:t>
                      </m:r>
                    </m:sub>
                    <m:sup>
                      <m:r>
                        <w:rPr>
                          <w:rFonts w:ascii="Cambria Math" w:eastAsiaTheme="minorEastAsia" w:hAnsi="Cambria Math"/>
                        </w:rPr>
                        <m:t>A</m:t>
                      </m:r>
                    </m:sup>
                  </m:sSubSup>
                </m:e>
              </m:d>
            </m:e>
          </m:d>
        </m:oMath>
      </m:oMathPara>
    </w:p>
    <w:p w14:paraId="5FE342C9" w14:textId="3F80F6A7" w:rsidR="00740E84" w:rsidRPr="00C52D99" w:rsidRDefault="00740E84" w:rsidP="00740E84">
      <w:pPr>
        <w:rPr>
          <w:rFonts w:eastAsiaTheme="minorEastAsia"/>
        </w:rPr>
      </w:pPr>
      <m:oMathPara>
        <m:oMath>
          <m:r>
            <w:rPr>
              <w:rFonts w:ascii="Cambria Math" w:hAnsi="Cambria Math"/>
            </w:rPr>
            <m:t xml:space="preserve">B= </m:t>
          </m:r>
          <m:sSub>
            <m:sSubPr>
              <m:ctrlPr>
                <w:rPr>
                  <w:rFonts w:ascii="Cambria Math" w:hAnsi="Cambria Math"/>
                  <w:i/>
                </w:rPr>
              </m:ctrlPr>
            </m:sSubPr>
            <m:e>
              <m:r>
                <w:rPr>
                  <w:rFonts w:ascii="Cambria Math" w:hAnsi="Cambria Math"/>
                </w:rPr>
                <m:t>R</m:t>
              </m:r>
            </m:e>
            <m:sub>
              <m:r>
                <w:rPr>
                  <w:rFonts w:ascii="Cambria Math" w:hAnsi="Cambria Math"/>
                </w:rPr>
                <m:t>B</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i/>
                </w:rPr>
              </m:ctrlPr>
            </m:sSubPr>
            <m:e>
              <m:r>
                <w:rPr>
                  <w:rFonts w:ascii="Cambria Math" w:hAnsi="Cambria Math"/>
                </w:rPr>
                <m:t>R</m:t>
              </m:r>
            </m:e>
            <m:sub>
              <m:r>
                <w:rPr>
                  <w:rFonts w:ascii="Cambria Math" w:hAnsi="Cambria Math"/>
                </w:rPr>
                <m:t>A</m:t>
              </m:r>
            </m:sub>
          </m:sSub>
        </m:oMath>
      </m:oMathPara>
    </w:p>
    <w:p w14:paraId="0EF4243B" w14:textId="3D10154A" w:rsidR="00C52D99" w:rsidRPr="00740E84" w:rsidRDefault="00C52D99" w:rsidP="00C52D99">
      <w:pPr>
        <w:rPr>
          <w:rFonts w:eastAsiaTheme="minorEastAsia"/>
        </w:rPr>
      </w:pPr>
      <m:oMathPara>
        <m:oMath>
          <m:r>
            <w:rPr>
              <w:rFonts w:ascii="Cambria Math" w:hAnsi="Cambria Math"/>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rPr>
            <m:t>R</m:t>
          </m:r>
        </m:oMath>
      </m:oMathPara>
    </w:p>
    <w:p w14:paraId="365DD60F" w14:textId="3C2BBD47" w:rsidR="0007085A" w:rsidRPr="00740E84" w:rsidRDefault="00000000" w:rsidP="0007085A">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i/>
                </w:rPr>
              </m:ctrlPr>
            </m:sSubPr>
            <m:e>
              <m:r>
                <w:rPr>
                  <w:rFonts w:ascii="Cambria Math" w:hAnsi="Cambria Math"/>
                </w:rPr>
                <m:t>R</m:t>
              </m:r>
            </m:e>
            <m:sub>
              <m:r>
                <w:rPr>
                  <w:rFonts w:ascii="Cambria Math" w:hAnsi="Cambria Math"/>
                </w:rPr>
                <m:t>A</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rPr>
            <m:t>R</m:t>
          </m:r>
        </m:oMath>
      </m:oMathPara>
    </w:p>
    <w:p w14:paraId="26CED49E" w14:textId="18E8F0CB" w:rsidR="0007085A" w:rsidRPr="00740E84" w:rsidRDefault="00000000" w:rsidP="0007085A">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rPr>
            <m:t>R⋃</m:t>
          </m:r>
          <m:sSub>
            <m:sSubPr>
              <m:ctrlPr>
                <w:rPr>
                  <w:rFonts w:ascii="Cambria Math" w:hAnsi="Cambria Math"/>
                  <w:i/>
                </w:rPr>
              </m:ctrlPr>
            </m:sSubPr>
            <m:e>
              <m:r>
                <w:rPr>
                  <w:rFonts w:ascii="Cambria Math" w:hAnsi="Cambria Math"/>
                </w:rPr>
                <m:t>R</m:t>
              </m:r>
            </m:e>
            <m:sub>
              <m:r>
                <w:rPr>
                  <w:rFonts w:ascii="Cambria Math" w:hAnsi="Cambria Math"/>
                </w:rPr>
                <m:t>A</m:t>
              </m:r>
            </m:sub>
          </m:sSub>
        </m:oMath>
      </m:oMathPara>
    </w:p>
    <w:p w14:paraId="61C2F314" w14:textId="750911F3" w:rsidR="00C52D99" w:rsidRPr="00740E84" w:rsidRDefault="0007085A" w:rsidP="00740E84">
      <w:pPr>
        <w:rPr>
          <w:rFonts w:eastAsiaTheme="minorEastAsia"/>
        </w:rPr>
      </w:pPr>
      <w:r>
        <w:rPr>
          <w:rFonts w:eastAsiaTheme="minorEastAsia"/>
        </w:rPr>
        <w:t xml:space="preserve"> </w:t>
      </w:r>
    </w:p>
    <w:p w14:paraId="73B773D2" w14:textId="77777777" w:rsidR="00740E84" w:rsidRPr="00740E84" w:rsidRDefault="00740E84" w:rsidP="00740E84">
      <w:pPr>
        <w:rPr>
          <w:rFonts w:eastAsiaTheme="minorEastAsia"/>
        </w:rPr>
      </w:pPr>
    </w:p>
    <w:p w14:paraId="5A4FD739" w14:textId="503111A3" w:rsidR="006013B8" w:rsidRPr="00F60A9B" w:rsidRDefault="006013B8" w:rsidP="00BF3E5E">
      <w:pPr>
        <w:pStyle w:val="Caption"/>
        <w:jc w:val="right"/>
        <w:rPr>
          <w:color w:val="auto"/>
        </w:rPr>
      </w:pPr>
      <w:r w:rsidRPr="00F60A9B">
        <w:rPr>
          <w:color w:val="auto"/>
        </w:rPr>
        <w:t xml:space="preserve">Equation </w:t>
      </w:r>
      <w:r w:rsidR="005134A0">
        <w:rPr>
          <w:color w:val="auto"/>
        </w:rPr>
        <w:fldChar w:fldCharType="begin"/>
      </w:r>
      <w:r w:rsidR="005134A0">
        <w:rPr>
          <w:color w:val="auto"/>
        </w:rPr>
        <w:instrText xml:space="preserve"> SEQ Equation \* ARABIC </w:instrText>
      </w:r>
      <w:r w:rsidR="005134A0">
        <w:rPr>
          <w:color w:val="auto"/>
        </w:rPr>
        <w:fldChar w:fldCharType="separate"/>
      </w:r>
      <w:r w:rsidR="003468AE">
        <w:rPr>
          <w:noProof/>
          <w:color w:val="auto"/>
        </w:rPr>
        <w:t>2</w:t>
      </w:r>
      <w:r w:rsidR="005134A0">
        <w:rPr>
          <w:color w:val="auto"/>
        </w:rPr>
        <w:fldChar w:fldCharType="end"/>
      </w:r>
      <w:bookmarkEnd w:id="20"/>
    </w:p>
    <w:p w14:paraId="14662076" w14:textId="21AFECFD" w:rsidR="00FF4AC2" w:rsidRDefault="00740E84" w:rsidP="00422D28">
      <w:pPr>
        <w:rPr>
          <w:rFonts w:eastAsiaTheme="minorEastAsia"/>
        </w:rPr>
      </w:pPr>
      <w:r>
        <w:rPr>
          <w:rFonts w:eastAsiaTheme="minorEastAsia"/>
        </w:rPr>
        <w:t xml:space="preserve"> </w:t>
      </w:r>
    </w:p>
    <w:p w14:paraId="356AC986" w14:textId="0EC5E9F3" w:rsidR="00422D28" w:rsidRPr="00F04C92" w:rsidRDefault="00F04C92" w:rsidP="00422D28">
      <w:pPr>
        <w:rPr>
          <w:rFonts w:eastAsiaTheme="minorEastAsia"/>
        </w:rPr>
      </w:pPr>
      <w:r>
        <w:rPr>
          <w:rFonts w:eastAsiaTheme="minorEastAsia"/>
        </w:rPr>
        <w:t>W</w:t>
      </w:r>
      <w:r w:rsidR="00422D28">
        <w:rPr>
          <w:rFonts w:eastAsiaTheme="minorEastAsia"/>
        </w:rPr>
        <w:t xml:space="preserve">e </w:t>
      </w:r>
      <w:r w:rsidR="00FF4AC2">
        <w:rPr>
          <w:rFonts w:eastAsiaTheme="minorEastAsia"/>
        </w:rPr>
        <w:t xml:space="preserve">have now defined three variables about risk: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FF4AC2" w:rsidRPr="00F60A9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FF4AC2" w:rsidRPr="00F60A9B">
        <w:rPr>
          <w:rFonts w:eastAsiaTheme="minorEastAsia"/>
        </w:rPr>
        <w:t xml:space="preserve">, and </w:t>
      </w:r>
      <m:oMath>
        <m:r>
          <w:rPr>
            <w:rFonts w:ascii="Cambria Math" w:hAnsi="Cambria Math"/>
          </w:rPr>
          <m:t>R</m:t>
        </m:r>
      </m:oMath>
      <w:r w:rsidR="00FF4AC2">
        <w:rPr>
          <w:rFonts w:eastAsiaTheme="minorEastAsia"/>
        </w:rPr>
        <w:t xml:space="preserve">.  In order to clarify the similarities and differences among these three definitions, we </w:t>
      </w:r>
      <w:r w:rsidR="00422D28">
        <w:rPr>
          <w:rFonts w:eastAsiaTheme="minorEastAsia"/>
        </w:rPr>
        <w:t>will use</w:t>
      </w:r>
      <w:r w:rsidR="00D72E60">
        <w:rPr>
          <w:rFonts w:eastAsiaTheme="minorEastAsia"/>
        </w:rPr>
        <w:t xml:space="preserve"> </w:t>
      </w:r>
      <w:r>
        <w:rPr>
          <w:rFonts w:eastAsiaTheme="minorEastAsia"/>
        </w:rPr>
        <w:t xml:space="preserve">the following </w:t>
      </w:r>
      <w:r w:rsidR="00422D28">
        <w:rPr>
          <w:rFonts w:eastAsiaTheme="minorEastAsia"/>
        </w:rPr>
        <w:t>IS/IS-NOT matrix</w:t>
      </w:r>
      <w:r w:rsidR="00D72E60">
        <w:rPr>
          <w:rFonts w:eastAsiaTheme="minorEastAsia"/>
        </w:rPr>
        <w:t xml:space="preserve">: </w:t>
      </w:r>
    </w:p>
    <w:tbl>
      <w:tblPr>
        <w:tblStyle w:val="TableGrid"/>
        <w:tblW w:w="8703" w:type="dxa"/>
        <w:tblInd w:w="27" w:type="dxa"/>
        <w:tblLayout w:type="fixed"/>
        <w:tblLook w:val="04A0" w:firstRow="1" w:lastRow="0" w:firstColumn="1" w:lastColumn="0" w:noHBand="0" w:noVBand="1"/>
      </w:tblPr>
      <w:tblGrid>
        <w:gridCol w:w="4743"/>
        <w:gridCol w:w="660"/>
        <w:gridCol w:w="660"/>
        <w:gridCol w:w="660"/>
        <w:gridCol w:w="660"/>
        <w:gridCol w:w="660"/>
        <w:gridCol w:w="660"/>
      </w:tblGrid>
      <w:tr w:rsidR="00CC025E" w14:paraId="64CB1226" w14:textId="77777777" w:rsidTr="00F04C92">
        <w:trPr>
          <w:trHeight w:val="331"/>
          <w:tblHeader/>
        </w:trPr>
        <w:tc>
          <w:tcPr>
            <w:tcW w:w="4743" w:type="dxa"/>
            <w:vMerge w:val="restart"/>
            <w:tcBorders>
              <w:top w:val="nil"/>
              <w:left w:val="nil"/>
              <w:right w:val="single" w:sz="12" w:space="0" w:color="auto"/>
            </w:tcBorders>
            <w:vAlign w:val="center"/>
          </w:tcPr>
          <w:p w14:paraId="520E909B" w14:textId="67981AC0" w:rsidR="00CC025E" w:rsidRDefault="005B00F9" w:rsidP="005B00F9">
            <w:pPr>
              <w:jc w:val="center"/>
              <w:rPr>
                <w:rFonts w:ascii="Calibri" w:eastAsia="Calibri" w:hAnsi="Calibri" w:cs="Times New Roman"/>
              </w:rPr>
            </w:pPr>
            <w:r>
              <w:rPr>
                <w:rFonts w:ascii="Calibri" w:eastAsia="Calibri" w:hAnsi="Calibri" w:cs="Times New Roman"/>
              </w:rPr>
              <w:lastRenderedPageBreak/>
              <w:t>Characteristic</w:t>
            </w:r>
          </w:p>
        </w:tc>
        <w:tc>
          <w:tcPr>
            <w:tcW w:w="1320" w:type="dxa"/>
            <w:gridSpan w:val="2"/>
            <w:tcBorders>
              <w:left w:val="single" w:sz="12" w:space="0" w:color="auto"/>
              <w:bottom w:val="single" w:sz="12" w:space="0" w:color="auto"/>
              <w:right w:val="single" w:sz="12" w:space="0" w:color="auto"/>
            </w:tcBorders>
            <w:vAlign w:val="center"/>
          </w:tcPr>
          <w:p w14:paraId="71324879" w14:textId="3C5A0CFB" w:rsidR="00CC025E" w:rsidRDefault="00000000" w:rsidP="000C7731">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w:bookmarkStart w:id="21" w:name="_Ref147412363"/>
                <m:r>
                  <w:rPr>
                    <w:rStyle w:val="FootnoteReference"/>
                    <w:rFonts w:ascii="Cambria Math" w:hAnsi="Cambria Math"/>
                    <w:i/>
                  </w:rPr>
                  <w:footnoteReference w:id="23"/>
                </m:r>
              </m:oMath>
            </m:oMathPara>
            <w:bookmarkEnd w:id="21"/>
          </w:p>
        </w:tc>
        <w:tc>
          <w:tcPr>
            <w:tcW w:w="1320" w:type="dxa"/>
            <w:gridSpan w:val="2"/>
            <w:tcBorders>
              <w:left w:val="single" w:sz="12" w:space="0" w:color="auto"/>
              <w:bottom w:val="single" w:sz="12" w:space="0" w:color="auto"/>
              <w:right w:val="single" w:sz="12" w:space="0" w:color="auto"/>
            </w:tcBorders>
            <w:vAlign w:val="center"/>
          </w:tcPr>
          <w:p w14:paraId="495937F0" w14:textId="48A889EA" w:rsidR="00CC025E" w:rsidRDefault="00000000" w:rsidP="000C7731">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w:bookmarkStart w:id="22" w:name="_Ref147987696"/>
                <m:r>
                  <w:rPr>
                    <w:rStyle w:val="FootnoteReference"/>
                    <w:rFonts w:ascii="Cambria Math" w:hAnsi="Cambria Math"/>
                    <w:i/>
                  </w:rPr>
                  <w:footnoteReference w:id="24"/>
                </m:r>
              </m:oMath>
            </m:oMathPara>
            <w:bookmarkEnd w:id="22"/>
          </w:p>
        </w:tc>
        <w:tc>
          <w:tcPr>
            <w:tcW w:w="1320" w:type="dxa"/>
            <w:gridSpan w:val="2"/>
            <w:tcBorders>
              <w:left w:val="single" w:sz="12" w:space="0" w:color="auto"/>
              <w:bottom w:val="single" w:sz="12" w:space="0" w:color="auto"/>
            </w:tcBorders>
            <w:vAlign w:val="center"/>
          </w:tcPr>
          <w:p w14:paraId="396B4F39" w14:textId="1B3CE857" w:rsidR="00CC025E" w:rsidRDefault="005B00F9" w:rsidP="000C7731">
            <w:pPr>
              <w:jc w:val="center"/>
              <w:rPr>
                <w:rFonts w:eastAsiaTheme="minorEastAsia"/>
              </w:rPr>
            </w:pPr>
            <m:oMathPara>
              <m:oMath>
                <m:r>
                  <w:rPr>
                    <w:rFonts w:ascii="Cambria Math" w:hAnsi="Cambria Math"/>
                  </w:rPr>
                  <m:t>R</m:t>
                </m:r>
                <w:bookmarkStart w:id="23" w:name="_Ref147987699"/>
                <m:r>
                  <w:rPr>
                    <w:rStyle w:val="FootnoteReference"/>
                    <w:rFonts w:ascii="Cambria Math" w:hAnsi="Cambria Math"/>
                    <w:i/>
                  </w:rPr>
                  <w:footnoteReference w:id="25"/>
                </m:r>
              </m:oMath>
            </m:oMathPara>
            <w:bookmarkEnd w:id="23"/>
          </w:p>
        </w:tc>
      </w:tr>
      <w:tr w:rsidR="005B00F9" w14:paraId="772E8627" w14:textId="48D8FD49" w:rsidTr="00F04C92">
        <w:trPr>
          <w:trHeight w:val="331"/>
          <w:tblHeader/>
        </w:trPr>
        <w:tc>
          <w:tcPr>
            <w:tcW w:w="4743" w:type="dxa"/>
            <w:vMerge/>
            <w:tcBorders>
              <w:left w:val="nil"/>
              <w:right w:val="single" w:sz="12" w:space="0" w:color="auto"/>
            </w:tcBorders>
            <w:vAlign w:val="center"/>
          </w:tcPr>
          <w:p w14:paraId="0940B55A" w14:textId="34B009CC" w:rsidR="005B00F9" w:rsidRPr="00074673" w:rsidRDefault="005B00F9" w:rsidP="005B00F9">
            <w:pPr>
              <w:rPr>
                <w:rFonts w:eastAsiaTheme="minorEastAsia"/>
              </w:rPr>
            </w:pPr>
          </w:p>
        </w:tc>
        <w:tc>
          <w:tcPr>
            <w:tcW w:w="660" w:type="dxa"/>
            <w:tcBorders>
              <w:left w:val="single" w:sz="12" w:space="0" w:color="auto"/>
              <w:bottom w:val="single" w:sz="12" w:space="0" w:color="auto"/>
            </w:tcBorders>
            <w:vAlign w:val="center"/>
          </w:tcPr>
          <w:p w14:paraId="1279F419" w14:textId="77777777" w:rsidR="005B00F9" w:rsidRPr="00D511BC" w:rsidRDefault="005B00F9" w:rsidP="005B00F9">
            <w:pPr>
              <w:jc w:val="center"/>
              <w:rPr>
                <w:rFonts w:eastAsiaTheme="minorEastAsia"/>
                <w:b/>
                <w:bCs/>
                <w:color w:val="00B050"/>
              </w:rPr>
            </w:pPr>
            <w:r w:rsidRPr="00D511BC">
              <w:rPr>
                <w:rFonts w:eastAsiaTheme="minorEastAsia"/>
                <w:b/>
                <w:bCs/>
                <w:color w:val="00B050"/>
              </w:rPr>
              <w:t>IS</w:t>
            </w:r>
          </w:p>
        </w:tc>
        <w:tc>
          <w:tcPr>
            <w:tcW w:w="660" w:type="dxa"/>
            <w:tcBorders>
              <w:bottom w:val="single" w:sz="12" w:space="0" w:color="auto"/>
              <w:right w:val="single" w:sz="12" w:space="0" w:color="auto"/>
            </w:tcBorders>
            <w:vAlign w:val="center"/>
          </w:tcPr>
          <w:p w14:paraId="6B96119C" w14:textId="77777777" w:rsidR="005B00F9" w:rsidRPr="00D511BC" w:rsidRDefault="005B00F9" w:rsidP="005B00F9">
            <w:pPr>
              <w:jc w:val="center"/>
              <w:rPr>
                <w:rFonts w:eastAsiaTheme="minorEastAsia"/>
                <w:b/>
                <w:bCs/>
                <w:color w:val="FF0000"/>
              </w:rPr>
            </w:pPr>
            <w:r w:rsidRPr="00D511BC">
              <w:rPr>
                <w:rFonts w:eastAsiaTheme="minorEastAsia"/>
                <w:b/>
                <w:bCs/>
                <w:color w:val="FF0000"/>
              </w:rPr>
              <w:t>IS NOT</w:t>
            </w:r>
          </w:p>
        </w:tc>
        <w:tc>
          <w:tcPr>
            <w:tcW w:w="660" w:type="dxa"/>
            <w:tcBorders>
              <w:left w:val="single" w:sz="12" w:space="0" w:color="auto"/>
              <w:bottom w:val="single" w:sz="12" w:space="0" w:color="auto"/>
            </w:tcBorders>
            <w:vAlign w:val="center"/>
          </w:tcPr>
          <w:p w14:paraId="74B76D56" w14:textId="6A9D7B1F" w:rsidR="005B00F9" w:rsidRPr="00D511BC" w:rsidRDefault="005B00F9" w:rsidP="005B00F9">
            <w:pPr>
              <w:jc w:val="center"/>
              <w:rPr>
                <w:rFonts w:eastAsiaTheme="minorEastAsia"/>
                <w:b/>
                <w:bCs/>
                <w:color w:val="00B050"/>
              </w:rPr>
            </w:pPr>
            <w:r w:rsidRPr="00D511BC">
              <w:rPr>
                <w:rFonts w:eastAsiaTheme="minorEastAsia"/>
                <w:b/>
                <w:bCs/>
                <w:color w:val="00B050"/>
              </w:rPr>
              <w:t>IS</w:t>
            </w:r>
          </w:p>
        </w:tc>
        <w:tc>
          <w:tcPr>
            <w:tcW w:w="660" w:type="dxa"/>
            <w:tcBorders>
              <w:bottom w:val="single" w:sz="12" w:space="0" w:color="auto"/>
              <w:right w:val="single" w:sz="12" w:space="0" w:color="auto"/>
            </w:tcBorders>
            <w:vAlign w:val="center"/>
          </w:tcPr>
          <w:p w14:paraId="3BEA6E35" w14:textId="368943B8" w:rsidR="005B00F9" w:rsidRPr="00D511BC" w:rsidRDefault="005B00F9" w:rsidP="005B00F9">
            <w:pPr>
              <w:jc w:val="center"/>
              <w:rPr>
                <w:rFonts w:eastAsiaTheme="minorEastAsia"/>
                <w:b/>
                <w:bCs/>
                <w:color w:val="FF0000"/>
              </w:rPr>
            </w:pPr>
            <w:r w:rsidRPr="00D511BC">
              <w:rPr>
                <w:rFonts w:eastAsiaTheme="minorEastAsia"/>
                <w:b/>
                <w:bCs/>
                <w:color w:val="FF0000"/>
              </w:rPr>
              <w:t>IS NOT</w:t>
            </w:r>
          </w:p>
        </w:tc>
        <w:tc>
          <w:tcPr>
            <w:tcW w:w="660" w:type="dxa"/>
            <w:tcBorders>
              <w:left w:val="single" w:sz="12" w:space="0" w:color="auto"/>
              <w:bottom w:val="single" w:sz="12" w:space="0" w:color="auto"/>
            </w:tcBorders>
            <w:vAlign w:val="center"/>
          </w:tcPr>
          <w:p w14:paraId="4779B0F6" w14:textId="1BD0B5E7" w:rsidR="005B00F9" w:rsidRPr="00D511BC" w:rsidRDefault="005B00F9" w:rsidP="005B00F9">
            <w:pPr>
              <w:jc w:val="center"/>
              <w:rPr>
                <w:rFonts w:eastAsiaTheme="minorEastAsia"/>
                <w:b/>
                <w:bCs/>
                <w:color w:val="00B050"/>
              </w:rPr>
            </w:pPr>
            <w:r w:rsidRPr="00D511BC">
              <w:rPr>
                <w:rFonts w:eastAsiaTheme="minorEastAsia"/>
                <w:b/>
                <w:bCs/>
                <w:color w:val="00B050"/>
              </w:rPr>
              <w:t>IS</w:t>
            </w:r>
          </w:p>
        </w:tc>
        <w:tc>
          <w:tcPr>
            <w:tcW w:w="660" w:type="dxa"/>
            <w:tcBorders>
              <w:bottom w:val="single" w:sz="12" w:space="0" w:color="auto"/>
            </w:tcBorders>
            <w:vAlign w:val="center"/>
          </w:tcPr>
          <w:p w14:paraId="2286A63C" w14:textId="30DF13E5" w:rsidR="005B00F9" w:rsidRPr="00D511BC" w:rsidRDefault="005B00F9" w:rsidP="005B00F9">
            <w:pPr>
              <w:jc w:val="center"/>
              <w:rPr>
                <w:rFonts w:eastAsiaTheme="minorEastAsia"/>
                <w:b/>
                <w:bCs/>
                <w:color w:val="FF0000"/>
              </w:rPr>
            </w:pPr>
            <w:r w:rsidRPr="00D511BC">
              <w:rPr>
                <w:rFonts w:eastAsiaTheme="minorEastAsia"/>
                <w:b/>
                <w:bCs/>
                <w:color w:val="FF0000"/>
              </w:rPr>
              <w:t>IS NOT</w:t>
            </w:r>
          </w:p>
        </w:tc>
      </w:tr>
      <w:tr w:rsidR="005B00F9" w14:paraId="17FB0576" w14:textId="22A40F9C" w:rsidTr="005B00F9">
        <w:trPr>
          <w:trHeight w:val="331"/>
        </w:trPr>
        <w:tc>
          <w:tcPr>
            <w:tcW w:w="4743" w:type="dxa"/>
            <w:tcBorders>
              <w:right w:val="single" w:sz="12" w:space="0" w:color="auto"/>
            </w:tcBorders>
            <w:vAlign w:val="center"/>
          </w:tcPr>
          <w:p w14:paraId="4EDD895E" w14:textId="77777777" w:rsidR="005B00F9" w:rsidRPr="00074673" w:rsidRDefault="005B00F9" w:rsidP="005B00F9">
            <w:pPr>
              <w:ind w:left="-19"/>
              <w:jc w:val="center"/>
              <w:rPr>
                <w:rFonts w:eastAsiaTheme="minorEastAsia"/>
              </w:rPr>
            </w:pPr>
            <w:r>
              <w:rPr>
                <w:rFonts w:eastAsiaTheme="minorEastAsia"/>
              </w:rPr>
              <w:t>Represents Patient Risk</w:t>
            </w:r>
          </w:p>
        </w:tc>
        <w:tc>
          <w:tcPr>
            <w:tcW w:w="660" w:type="dxa"/>
            <w:tcBorders>
              <w:top w:val="single" w:sz="12" w:space="0" w:color="auto"/>
              <w:left w:val="single" w:sz="12" w:space="0" w:color="auto"/>
            </w:tcBorders>
            <w:vAlign w:val="center"/>
          </w:tcPr>
          <w:p w14:paraId="23EBB716" w14:textId="77777777"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tcBorders>
              <w:top w:val="single" w:sz="12" w:space="0" w:color="auto"/>
            </w:tcBorders>
            <w:vAlign w:val="center"/>
          </w:tcPr>
          <w:p w14:paraId="24DB9BF6" w14:textId="77777777" w:rsidR="005B00F9" w:rsidRPr="005B00F9" w:rsidRDefault="005B00F9" w:rsidP="005B00F9">
            <w:pPr>
              <w:jc w:val="center"/>
              <w:rPr>
                <w:rFonts w:eastAsiaTheme="minorEastAsia"/>
                <w:color w:val="FF0000"/>
              </w:rPr>
            </w:pPr>
          </w:p>
        </w:tc>
        <w:tc>
          <w:tcPr>
            <w:tcW w:w="660" w:type="dxa"/>
            <w:tcBorders>
              <w:top w:val="single" w:sz="12" w:space="0" w:color="auto"/>
              <w:left w:val="single" w:sz="12" w:space="0" w:color="auto"/>
            </w:tcBorders>
            <w:vAlign w:val="center"/>
          </w:tcPr>
          <w:p w14:paraId="399EB507" w14:textId="264D1A96"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tcBorders>
              <w:top w:val="single" w:sz="12" w:space="0" w:color="auto"/>
            </w:tcBorders>
            <w:vAlign w:val="center"/>
          </w:tcPr>
          <w:p w14:paraId="18939D32" w14:textId="77777777" w:rsidR="005B00F9" w:rsidRPr="005B00F9" w:rsidRDefault="005B00F9" w:rsidP="005B00F9">
            <w:pPr>
              <w:jc w:val="center"/>
              <w:rPr>
                <w:rFonts w:eastAsiaTheme="minorEastAsia"/>
                <w:color w:val="FF0000"/>
              </w:rPr>
            </w:pPr>
          </w:p>
        </w:tc>
        <w:tc>
          <w:tcPr>
            <w:tcW w:w="660" w:type="dxa"/>
            <w:tcBorders>
              <w:top w:val="single" w:sz="12" w:space="0" w:color="auto"/>
              <w:left w:val="single" w:sz="12" w:space="0" w:color="auto"/>
            </w:tcBorders>
            <w:vAlign w:val="center"/>
          </w:tcPr>
          <w:p w14:paraId="0AF795E9" w14:textId="3A620CA5"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tcBorders>
              <w:top w:val="single" w:sz="12" w:space="0" w:color="auto"/>
            </w:tcBorders>
            <w:vAlign w:val="center"/>
          </w:tcPr>
          <w:p w14:paraId="573ED500" w14:textId="77777777" w:rsidR="005B00F9" w:rsidRPr="005B00F9" w:rsidRDefault="005B00F9" w:rsidP="005B00F9">
            <w:pPr>
              <w:jc w:val="center"/>
              <w:rPr>
                <w:rFonts w:eastAsiaTheme="minorEastAsia"/>
                <w:color w:val="FF0000"/>
              </w:rPr>
            </w:pPr>
          </w:p>
        </w:tc>
      </w:tr>
      <w:tr w:rsidR="005B00F9" w14:paraId="4A9B4947" w14:textId="207E342C" w:rsidTr="005B00F9">
        <w:trPr>
          <w:trHeight w:val="331"/>
        </w:trPr>
        <w:tc>
          <w:tcPr>
            <w:tcW w:w="4743" w:type="dxa"/>
            <w:tcBorders>
              <w:right w:val="single" w:sz="12" w:space="0" w:color="auto"/>
            </w:tcBorders>
            <w:vAlign w:val="center"/>
          </w:tcPr>
          <w:p w14:paraId="140D3239" w14:textId="77777777" w:rsidR="005B00F9" w:rsidRDefault="005B00F9" w:rsidP="005B00F9">
            <w:pPr>
              <w:jc w:val="center"/>
              <w:rPr>
                <w:rFonts w:eastAsiaTheme="minorEastAsia"/>
              </w:rPr>
            </w:pPr>
            <w:r>
              <w:rPr>
                <w:rFonts w:eastAsiaTheme="minorEastAsia"/>
              </w:rPr>
              <w:t>Represents Risk for the Patient Population</w:t>
            </w:r>
          </w:p>
        </w:tc>
        <w:tc>
          <w:tcPr>
            <w:tcW w:w="660" w:type="dxa"/>
            <w:tcBorders>
              <w:left w:val="single" w:sz="12" w:space="0" w:color="auto"/>
            </w:tcBorders>
            <w:vAlign w:val="center"/>
          </w:tcPr>
          <w:p w14:paraId="594C6A94" w14:textId="77777777"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63A1A09B" w14:textId="77777777" w:rsidR="005B00F9" w:rsidRPr="005B00F9" w:rsidRDefault="005B00F9" w:rsidP="005B00F9">
            <w:pPr>
              <w:jc w:val="center"/>
              <w:rPr>
                <w:rFonts w:eastAsiaTheme="minorEastAsia"/>
                <w:color w:val="FF0000"/>
              </w:rPr>
            </w:pPr>
          </w:p>
        </w:tc>
        <w:tc>
          <w:tcPr>
            <w:tcW w:w="660" w:type="dxa"/>
            <w:tcBorders>
              <w:left w:val="single" w:sz="12" w:space="0" w:color="auto"/>
            </w:tcBorders>
            <w:vAlign w:val="center"/>
          </w:tcPr>
          <w:p w14:paraId="5B0C11B0" w14:textId="7701A13D"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790F7502" w14:textId="77777777" w:rsidR="005B00F9" w:rsidRPr="005B00F9" w:rsidRDefault="005B00F9" w:rsidP="005B00F9">
            <w:pPr>
              <w:jc w:val="center"/>
              <w:rPr>
                <w:rFonts w:eastAsiaTheme="minorEastAsia"/>
                <w:color w:val="FF0000"/>
              </w:rPr>
            </w:pPr>
          </w:p>
        </w:tc>
        <w:tc>
          <w:tcPr>
            <w:tcW w:w="660" w:type="dxa"/>
            <w:tcBorders>
              <w:left w:val="single" w:sz="12" w:space="0" w:color="auto"/>
            </w:tcBorders>
            <w:vAlign w:val="center"/>
          </w:tcPr>
          <w:p w14:paraId="24A4474A" w14:textId="5E8BF9D2"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4D4FAA6A" w14:textId="77777777" w:rsidR="005B00F9" w:rsidRPr="005B00F9" w:rsidRDefault="005B00F9" w:rsidP="005B00F9">
            <w:pPr>
              <w:jc w:val="center"/>
              <w:rPr>
                <w:rFonts w:eastAsiaTheme="minorEastAsia"/>
                <w:color w:val="FF0000"/>
              </w:rPr>
            </w:pPr>
          </w:p>
        </w:tc>
      </w:tr>
      <w:tr w:rsidR="005B00F9" w14:paraId="6FF269C7" w14:textId="044977C2" w:rsidTr="005B00F9">
        <w:trPr>
          <w:trHeight w:val="331"/>
        </w:trPr>
        <w:tc>
          <w:tcPr>
            <w:tcW w:w="4743" w:type="dxa"/>
            <w:tcBorders>
              <w:right w:val="single" w:sz="12" w:space="0" w:color="auto"/>
            </w:tcBorders>
            <w:vAlign w:val="center"/>
          </w:tcPr>
          <w:p w14:paraId="42570302" w14:textId="77777777" w:rsidR="005B00F9" w:rsidRDefault="005B00F9" w:rsidP="005B00F9">
            <w:pPr>
              <w:jc w:val="center"/>
              <w:rPr>
                <w:rFonts w:eastAsiaTheme="minorEastAsia"/>
              </w:rPr>
            </w:pPr>
            <w:r>
              <w:rPr>
                <w:rFonts w:eastAsiaTheme="minorEastAsia"/>
              </w:rPr>
              <w:t>Represents Risk for the Indications for Use</w:t>
            </w:r>
          </w:p>
        </w:tc>
        <w:tc>
          <w:tcPr>
            <w:tcW w:w="660" w:type="dxa"/>
            <w:tcBorders>
              <w:left w:val="single" w:sz="12" w:space="0" w:color="auto"/>
            </w:tcBorders>
            <w:vAlign w:val="center"/>
          </w:tcPr>
          <w:p w14:paraId="1F1B31E1" w14:textId="77777777" w:rsidR="005B00F9" w:rsidRPr="005B00F9" w:rsidRDefault="005B00F9" w:rsidP="005B00F9">
            <w:pPr>
              <w:jc w:val="center"/>
              <w:rPr>
                <w:rFonts w:eastAsiaTheme="minorEastAsia"/>
                <w:color w:val="00B050"/>
              </w:rPr>
            </w:pPr>
          </w:p>
        </w:tc>
        <w:tc>
          <w:tcPr>
            <w:tcW w:w="660" w:type="dxa"/>
            <w:vAlign w:val="center"/>
          </w:tcPr>
          <w:p w14:paraId="71554985" w14:textId="77777777"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2B88C159" w14:textId="77777777" w:rsidR="005B00F9" w:rsidRPr="005B00F9" w:rsidRDefault="005B00F9" w:rsidP="005B00F9">
            <w:pPr>
              <w:jc w:val="center"/>
              <w:rPr>
                <w:rFonts w:eastAsiaTheme="minorEastAsia"/>
                <w:color w:val="00B050"/>
              </w:rPr>
            </w:pPr>
          </w:p>
        </w:tc>
        <w:tc>
          <w:tcPr>
            <w:tcW w:w="660" w:type="dxa"/>
            <w:vAlign w:val="center"/>
          </w:tcPr>
          <w:p w14:paraId="386E3C03" w14:textId="14939C92"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183F963" w14:textId="3AFBCC00"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0F030F61" w14:textId="77777777" w:rsidR="005B00F9" w:rsidRPr="005B00F9" w:rsidRDefault="005B00F9" w:rsidP="005B00F9">
            <w:pPr>
              <w:jc w:val="center"/>
              <w:rPr>
                <w:rFonts w:eastAsiaTheme="minorEastAsia"/>
                <w:color w:val="FF0000"/>
              </w:rPr>
            </w:pPr>
          </w:p>
        </w:tc>
      </w:tr>
      <w:tr w:rsidR="005B00F9" w14:paraId="50C47D67" w14:textId="0371A980" w:rsidTr="005B00F9">
        <w:trPr>
          <w:trHeight w:val="331"/>
        </w:trPr>
        <w:tc>
          <w:tcPr>
            <w:tcW w:w="4743" w:type="dxa"/>
            <w:tcBorders>
              <w:right w:val="single" w:sz="12" w:space="0" w:color="auto"/>
            </w:tcBorders>
            <w:vAlign w:val="center"/>
          </w:tcPr>
          <w:p w14:paraId="41D0D7E0" w14:textId="77777777" w:rsidR="005B00F9" w:rsidRDefault="005B00F9" w:rsidP="005B00F9">
            <w:pPr>
              <w:jc w:val="center"/>
              <w:rPr>
                <w:rFonts w:eastAsiaTheme="minorEastAsia"/>
              </w:rPr>
            </w:pPr>
            <w:r>
              <w:rPr>
                <w:rFonts w:eastAsiaTheme="minorEastAsia"/>
              </w:rPr>
              <w:t>Represents Risk for Contraindicated Uses</w:t>
            </w:r>
          </w:p>
        </w:tc>
        <w:tc>
          <w:tcPr>
            <w:tcW w:w="660" w:type="dxa"/>
            <w:tcBorders>
              <w:left w:val="single" w:sz="12" w:space="0" w:color="auto"/>
            </w:tcBorders>
            <w:vAlign w:val="center"/>
          </w:tcPr>
          <w:p w14:paraId="03F68B77" w14:textId="77777777" w:rsidR="005B00F9" w:rsidRPr="005B00F9" w:rsidRDefault="005B00F9" w:rsidP="005B00F9">
            <w:pPr>
              <w:jc w:val="center"/>
              <w:rPr>
                <w:rFonts w:eastAsiaTheme="minorEastAsia"/>
                <w:color w:val="00B050"/>
              </w:rPr>
            </w:pPr>
          </w:p>
        </w:tc>
        <w:tc>
          <w:tcPr>
            <w:tcW w:w="660" w:type="dxa"/>
            <w:vAlign w:val="center"/>
          </w:tcPr>
          <w:p w14:paraId="2450F49A" w14:textId="77777777"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5E3FE775" w14:textId="77777777" w:rsidR="005B00F9" w:rsidRPr="005B00F9" w:rsidRDefault="005B00F9" w:rsidP="005B00F9">
            <w:pPr>
              <w:jc w:val="center"/>
              <w:rPr>
                <w:rFonts w:eastAsiaTheme="minorEastAsia"/>
                <w:color w:val="00B050"/>
              </w:rPr>
            </w:pPr>
          </w:p>
        </w:tc>
        <w:tc>
          <w:tcPr>
            <w:tcW w:w="660" w:type="dxa"/>
            <w:vAlign w:val="center"/>
          </w:tcPr>
          <w:p w14:paraId="549F5F06" w14:textId="7DEA46CE"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3A803BE3" w14:textId="77777777" w:rsidR="005B00F9" w:rsidRPr="005B00F9" w:rsidRDefault="005B00F9" w:rsidP="005B00F9">
            <w:pPr>
              <w:jc w:val="center"/>
              <w:rPr>
                <w:rFonts w:eastAsiaTheme="minorEastAsia"/>
                <w:color w:val="00B050"/>
              </w:rPr>
            </w:pPr>
          </w:p>
        </w:tc>
        <w:tc>
          <w:tcPr>
            <w:tcW w:w="660" w:type="dxa"/>
            <w:vAlign w:val="center"/>
          </w:tcPr>
          <w:p w14:paraId="648649A1" w14:textId="68CDE640" w:rsidR="005B00F9" w:rsidRPr="005B00F9" w:rsidRDefault="005B00F9" w:rsidP="005B00F9">
            <w:pPr>
              <w:jc w:val="center"/>
              <w:rPr>
                <w:rFonts w:eastAsiaTheme="minorEastAsia"/>
                <w:color w:val="FF0000"/>
              </w:rPr>
            </w:pPr>
            <w:r w:rsidRPr="005B00F9">
              <w:rPr>
                <w:rFonts w:eastAsiaTheme="minorEastAsia"/>
                <w:color w:val="FF0000"/>
              </w:rPr>
              <w:t>X</w:t>
            </w:r>
          </w:p>
        </w:tc>
      </w:tr>
      <w:tr w:rsidR="005B00F9" w:rsidRPr="00074673" w14:paraId="12325E6F" w14:textId="0EC3A159" w:rsidTr="005B00F9">
        <w:trPr>
          <w:trHeight w:val="331"/>
        </w:trPr>
        <w:tc>
          <w:tcPr>
            <w:tcW w:w="4743" w:type="dxa"/>
            <w:tcBorders>
              <w:right w:val="single" w:sz="12" w:space="0" w:color="auto"/>
            </w:tcBorders>
            <w:vAlign w:val="center"/>
          </w:tcPr>
          <w:p w14:paraId="1D0BC0DF" w14:textId="77777777" w:rsidR="005B00F9" w:rsidRDefault="005B00F9" w:rsidP="005B00F9">
            <w:pPr>
              <w:jc w:val="center"/>
              <w:rPr>
                <w:rFonts w:eastAsiaTheme="minorEastAsia"/>
              </w:rPr>
            </w:pPr>
            <w:r>
              <w:rPr>
                <w:rFonts w:eastAsiaTheme="minorEastAsia"/>
              </w:rPr>
              <w:t>Represents Unmitigated Risk</w:t>
            </w:r>
          </w:p>
        </w:tc>
        <w:tc>
          <w:tcPr>
            <w:tcW w:w="660" w:type="dxa"/>
            <w:tcBorders>
              <w:left w:val="single" w:sz="12" w:space="0" w:color="auto"/>
            </w:tcBorders>
            <w:vAlign w:val="center"/>
          </w:tcPr>
          <w:p w14:paraId="66F2E66E" w14:textId="77777777" w:rsidR="005B00F9" w:rsidRPr="005B00F9" w:rsidRDefault="005B00F9" w:rsidP="005B00F9">
            <w:pPr>
              <w:jc w:val="center"/>
              <w:rPr>
                <w:rFonts w:eastAsiaTheme="minorEastAsia"/>
                <w:color w:val="00B050"/>
              </w:rPr>
            </w:pPr>
          </w:p>
        </w:tc>
        <w:tc>
          <w:tcPr>
            <w:tcW w:w="660" w:type="dxa"/>
            <w:vAlign w:val="center"/>
          </w:tcPr>
          <w:p w14:paraId="0F7EE560" w14:textId="77777777"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7893DD29" w14:textId="77777777" w:rsidR="005B00F9" w:rsidRPr="005B00F9" w:rsidRDefault="005B00F9" w:rsidP="005B00F9">
            <w:pPr>
              <w:jc w:val="center"/>
              <w:rPr>
                <w:rFonts w:eastAsiaTheme="minorEastAsia"/>
                <w:color w:val="00B050"/>
              </w:rPr>
            </w:pPr>
          </w:p>
        </w:tc>
        <w:tc>
          <w:tcPr>
            <w:tcW w:w="660" w:type="dxa"/>
            <w:vAlign w:val="center"/>
          </w:tcPr>
          <w:p w14:paraId="5B986E2C" w14:textId="1FAB4EC4"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0211907A" w14:textId="77777777" w:rsidR="005B00F9" w:rsidRPr="005B00F9" w:rsidRDefault="005B00F9" w:rsidP="005B00F9">
            <w:pPr>
              <w:jc w:val="center"/>
              <w:rPr>
                <w:rFonts w:eastAsiaTheme="minorEastAsia"/>
                <w:color w:val="00B050"/>
              </w:rPr>
            </w:pPr>
          </w:p>
        </w:tc>
        <w:tc>
          <w:tcPr>
            <w:tcW w:w="660" w:type="dxa"/>
            <w:vAlign w:val="center"/>
          </w:tcPr>
          <w:p w14:paraId="76E0542F" w14:textId="3E0725AD" w:rsidR="005B00F9" w:rsidRPr="005B00F9" w:rsidRDefault="005B00F9" w:rsidP="005B00F9">
            <w:pPr>
              <w:jc w:val="center"/>
              <w:rPr>
                <w:rFonts w:eastAsiaTheme="minorEastAsia"/>
                <w:color w:val="FF0000"/>
              </w:rPr>
            </w:pPr>
            <w:r w:rsidRPr="005B00F9">
              <w:rPr>
                <w:rFonts w:eastAsiaTheme="minorEastAsia"/>
                <w:color w:val="FF0000"/>
              </w:rPr>
              <w:t>X</w:t>
            </w:r>
          </w:p>
        </w:tc>
      </w:tr>
      <w:tr w:rsidR="005B00F9" w:rsidRPr="00074673" w14:paraId="37D8E2D3" w14:textId="170A944D" w:rsidTr="005B00F9">
        <w:trPr>
          <w:trHeight w:val="331"/>
        </w:trPr>
        <w:tc>
          <w:tcPr>
            <w:tcW w:w="4743" w:type="dxa"/>
            <w:tcBorders>
              <w:right w:val="single" w:sz="12" w:space="0" w:color="auto"/>
            </w:tcBorders>
            <w:vAlign w:val="center"/>
          </w:tcPr>
          <w:p w14:paraId="315D7189" w14:textId="77777777" w:rsidR="005B00F9" w:rsidRDefault="005B00F9" w:rsidP="005B00F9">
            <w:pPr>
              <w:jc w:val="center"/>
              <w:rPr>
                <w:rFonts w:eastAsiaTheme="minorEastAsia"/>
              </w:rPr>
            </w:pPr>
            <w:r>
              <w:rPr>
                <w:rFonts w:eastAsiaTheme="minorEastAsia"/>
              </w:rPr>
              <w:t>Represents Mitigated Risk</w:t>
            </w:r>
          </w:p>
        </w:tc>
        <w:tc>
          <w:tcPr>
            <w:tcW w:w="660" w:type="dxa"/>
            <w:tcBorders>
              <w:left w:val="single" w:sz="12" w:space="0" w:color="auto"/>
            </w:tcBorders>
            <w:vAlign w:val="center"/>
          </w:tcPr>
          <w:p w14:paraId="68D96ADC" w14:textId="77777777"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77E56ECF" w14:textId="77777777" w:rsidR="005B00F9" w:rsidRPr="005B00F9" w:rsidRDefault="005B00F9" w:rsidP="005B00F9">
            <w:pPr>
              <w:jc w:val="center"/>
              <w:rPr>
                <w:rFonts w:eastAsiaTheme="minorEastAsia"/>
                <w:color w:val="FF0000"/>
              </w:rPr>
            </w:pPr>
          </w:p>
        </w:tc>
        <w:tc>
          <w:tcPr>
            <w:tcW w:w="660" w:type="dxa"/>
            <w:tcBorders>
              <w:left w:val="single" w:sz="12" w:space="0" w:color="auto"/>
            </w:tcBorders>
            <w:vAlign w:val="center"/>
          </w:tcPr>
          <w:p w14:paraId="5B73897A" w14:textId="09F9677C"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7A6DED74" w14:textId="77777777" w:rsidR="005B00F9" w:rsidRPr="005B00F9" w:rsidRDefault="005B00F9" w:rsidP="005B00F9">
            <w:pPr>
              <w:jc w:val="center"/>
              <w:rPr>
                <w:rFonts w:eastAsiaTheme="minorEastAsia"/>
                <w:color w:val="FF0000"/>
              </w:rPr>
            </w:pPr>
          </w:p>
        </w:tc>
        <w:tc>
          <w:tcPr>
            <w:tcW w:w="660" w:type="dxa"/>
            <w:tcBorders>
              <w:left w:val="single" w:sz="12" w:space="0" w:color="auto"/>
            </w:tcBorders>
            <w:vAlign w:val="center"/>
          </w:tcPr>
          <w:p w14:paraId="0BE816E2" w14:textId="333D446D"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61C28576" w14:textId="77777777" w:rsidR="005B00F9" w:rsidRPr="005B00F9" w:rsidRDefault="005B00F9" w:rsidP="005B00F9">
            <w:pPr>
              <w:jc w:val="center"/>
              <w:rPr>
                <w:rFonts w:eastAsiaTheme="minorEastAsia"/>
                <w:color w:val="FF0000"/>
              </w:rPr>
            </w:pPr>
          </w:p>
        </w:tc>
      </w:tr>
      <w:tr w:rsidR="005B00F9" w14:paraId="53385DF6" w14:textId="7E86E3E5" w:rsidTr="005B00F9">
        <w:trPr>
          <w:trHeight w:val="331"/>
        </w:trPr>
        <w:tc>
          <w:tcPr>
            <w:tcW w:w="4743" w:type="dxa"/>
            <w:tcBorders>
              <w:right w:val="single" w:sz="12" w:space="0" w:color="auto"/>
            </w:tcBorders>
            <w:vAlign w:val="center"/>
          </w:tcPr>
          <w:p w14:paraId="16829A96" w14:textId="35A52597" w:rsidR="005B00F9" w:rsidRDefault="005B00F9" w:rsidP="005B00F9">
            <w:pPr>
              <w:jc w:val="center"/>
              <w:rPr>
                <w:rFonts w:eastAsiaTheme="minorEastAsia"/>
              </w:rPr>
            </w:pPr>
            <w:r>
              <w:rPr>
                <w:rFonts w:eastAsiaTheme="minorEastAsia"/>
              </w:rPr>
              <w:t xml:space="preserve">Represents Risk for Expected </w:t>
            </w:r>
            <w:r w:rsidR="00026C48">
              <w:rPr>
                <w:rFonts w:eastAsiaTheme="minorEastAsia"/>
              </w:rPr>
              <w:t>Misuse</w:t>
            </w:r>
          </w:p>
        </w:tc>
        <w:tc>
          <w:tcPr>
            <w:tcW w:w="660" w:type="dxa"/>
            <w:tcBorders>
              <w:left w:val="single" w:sz="12" w:space="0" w:color="auto"/>
            </w:tcBorders>
            <w:vAlign w:val="center"/>
          </w:tcPr>
          <w:p w14:paraId="2B712F7B" w14:textId="77777777" w:rsidR="005B00F9" w:rsidRPr="005B00F9" w:rsidRDefault="005B00F9" w:rsidP="005B00F9">
            <w:pPr>
              <w:jc w:val="center"/>
              <w:rPr>
                <w:rFonts w:eastAsiaTheme="minorEastAsia"/>
                <w:color w:val="00B050"/>
              </w:rPr>
            </w:pPr>
          </w:p>
        </w:tc>
        <w:tc>
          <w:tcPr>
            <w:tcW w:w="660" w:type="dxa"/>
            <w:vAlign w:val="center"/>
          </w:tcPr>
          <w:p w14:paraId="303743FF" w14:textId="77777777"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0EC8842" w14:textId="77777777" w:rsidR="005B00F9" w:rsidRPr="005B00F9" w:rsidRDefault="005B00F9" w:rsidP="005B00F9">
            <w:pPr>
              <w:jc w:val="center"/>
              <w:rPr>
                <w:rFonts w:eastAsiaTheme="minorEastAsia"/>
                <w:color w:val="00B050"/>
              </w:rPr>
            </w:pPr>
          </w:p>
        </w:tc>
        <w:tc>
          <w:tcPr>
            <w:tcW w:w="660" w:type="dxa"/>
            <w:vAlign w:val="center"/>
          </w:tcPr>
          <w:p w14:paraId="5D33F4BC" w14:textId="4003AEF4"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7E1B4D7" w14:textId="5076D6A0" w:rsidR="005B00F9" w:rsidRPr="005B00F9" w:rsidRDefault="005B00F9" w:rsidP="005B00F9">
            <w:pPr>
              <w:jc w:val="center"/>
              <w:rPr>
                <w:rFonts w:eastAsiaTheme="minorEastAsia"/>
                <w:color w:val="00B050"/>
              </w:rPr>
            </w:pPr>
            <w:r w:rsidRPr="005B00F9">
              <w:rPr>
                <w:rFonts w:eastAsiaTheme="minorEastAsia"/>
                <w:color w:val="00B050"/>
              </w:rPr>
              <w:t>X</w:t>
            </w:r>
          </w:p>
        </w:tc>
        <w:tc>
          <w:tcPr>
            <w:tcW w:w="660" w:type="dxa"/>
            <w:vAlign w:val="center"/>
          </w:tcPr>
          <w:p w14:paraId="48E35E44" w14:textId="77777777" w:rsidR="005B00F9" w:rsidRPr="005B00F9" w:rsidRDefault="005B00F9" w:rsidP="005B00F9">
            <w:pPr>
              <w:jc w:val="center"/>
              <w:rPr>
                <w:rFonts w:eastAsiaTheme="minorEastAsia"/>
                <w:color w:val="FF0000"/>
              </w:rPr>
            </w:pPr>
          </w:p>
        </w:tc>
      </w:tr>
      <w:tr w:rsidR="005B00F9" w14:paraId="15780771" w14:textId="55A43F74" w:rsidTr="005B00F9">
        <w:trPr>
          <w:trHeight w:val="331"/>
        </w:trPr>
        <w:tc>
          <w:tcPr>
            <w:tcW w:w="4743" w:type="dxa"/>
            <w:tcBorders>
              <w:right w:val="single" w:sz="12" w:space="0" w:color="auto"/>
            </w:tcBorders>
            <w:vAlign w:val="center"/>
          </w:tcPr>
          <w:p w14:paraId="3479756B" w14:textId="61CB75B4" w:rsidR="005B00F9" w:rsidRDefault="005B00F9" w:rsidP="005B00F9">
            <w:pPr>
              <w:jc w:val="center"/>
              <w:rPr>
                <w:rFonts w:eastAsiaTheme="minorEastAsia"/>
              </w:rPr>
            </w:pPr>
            <w:r>
              <w:rPr>
                <w:rFonts w:eastAsiaTheme="minorEastAsia"/>
              </w:rPr>
              <w:t xml:space="preserve">Represents Risk for Unexpected </w:t>
            </w:r>
            <w:r w:rsidR="00026C48">
              <w:rPr>
                <w:rFonts w:eastAsiaTheme="minorEastAsia"/>
              </w:rPr>
              <w:t>Misuse</w:t>
            </w:r>
          </w:p>
        </w:tc>
        <w:tc>
          <w:tcPr>
            <w:tcW w:w="660" w:type="dxa"/>
            <w:tcBorders>
              <w:left w:val="single" w:sz="12" w:space="0" w:color="auto"/>
            </w:tcBorders>
            <w:vAlign w:val="center"/>
          </w:tcPr>
          <w:p w14:paraId="329A558D" w14:textId="77777777" w:rsidR="005B00F9" w:rsidRPr="005B00F9" w:rsidRDefault="005B00F9" w:rsidP="005B00F9">
            <w:pPr>
              <w:jc w:val="center"/>
              <w:rPr>
                <w:rFonts w:eastAsiaTheme="minorEastAsia"/>
                <w:color w:val="00B050"/>
              </w:rPr>
            </w:pPr>
          </w:p>
        </w:tc>
        <w:tc>
          <w:tcPr>
            <w:tcW w:w="660" w:type="dxa"/>
            <w:vAlign w:val="center"/>
          </w:tcPr>
          <w:p w14:paraId="65D0C73B" w14:textId="77777777"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29779C97" w14:textId="77777777" w:rsidR="005B00F9" w:rsidRPr="005B00F9" w:rsidRDefault="005B00F9" w:rsidP="005B00F9">
            <w:pPr>
              <w:jc w:val="center"/>
              <w:rPr>
                <w:rFonts w:eastAsiaTheme="minorEastAsia"/>
                <w:color w:val="00B050"/>
              </w:rPr>
            </w:pPr>
          </w:p>
        </w:tc>
        <w:tc>
          <w:tcPr>
            <w:tcW w:w="660" w:type="dxa"/>
            <w:vAlign w:val="center"/>
          </w:tcPr>
          <w:p w14:paraId="6CBF0BDE" w14:textId="685B953D" w:rsidR="005B00F9" w:rsidRPr="005B00F9" w:rsidRDefault="005B00F9" w:rsidP="005B00F9">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9231C6F" w14:textId="77777777" w:rsidR="005B00F9" w:rsidRPr="005B00F9" w:rsidRDefault="005B00F9" w:rsidP="005B00F9">
            <w:pPr>
              <w:jc w:val="center"/>
              <w:rPr>
                <w:rFonts w:eastAsiaTheme="minorEastAsia"/>
                <w:color w:val="00B050"/>
              </w:rPr>
            </w:pPr>
          </w:p>
        </w:tc>
        <w:tc>
          <w:tcPr>
            <w:tcW w:w="660" w:type="dxa"/>
            <w:vAlign w:val="center"/>
          </w:tcPr>
          <w:p w14:paraId="73069940" w14:textId="7A148779" w:rsidR="005B00F9" w:rsidRPr="005B00F9" w:rsidRDefault="005B00F9" w:rsidP="005B00F9">
            <w:pPr>
              <w:jc w:val="center"/>
              <w:rPr>
                <w:rFonts w:eastAsiaTheme="minorEastAsia"/>
                <w:color w:val="FF0000"/>
              </w:rPr>
            </w:pPr>
            <w:r w:rsidRPr="005B00F9">
              <w:rPr>
                <w:rFonts w:eastAsiaTheme="minorEastAsia"/>
                <w:color w:val="FF0000"/>
              </w:rPr>
              <w:t>X</w:t>
            </w:r>
          </w:p>
        </w:tc>
      </w:tr>
      <w:tr w:rsidR="003F0403" w14:paraId="1C767FFD" w14:textId="77777777" w:rsidTr="005B00F9">
        <w:trPr>
          <w:trHeight w:val="331"/>
        </w:trPr>
        <w:tc>
          <w:tcPr>
            <w:tcW w:w="4743" w:type="dxa"/>
            <w:tcBorders>
              <w:right w:val="single" w:sz="12" w:space="0" w:color="auto"/>
            </w:tcBorders>
            <w:vAlign w:val="center"/>
          </w:tcPr>
          <w:p w14:paraId="11EC5195" w14:textId="75EDA3DA" w:rsidR="003F0403" w:rsidRDefault="00D72E60" w:rsidP="003F0403">
            <w:pPr>
              <w:jc w:val="center"/>
              <w:rPr>
                <w:rFonts w:eastAsiaTheme="minorEastAsia"/>
              </w:rPr>
            </w:pPr>
            <w:r>
              <w:rPr>
                <w:rFonts w:eastAsiaTheme="minorEastAsia"/>
              </w:rPr>
              <w:t xml:space="preserve">Represents Individual Residual Risks, per </w:t>
            </w:r>
            <w:r w:rsidR="00FC5D0C">
              <w:rPr>
                <w:rFonts w:eastAsiaTheme="minorEastAsia"/>
              </w:rPr>
              <w:t xml:space="preserve">the </w:t>
            </w:r>
            <w:r>
              <w:rPr>
                <w:rFonts w:eastAsiaTheme="minorEastAsia"/>
              </w:rPr>
              <w:t>definition of ‘Residual Risk’ in ISO 14971</w:t>
            </w:r>
          </w:p>
        </w:tc>
        <w:tc>
          <w:tcPr>
            <w:tcW w:w="660" w:type="dxa"/>
            <w:tcBorders>
              <w:left w:val="single" w:sz="12" w:space="0" w:color="auto"/>
            </w:tcBorders>
            <w:vAlign w:val="center"/>
          </w:tcPr>
          <w:p w14:paraId="3202864A" w14:textId="77777777" w:rsidR="003F0403" w:rsidRPr="005B00F9" w:rsidRDefault="003F0403" w:rsidP="003F0403">
            <w:pPr>
              <w:jc w:val="center"/>
              <w:rPr>
                <w:rFonts w:eastAsiaTheme="minorEastAsia"/>
                <w:color w:val="00B050"/>
              </w:rPr>
            </w:pPr>
          </w:p>
        </w:tc>
        <w:tc>
          <w:tcPr>
            <w:tcW w:w="660" w:type="dxa"/>
            <w:vAlign w:val="center"/>
          </w:tcPr>
          <w:p w14:paraId="25E69176" w14:textId="6ACAC601"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96727C6" w14:textId="77777777" w:rsidR="003F0403" w:rsidRPr="005B00F9" w:rsidRDefault="003F0403" w:rsidP="003F0403">
            <w:pPr>
              <w:jc w:val="center"/>
              <w:rPr>
                <w:rFonts w:eastAsiaTheme="minorEastAsia"/>
                <w:color w:val="00B050"/>
              </w:rPr>
            </w:pPr>
          </w:p>
        </w:tc>
        <w:tc>
          <w:tcPr>
            <w:tcW w:w="660" w:type="dxa"/>
            <w:vAlign w:val="center"/>
          </w:tcPr>
          <w:p w14:paraId="256D8A7B" w14:textId="001B09DB"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76666952" w14:textId="2855C2D8" w:rsidR="003F0403" w:rsidRPr="005B00F9" w:rsidRDefault="003F0403" w:rsidP="003F0403">
            <w:pPr>
              <w:jc w:val="center"/>
              <w:rPr>
                <w:rFonts w:eastAsiaTheme="minorEastAsia"/>
                <w:color w:val="00B050"/>
              </w:rPr>
            </w:pPr>
            <w:r w:rsidRPr="005B00F9">
              <w:rPr>
                <w:rFonts w:eastAsiaTheme="minorEastAsia"/>
                <w:color w:val="00B050"/>
              </w:rPr>
              <w:t>X</w:t>
            </w:r>
          </w:p>
        </w:tc>
        <w:tc>
          <w:tcPr>
            <w:tcW w:w="660" w:type="dxa"/>
            <w:vAlign w:val="center"/>
          </w:tcPr>
          <w:p w14:paraId="51E36A6C" w14:textId="77777777" w:rsidR="003F0403" w:rsidRPr="005B00F9" w:rsidRDefault="003F0403" w:rsidP="003F0403">
            <w:pPr>
              <w:jc w:val="center"/>
              <w:rPr>
                <w:rFonts w:eastAsiaTheme="minorEastAsia"/>
                <w:color w:val="FF0000"/>
              </w:rPr>
            </w:pPr>
          </w:p>
        </w:tc>
      </w:tr>
      <w:tr w:rsidR="003F0403" w14:paraId="0526C7D5" w14:textId="5F321EAA" w:rsidTr="005B00F9">
        <w:trPr>
          <w:trHeight w:val="331"/>
        </w:trPr>
        <w:tc>
          <w:tcPr>
            <w:tcW w:w="4743" w:type="dxa"/>
            <w:tcBorders>
              <w:right w:val="single" w:sz="12" w:space="0" w:color="auto"/>
            </w:tcBorders>
            <w:vAlign w:val="center"/>
          </w:tcPr>
          <w:p w14:paraId="38C227D5" w14:textId="4955A48E" w:rsidR="003F0403" w:rsidRDefault="003F0403" w:rsidP="003F0403">
            <w:pPr>
              <w:jc w:val="center"/>
              <w:rPr>
                <w:rFonts w:eastAsiaTheme="minorEastAsia"/>
              </w:rPr>
            </w:pPr>
            <w:r>
              <w:rPr>
                <w:rFonts w:eastAsiaTheme="minorEastAsia"/>
              </w:rPr>
              <w:t xml:space="preserve">Represents Risk from the Patient’s Health </w:t>
            </w:r>
            <w:r w:rsidR="00485062">
              <w:rPr>
                <w:rFonts w:eastAsiaTheme="minorEastAsia"/>
              </w:rPr>
              <w:t>Condition</w:t>
            </w:r>
            <w:r>
              <w:rPr>
                <w:rFonts w:eastAsiaTheme="minorEastAsia"/>
              </w:rPr>
              <w:t xml:space="preserve"> </w:t>
            </w:r>
            <w:r w:rsidR="00485062" w:rsidRPr="00485062">
              <w:rPr>
                <w:b/>
                <w:bCs/>
                <w:u w:val="single"/>
              </w:rPr>
              <w:t>B</w:t>
            </w:r>
            <w:r>
              <w:rPr>
                <w:rFonts w:eastAsiaTheme="minorEastAsia"/>
              </w:rPr>
              <w:t xml:space="preserve">efore the </w:t>
            </w:r>
            <w:r w:rsidR="00156804">
              <w:rPr>
                <w:rFonts w:eastAsiaTheme="minorEastAsia"/>
              </w:rPr>
              <w:t xml:space="preserve">Medical </w:t>
            </w:r>
            <w:r>
              <w:rPr>
                <w:rFonts w:eastAsiaTheme="minorEastAsia"/>
              </w:rPr>
              <w:t>Treatment</w:t>
            </w:r>
          </w:p>
        </w:tc>
        <w:tc>
          <w:tcPr>
            <w:tcW w:w="660" w:type="dxa"/>
            <w:tcBorders>
              <w:left w:val="single" w:sz="12" w:space="0" w:color="auto"/>
            </w:tcBorders>
            <w:vAlign w:val="center"/>
          </w:tcPr>
          <w:p w14:paraId="0B7EEF8C" w14:textId="3FA8BBC1" w:rsidR="003F0403" w:rsidRPr="005B00F9" w:rsidRDefault="003F0403" w:rsidP="003F0403">
            <w:pPr>
              <w:jc w:val="center"/>
              <w:rPr>
                <w:rFonts w:eastAsiaTheme="minorEastAsia"/>
                <w:color w:val="00B050"/>
              </w:rPr>
            </w:pPr>
            <w:r w:rsidRPr="005B00F9">
              <w:rPr>
                <w:rFonts w:eastAsiaTheme="minorEastAsia"/>
                <w:color w:val="00B050"/>
              </w:rPr>
              <w:t>X</w:t>
            </w:r>
          </w:p>
        </w:tc>
        <w:tc>
          <w:tcPr>
            <w:tcW w:w="660" w:type="dxa"/>
            <w:vAlign w:val="center"/>
          </w:tcPr>
          <w:p w14:paraId="1FB8872F" w14:textId="5033EAE5" w:rsidR="003F0403" w:rsidRPr="005B00F9" w:rsidRDefault="003F0403" w:rsidP="003F0403">
            <w:pPr>
              <w:jc w:val="center"/>
              <w:rPr>
                <w:rFonts w:eastAsiaTheme="minorEastAsia"/>
                <w:color w:val="FF0000"/>
              </w:rPr>
            </w:pPr>
          </w:p>
        </w:tc>
        <w:tc>
          <w:tcPr>
            <w:tcW w:w="660" w:type="dxa"/>
            <w:tcBorders>
              <w:left w:val="single" w:sz="12" w:space="0" w:color="auto"/>
            </w:tcBorders>
            <w:vAlign w:val="center"/>
          </w:tcPr>
          <w:p w14:paraId="79D143C5" w14:textId="77777777" w:rsidR="003F0403" w:rsidRPr="005B00F9" w:rsidRDefault="003F0403" w:rsidP="003F0403">
            <w:pPr>
              <w:jc w:val="center"/>
              <w:rPr>
                <w:rFonts w:eastAsiaTheme="minorEastAsia"/>
                <w:color w:val="00B050"/>
              </w:rPr>
            </w:pPr>
          </w:p>
        </w:tc>
        <w:tc>
          <w:tcPr>
            <w:tcW w:w="660" w:type="dxa"/>
            <w:vAlign w:val="center"/>
          </w:tcPr>
          <w:p w14:paraId="6C21E48F" w14:textId="1C7933C2"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20CF47B0" w14:textId="77777777" w:rsidR="003F0403" w:rsidRPr="005B00F9" w:rsidRDefault="003F0403" w:rsidP="003F0403">
            <w:pPr>
              <w:jc w:val="center"/>
              <w:rPr>
                <w:rFonts w:eastAsiaTheme="minorEastAsia"/>
                <w:color w:val="00B050"/>
              </w:rPr>
            </w:pPr>
          </w:p>
        </w:tc>
        <w:tc>
          <w:tcPr>
            <w:tcW w:w="660" w:type="dxa"/>
            <w:vAlign w:val="center"/>
          </w:tcPr>
          <w:p w14:paraId="4AFDDBF1" w14:textId="009E1483" w:rsidR="003F0403" w:rsidRPr="005B00F9" w:rsidRDefault="003F0403" w:rsidP="003F0403">
            <w:pPr>
              <w:jc w:val="center"/>
              <w:rPr>
                <w:rFonts w:eastAsiaTheme="minorEastAsia"/>
                <w:color w:val="FF0000"/>
              </w:rPr>
            </w:pPr>
            <w:r w:rsidRPr="005B00F9">
              <w:rPr>
                <w:rFonts w:eastAsiaTheme="minorEastAsia"/>
                <w:color w:val="FF0000"/>
              </w:rPr>
              <w:t>X</w:t>
            </w:r>
          </w:p>
        </w:tc>
      </w:tr>
      <w:tr w:rsidR="003F0403" w14:paraId="07C33C54" w14:textId="07EB7E73" w:rsidTr="005B00F9">
        <w:trPr>
          <w:trHeight w:val="331"/>
        </w:trPr>
        <w:tc>
          <w:tcPr>
            <w:tcW w:w="4743" w:type="dxa"/>
            <w:tcBorders>
              <w:right w:val="single" w:sz="12" w:space="0" w:color="auto"/>
            </w:tcBorders>
            <w:vAlign w:val="center"/>
          </w:tcPr>
          <w:p w14:paraId="3BCCDADF" w14:textId="4CBC5137" w:rsidR="003F0403" w:rsidRDefault="003F0403" w:rsidP="003F0403">
            <w:pPr>
              <w:jc w:val="center"/>
              <w:rPr>
                <w:rFonts w:eastAsiaTheme="minorEastAsia"/>
              </w:rPr>
            </w:pPr>
            <w:r>
              <w:rPr>
                <w:rFonts w:eastAsiaTheme="minorEastAsia"/>
              </w:rPr>
              <w:t xml:space="preserve">Represents Risk from the Patient’s Health </w:t>
            </w:r>
            <w:r w:rsidR="00485062">
              <w:rPr>
                <w:rFonts w:eastAsiaTheme="minorEastAsia"/>
              </w:rPr>
              <w:t>Condition</w:t>
            </w:r>
            <w:r>
              <w:rPr>
                <w:rFonts w:eastAsiaTheme="minorEastAsia"/>
              </w:rPr>
              <w:t xml:space="preserve"> </w:t>
            </w:r>
            <w:r w:rsidR="00485062" w:rsidRPr="00485062">
              <w:rPr>
                <w:rFonts w:eastAsiaTheme="minorEastAsia"/>
                <w:b/>
                <w:bCs/>
                <w:u w:val="single"/>
              </w:rPr>
              <w:t>A</w:t>
            </w:r>
            <w:r>
              <w:rPr>
                <w:rFonts w:eastAsiaTheme="minorEastAsia"/>
              </w:rPr>
              <w:t xml:space="preserve">fter the </w:t>
            </w:r>
            <w:r w:rsidR="00156804">
              <w:rPr>
                <w:rFonts w:eastAsiaTheme="minorEastAsia"/>
              </w:rPr>
              <w:t xml:space="preserve">Medical </w:t>
            </w:r>
            <w:r>
              <w:rPr>
                <w:rFonts w:eastAsiaTheme="minorEastAsia"/>
              </w:rPr>
              <w:t>Treatment</w:t>
            </w:r>
          </w:p>
        </w:tc>
        <w:tc>
          <w:tcPr>
            <w:tcW w:w="660" w:type="dxa"/>
            <w:tcBorders>
              <w:left w:val="single" w:sz="12" w:space="0" w:color="auto"/>
            </w:tcBorders>
            <w:vAlign w:val="center"/>
          </w:tcPr>
          <w:p w14:paraId="3CF56219" w14:textId="0ED5EB18" w:rsidR="003F0403" w:rsidRPr="005B00F9" w:rsidRDefault="003F0403" w:rsidP="003F0403">
            <w:pPr>
              <w:jc w:val="center"/>
              <w:rPr>
                <w:rFonts w:eastAsiaTheme="minorEastAsia"/>
                <w:color w:val="00B050"/>
              </w:rPr>
            </w:pPr>
          </w:p>
        </w:tc>
        <w:tc>
          <w:tcPr>
            <w:tcW w:w="660" w:type="dxa"/>
            <w:vAlign w:val="center"/>
          </w:tcPr>
          <w:p w14:paraId="2CC11EB1" w14:textId="72C73E90"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9013920" w14:textId="70C350D9" w:rsidR="003F0403" w:rsidRPr="005B00F9" w:rsidRDefault="003F0403" w:rsidP="003F0403">
            <w:pPr>
              <w:jc w:val="center"/>
              <w:rPr>
                <w:rFonts w:eastAsiaTheme="minorEastAsia"/>
                <w:color w:val="00B050"/>
              </w:rPr>
            </w:pPr>
            <w:r w:rsidRPr="005B00F9">
              <w:rPr>
                <w:rFonts w:eastAsiaTheme="minorEastAsia"/>
                <w:color w:val="00B050"/>
              </w:rPr>
              <w:t>X</w:t>
            </w:r>
          </w:p>
        </w:tc>
        <w:tc>
          <w:tcPr>
            <w:tcW w:w="660" w:type="dxa"/>
            <w:vAlign w:val="center"/>
          </w:tcPr>
          <w:p w14:paraId="5EF9525F" w14:textId="77777777" w:rsidR="003F0403" w:rsidRPr="005B00F9" w:rsidRDefault="003F0403" w:rsidP="003F0403">
            <w:pPr>
              <w:jc w:val="center"/>
              <w:rPr>
                <w:rFonts w:eastAsiaTheme="minorEastAsia"/>
                <w:color w:val="FF0000"/>
              </w:rPr>
            </w:pPr>
          </w:p>
        </w:tc>
        <w:tc>
          <w:tcPr>
            <w:tcW w:w="660" w:type="dxa"/>
            <w:tcBorders>
              <w:left w:val="single" w:sz="12" w:space="0" w:color="auto"/>
            </w:tcBorders>
            <w:vAlign w:val="center"/>
          </w:tcPr>
          <w:p w14:paraId="705EC9B5" w14:textId="77777777" w:rsidR="003F0403" w:rsidRPr="005B00F9" w:rsidRDefault="003F0403" w:rsidP="003F0403">
            <w:pPr>
              <w:jc w:val="center"/>
              <w:rPr>
                <w:rFonts w:eastAsiaTheme="minorEastAsia"/>
                <w:color w:val="00B050"/>
              </w:rPr>
            </w:pPr>
          </w:p>
        </w:tc>
        <w:tc>
          <w:tcPr>
            <w:tcW w:w="660" w:type="dxa"/>
            <w:vAlign w:val="center"/>
          </w:tcPr>
          <w:p w14:paraId="7F6D0CFA" w14:textId="4B859A44" w:rsidR="003F0403" w:rsidRPr="005B00F9" w:rsidRDefault="003F0403" w:rsidP="003F0403">
            <w:pPr>
              <w:jc w:val="center"/>
              <w:rPr>
                <w:rFonts w:eastAsiaTheme="minorEastAsia"/>
                <w:color w:val="FF0000"/>
              </w:rPr>
            </w:pPr>
            <w:r w:rsidRPr="005B00F9">
              <w:rPr>
                <w:rFonts w:eastAsiaTheme="minorEastAsia"/>
                <w:color w:val="FF0000"/>
              </w:rPr>
              <w:t>X</w:t>
            </w:r>
          </w:p>
        </w:tc>
      </w:tr>
      <w:tr w:rsidR="003F0403" w14:paraId="5A2AD8C0" w14:textId="1597C623" w:rsidTr="005B00F9">
        <w:trPr>
          <w:trHeight w:val="331"/>
        </w:trPr>
        <w:tc>
          <w:tcPr>
            <w:tcW w:w="4743" w:type="dxa"/>
            <w:tcBorders>
              <w:right w:val="single" w:sz="12" w:space="0" w:color="auto"/>
            </w:tcBorders>
            <w:vAlign w:val="center"/>
          </w:tcPr>
          <w:p w14:paraId="67EE15B1" w14:textId="430DE4D6" w:rsidR="003F0403" w:rsidRDefault="003F0403" w:rsidP="003F0403">
            <w:pPr>
              <w:jc w:val="center"/>
              <w:rPr>
                <w:rFonts w:eastAsiaTheme="minorEastAsia"/>
              </w:rPr>
            </w:pPr>
            <w:r>
              <w:rPr>
                <w:rFonts w:eastAsiaTheme="minorEastAsia"/>
              </w:rPr>
              <w:t xml:space="preserve">Represents </w:t>
            </w:r>
            <w:r w:rsidRPr="00485062">
              <w:rPr>
                <w:rFonts w:eastAsiaTheme="minorEastAsia"/>
                <w:b/>
                <w:bCs/>
                <w:u w:val="single"/>
              </w:rPr>
              <w:t>R</w:t>
            </w:r>
            <w:r>
              <w:rPr>
                <w:rFonts w:eastAsiaTheme="minorEastAsia"/>
              </w:rPr>
              <w:t xml:space="preserve">isk from the </w:t>
            </w:r>
            <w:r w:rsidR="00156804">
              <w:rPr>
                <w:rFonts w:eastAsiaTheme="minorEastAsia"/>
              </w:rPr>
              <w:t xml:space="preserve">Medical </w:t>
            </w:r>
            <w:r>
              <w:rPr>
                <w:rFonts w:eastAsiaTheme="minorEastAsia"/>
              </w:rPr>
              <w:t>Treatment</w:t>
            </w:r>
          </w:p>
        </w:tc>
        <w:tc>
          <w:tcPr>
            <w:tcW w:w="660" w:type="dxa"/>
            <w:tcBorders>
              <w:left w:val="single" w:sz="12" w:space="0" w:color="auto"/>
            </w:tcBorders>
            <w:vAlign w:val="center"/>
          </w:tcPr>
          <w:p w14:paraId="33C30377" w14:textId="77777777" w:rsidR="003F0403" w:rsidRPr="005B00F9" w:rsidRDefault="003F0403" w:rsidP="003F0403">
            <w:pPr>
              <w:jc w:val="center"/>
              <w:rPr>
                <w:rFonts w:eastAsiaTheme="minorEastAsia"/>
                <w:color w:val="00B050"/>
              </w:rPr>
            </w:pPr>
          </w:p>
        </w:tc>
        <w:tc>
          <w:tcPr>
            <w:tcW w:w="660" w:type="dxa"/>
            <w:vAlign w:val="center"/>
          </w:tcPr>
          <w:p w14:paraId="5B68AFBD" w14:textId="77777777"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4B7AC31E" w14:textId="77777777" w:rsidR="003F0403" w:rsidRPr="005B00F9" w:rsidRDefault="003F0403" w:rsidP="003F0403">
            <w:pPr>
              <w:jc w:val="center"/>
              <w:rPr>
                <w:rFonts w:eastAsiaTheme="minorEastAsia"/>
                <w:color w:val="00B050"/>
              </w:rPr>
            </w:pPr>
          </w:p>
        </w:tc>
        <w:tc>
          <w:tcPr>
            <w:tcW w:w="660" w:type="dxa"/>
            <w:vAlign w:val="center"/>
          </w:tcPr>
          <w:p w14:paraId="3F9C2207" w14:textId="10017797" w:rsidR="003F0403" w:rsidRPr="005B00F9" w:rsidRDefault="003F0403" w:rsidP="003F0403">
            <w:pPr>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7A98F52B" w14:textId="5F7BF0C7" w:rsidR="003F0403" w:rsidRPr="005B00F9" w:rsidRDefault="003F0403" w:rsidP="003F0403">
            <w:pPr>
              <w:jc w:val="center"/>
              <w:rPr>
                <w:rFonts w:eastAsiaTheme="minorEastAsia"/>
                <w:color w:val="00B050"/>
              </w:rPr>
            </w:pPr>
            <w:r w:rsidRPr="005B00F9">
              <w:rPr>
                <w:rFonts w:eastAsiaTheme="minorEastAsia"/>
                <w:color w:val="00B050"/>
              </w:rPr>
              <w:t>X</w:t>
            </w:r>
          </w:p>
        </w:tc>
        <w:tc>
          <w:tcPr>
            <w:tcW w:w="660" w:type="dxa"/>
            <w:vAlign w:val="center"/>
          </w:tcPr>
          <w:p w14:paraId="59026543" w14:textId="77777777" w:rsidR="003F0403" w:rsidRPr="005B00F9" w:rsidRDefault="003F0403" w:rsidP="003F0403">
            <w:pPr>
              <w:jc w:val="center"/>
              <w:rPr>
                <w:rFonts w:eastAsiaTheme="minorEastAsia"/>
                <w:color w:val="FF0000"/>
              </w:rPr>
            </w:pPr>
          </w:p>
        </w:tc>
      </w:tr>
      <w:tr w:rsidR="003F0403" w14:paraId="5A02A98C" w14:textId="4BF391E2" w:rsidTr="005B00F9">
        <w:trPr>
          <w:trHeight w:val="331"/>
        </w:trPr>
        <w:tc>
          <w:tcPr>
            <w:tcW w:w="4743" w:type="dxa"/>
            <w:tcBorders>
              <w:right w:val="single" w:sz="12" w:space="0" w:color="auto"/>
            </w:tcBorders>
            <w:vAlign w:val="center"/>
          </w:tcPr>
          <w:p w14:paraId="38CA1797" w14:textId="67C84423" w:rsidR="003F0403" w:rsidRDefault="003F0403" w:rsidP="003F0403">
            <w:pPr>
              <w:jc w:val="center"/>
              <w:rPr>
                <w:rFonts w:eastAsiaTheme="minorEastAsia"/>
              </w:rPr>
            </w:pPr>
            <w:r>
              <w:rPr>
                <w:rFonts w:eastAsiaTheme="minorEastAsia"/>
              </w:rPr>
              <w:t xml:space="preserve">Represents </w:t>
            </w:r>
            <w:r w:rsidRPr="00485062">
              <w:rPr>
                <w:rFonts w:eastAsiaTheme="minorEastAsia"/>
                <w:b/>
                <w:bCs/>
                <w:u w:val="single"/>
              </w:rPr>
              <w:t>R</w:t>
            </w:r>
            <w:r>
              <w:rPr>
                <w:rFonts w:eastAsiaTheme="minorEastAsia"/>
              </w:rPr>
              <w:t xml:space="preserve">isk from Side-Effects of the </w:t>
            </w:r>
            <w:r w:rsidR="00156804">
              <w:rPr>
                <w:rFonts w:eastAsiaTheme="minorEastAsia"/>
              </w:rPr>
              <w:t xml:space="preserve">Medical </w:t>
            </w:r>
            <w:r>
              <w:rPr>
                <w:rFonts w:eastAsiaTheme="minorEastAsia"/>
              </w:rPr>
              <w:t>Treatment</w:t>
            </w:r>
          </w:p>
        </w:tc>
        <w:tc>
          <w:tcPr>
            <w:tcW w:w="660" w:type="dxa"/>
            <w:tcBorders>
              <w:left w:val="single" w:sz="12" w:space="0" w:color="auto"/>
            </w:tcBorders>
            <w:vAlign w:val="center"/>
          </w:tcPr>
          <w:p w14:paraId="3BF7CD87" w14:textId="77777777" w:rsidR="003F0403" w:rsidRPr="005B00F9" w:rsidRDefault="003F0403" w:rsidP="003F0403">
            <w:pPr>
              <w:jc w:val="center"/>
              <w:rPr>
                <w:rFonts w:eastAsiaTheme="minorEastAsia"/>
                <w:color w:val="00B050"/>
              </w:rPr>
            </w:pPr>
          </w:p>
        </w:tc>
        <w:tc>
          <w:tcPr>
            <w:tcW w:w="660" w:type="dxa"/>
            <w:vAlign w:val="center"/>
          </w:tcPr>
          <w:p w14:paraId="2C948D6F" w14:textId="77777777" w:rsidR="003F0403" w:rsidRPr="005B00F9" w:rsidRDefault="003F0403" w:rsidP="003F0403">
            <w:pPr>
              <w:keepNext/>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1161DF48" w14:textId="77777777" w:rsidR="003F0403" w:rsidRPr="005B00F9" w:rsidRDefault="003F0403" w:rsidP="003F0403">
            <w:pPr>
              <w:keepNext/>
              <w:jc w:val="center"/>
              <w:rPr>
                <w:rFonts w:eastAsiaTheme="minorEastAsia"/>
                <w:color w:val="00B050"/>
              </w:rPr>
            </w:pPr>
          </w:p>
        </w:tc>
        <w:tc>
          <w:tcPr>
            <w:tcW w:w="660" w:type="dxa"/>
            <w:vAlign w:val="center"/>
          </w:tcPr>
          <w:p w14:paraId="72BF7D2F" w14:textId="23559EEB" w:rsidR="003F0403" w:rsidRPr="005B00F9" w:rsidRDefault="003F0403" w:rsidP="003F0403">
            <w:pPr>
              <w:keepNext/>
              <w:jc w:val="center"/>
              <w:rPr>
                <w:rFonts w:eastAsiaTheme="minorEastAsia"/>
                <w:color w:val="FF0000"/>
              </w:rPr>
            </w:pPr>
            <w:r w:rsidRPr="005B00F9">
              <w:rPr>
                <w:rFonts w:eastAsiaTheme="minorEastAsia"/>
                <w:color w:val="FF0000"/>
              </w:rPr>
              <w:t>X</w:t>
            </w:r>
          </w:p>
        </w:tc>
        <w:tc>
          <w:tcPr>
            <w:tcW w:w="660" w:type="dxa"/>
            <w:tcBorders>
              <w:left w:val="single" w:sz="12" w:space="0" w:color="auto"/>
            </w:tcBorders>
            <w:vAlign w:val="center"/>
          </w:tcPr>
          <w:p w14:paraId="5A305D12" w14:textId="30D0F1F0" w:rsidR="003F0403" w:rsidRPr="005B00F9" w:rsidRDefault="003F0403" w:rsidP="003F0403">
            <w:pPr>
              <w:keepNext/>
              <w:jc w:val="center"/>
              <w:rPr>
                <w:rFonts w:eastAsiaTheme="minorEastAsia"/>
                <w:color w:val="00B050"/>
              </w:rPr>
            </w:pPr>
            <w:r w:rsidRPr="005B00F9">
              <w:rPr>
                <w:rFonts w:eastAsiaTheme="minorEastAsia"/>
                <w:color w:val="00B050"/>
              </w:rPr>
              <w:t>X</w:t>
            </w:r>
          </w:p>
        </w:tc>
        <w:tc>
          <w:tcPr>
            <w:tcW w:w="660" w:type="dxa"/>
            <w:vAlign w:val="center"/>
          </w:tcPr>
          <w:p w14:paraId="0C6F70CE" w14:textId="77777777" w:rsidR="003F0403" w:rsidRPr="005B00F9" w:rsidRDefault="003F0403" w:rsidP="00D72E60">
            <w:pPr>
              <w:keepNext/>
              <w:jc w:val="center"/>
              <w:rPr>
                <w:rFonts w:eastAsiaTheme="minorEastAsia"/>
                <w:color w:val="FF0000"/>
              </w:rPr>
            </w:pPr>
          </w:p>
        </w:tc>
      </w:tr>
    </w:tbl>
    <w:p w14:paraId="0774E2B5" w14:textId="43726295" w:rsidR="00CC025E" w:rsidRDefault="00D72E60" w:rsidP="00FC5D0C">
      <w:pPr>
        <w:pStyle w:val="Caption"/>
        <w:spacing w:before="80"/>
        <w:jc w:val="center"/>
      </w:pPr>
      <w:bookmarkStart w:id="24" w:name="_Ref146107064"/>
      <w:r>
        <w:t xml:space="preserve">Table </w:t>
      </w:r>
      <w:r>
        <w:fldChar w:fldCharType="begin"/>
      </w:r>
      <w:r>
        <w:instrText xml:space="preserve"> SEQ Table \* ARABIC </w:instrText>
      </w:r>
      <w:r>
        <w:fldChar w:fldCharType="separate"/>
      </w:r>
      <w:r w:rsidR="001E41EA">
        <w:rPr>
          <w:noProof/>
        </w:rPr>
        <w:t>1</w:t>
      </w:r>
      <w:r>
        <w:rPr>
          <w:noProof/>
        </w:rPr>
        <w:fldChar w:fldCharType="end"/>
      </w:r>
      <w:bookmarkEnd w:id="24"/>
      <w:r>
        <w:t xml:space="preserve"> - </w:t>
      </w:r>
      <w:r w:rsidRPr="007E2929">
        <w:t>- IS / IS-NOT Matrix for</w:t>
      </w:r>
      <w:r>
        <w:t xml:space="preserve"> </w:t>
      </w:r>
      <m:oMath>
        <m:sSub>
          <m:sSubPr>
            <m:ctrlPr>
              <w:rPr>
                <w:rFonts w:ascii="Cambria Math" w:hAnsi="Cambria Math"/>
              </w:rPr>
            </m:ctrlPr>
          </m:sSubPr>
          <m:e>
            <m:r>
              <w:rPr>
                <w:rFonts w:ascii="Cambria Math" w:hAnsi="Cambria Math"/>
              </w:rPr>
              <m:t>R</m:t>
            </m:r>
          </m:e>
          <m:sub>
            <m:r>
              <w:rPr>
                <w:rFonts w:ascii="Cambria Math" w:hAnsi="Cambria Math"/>
              </w:rPr>
              <m:t>B</m:t>
            </m:r>
          </m:sub>
        </m:sSub>
      </m:oMath>
      <w:r w:rsidRPr="00F60A9B">
        <w:rPr>
          <w:rFonts w:eastAsiaTheme="minorEastAsia"/>
        </w:rPr>
        <w:t xml:space="preserve">, </w:t>
      </w:r>
      <m:oMath>
        <m:sSub>
          <m:sSubPr>
            <m:ctrlPr>
              <w:rPr>
                <w:rFonts w:ascii="Cambria Math" w:hAnsi="Cambria Math"/>
              </w:rPr>
            </m:ctrlPr>
          </m:sSubPr>
          <m:e>
            <m:r>
              <w:rPr>
                <w:rFonts w:ascii="Cambria Math" w:hAnsi="Cambria Math"/>
              </w:rPr>
              <m:t>R</m:t>
            </m:r>
          </m:e>
          <m:sub>
            <m:r>
              <w:rPr>
                <w:rFonts w:ascii="Cambria Math" w:hAnsi="Cambria Math"/>
              </w:rPr>
              <m:t>A</m:t>
            </m:r>
          </m:sub>
        </m:sSub>
      </m:oMath>
      <w:r w:rsidRPr="00F60A9B">
        <w:rPr>
          <w:rFonts w:eastAsiaTheme="minorEastAsia"/>
        </w:rPr>
        <w:t xml:space="preserve">, and </w:t>
      </w:r>
      <m:oMath>
        <m:r>
          <w:rPr>
            <w:rFonts w:ascii="Cambria Math" w:hAnsi="Cambria Math"/>
          </w:rPr>
          <m:t>R</m:t>
        </m:r>
      </m:oMath>
    </w:p>
    <w:p w14:paraId="2B14163D" w14:textId="77777777" w:rsidR="00410542" w:rsidRPr="00F60A9B" w:rsidRDefault="00410542" w:rsidP="00C8251A"/>
    <w:p w14:paraId="3598E563" w14:textId="06AEC241" w:rsidR="0054342E" w:rsidRPr="00422D28" w:rsidRDefault="0054342E" w:rsidP="008A21B4">
      <w:pPr>
        <w:pStyle w:val="Heading2"/>
      </w:pPr>
      <w:bookmarkStart w:id="25" w:name="_Toc156728642"/>
      <w:r w:rsidRPr="00422D28">
        <w:rPr>
          <w:b/>
          <w:bCs/>
          <w:u w:val="single"/>
        </w:rPr>
        <w:t>Moving to a Future State –</w:t>
      </w:r>
      <w:r w:rsidR="00CD4B28" w:rsidRPr="00422D28">
        <w:rPr>
          <w:b/>
          <w:bCs/>
          <w:u w:val="single"/>
        </w:rPr>
        <w:t xml:space="preserve"> </w:t>
      </w:r>
      <w:r w:rsidRPr="00422D28">
        <w:rPr>
          <w:b/>
          <w:bCs/>
          <w:u w:val="single"/>
        </w:rPr>
        <w:t>Establishing a Common Metric</w:t>
      </w:r>
      <w:bookmarkEnd w:id="25"/>
      <w:r w:rsidR="00082E8D">
        <w:rPr>
          <w:b/>
          <w:bCs/>
          <w:u w:val="single"/>
        </w:rPr>
        <w:t xml:space="preserve">  </w:t>
      </w:r>
    </w:p>
    <w:p w14:paraId="32C6C305" w14:textId="40576B3E" w:rsidR="00BC27D1" w:rsidRDefault="00057925" w:rsidP="00BC27D1">
      <w:r w:rsidRPr="00F60A9B">
        <w:t xml:space="preserve">An </w:t>
      </w:r>
      <w:r>
        <w:t>important</w:t>
      </w:r>
      <w:r w:rsidRPr="00F60A9B">
        <w:t xml:space="preserve"> feature of the definitions for </w:t>
      </w:r>
      <w:r w:rsidRPr="00F60A9B">
        <w:fldChar w:fldCharType="begin"/>
      </w:r>
      <w:r w:rsidRPr="00F60A9B">
        <w:instrText xml:space="preserve"> REF _Ref132953418 \h </w:instrText>
      </w:r>
      <w:r w:rsidRPr="00F60A9B">
        <w:fldChar w:fldCharType="separate"/>
      </w:r>
      <w:r w:rsidR="001E41EA" w:rsidRPr="00F60A9B">
        <w:t xml:space="preserve">Equation </w:t>
      </w:r>
      <w:r w:rsidR="001E41EA">
        <w:rPr>
          <w:noProof/>
        </w:rPr>
        <w:t>1</w:t>
      </w:r>
      <w:r w:rsidRPr="00F60A9B">
        <w:fldChar w:fldCharType="end"/>
      </w:r>
      <w:r w:rsidRPr="00F60A9B">
        <w:t xml:space="preserve"> and </w:t>
      </w:r>
      <w:r w:rsidRPr="00F60A9B">
        <w:fldChar w:fldCharType="begin"/>
      </w:r>
      <w:r w:rsidRPr="00F60A9B">
        <w:instrText xml:space="preserve"> REF _Ref132953407 \h </w:instrText>
      </w:r>
      <w:r w:rsidRPr="00F60A9B">
        <w:fldChar w:fldCharType="separate"/>
      </w:r>
      <w:r w:rsidR="001E41EA" w:rsidRPr="00F60A9B">
        <w:t xml:space="preserve">Equation </w:t>
      </w:r>
      <w:r w:rsidR="001E41EA">
        <w:rPr>
          <w:noProof/>
        </w:rPr>
        <w:t>2</w:t>
      </w:r>
      <w:r w:rsidRPr="00F60A9B">
        <w:fldChar w:fldCharType="end"/>
      </w:r>
      <w:r w:rsidRPr="00F60A9B">
        <w:t xml:space="preserve"> is that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F60A9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and </w:t>
      </w:r>
      <m:oMath>
        <m:r>
          <w:rPr>
            <w:rFonts w:ascii="Cambria Math" w:hAnsi="Cambria Math"/>
          </w:rPr>
          <m:t>R</m:t>
        </m:r>
      </m:oMath>
      <w:r w:rsidRPr="00F60A9B">
        <w:rPr>
          <w:rFonts w:eastAsiaTheme="minorEastAsia"/>
        </w:rPr>
        <w:t xml:space="preserve"> describe risks to the patient’s health.  Therefore, if we establish a</w:t>
      </w:r>
      <w:r>
        <w:rPr>
          <w:rFonts w:eastAsiaTheme="minorEastAsia"/>
        </w:rPr>
        <w:t>n appropriate</w:t>
      </w:r>
      <w:r w:rsidRPr="00F60A9B">
        <w:rPr>
          <w:rFonts w:eastAsiaTheme="minorEastAsia"/>
        </w:rPr>
        <w:t xml:space="preserve"> metric for risk to patient health</w:t>
      </w:r>
      <w:r>
        <w:rPr>
          <w:rFonts w:eastAsiaTheme="minorEastAsia"/>
        </w:rPr>
        <w:t>,</w:t>
      </w:r>
      <w:r w:rsidRPr="00F60A9B">
        <w:rPr>
          <w:rFonts w:eastAsiaTheme="minorEastAsia"/>
        </w:rPr>
        <w:t xml:space="preserve"> </w:t>
      </w:r>
      <w:r>
        <w:rPr>
          <w:rFonts w:eastAsiaTheme="minorEastAsia"/>
        </w:rPr>
        <w:t xml:space="preserve">we will have the means to </w:t>
      </w:r>
      <w:r w:rsidR="00BC27D1">
        <w:rPr>
          <w:rFonts w:eastAsiaTheme="minorEastAsia"/>
        </w:rPr>
        <w:t>achieve the well-known goal</w:t>
      </w:r>
      <w:r w:rsidR="00BC27D1" w:rsidRPr="00F60A9B">
        <w:rPr>
          <w:rStyle w:val="FootnoteReference"/>
        </w:rPr>
        <w:footnoteReference w:id="26"/>
      </w:r>
      <w:r w:rsidR="00BC27D1">
        <w:rPr>
          <w:rFonts w:eastAsiaTheme="minorEastAsia"/>
        </w:rPr>
        <w:t xml:space="preserve"> of measuring </w:t>
      </w:r>
      <w:r>
        <w:rPr>
          <w:rFonts w:eastAsiaTheme="minorEastAsia"/>
        </w:rPr>
        <w:t xml:space="preserve">both benefit and risk with the same metric.  </w:t>
      </w:r>
      <w:r w:rsidR="00BC27D1">
        <w:rPr>
          <w:rFonts w:eastAsiaTheme="minorEastAsia"/>
        </w:rPr>
        <w:t xml:space="preserve">This is important because it enables us </w:t>
      </w:r>
      <w:r w:rsidR="00BC27D1" w:rsidRPr="00F60A9B">
        <w:t xml:space="preserve">to directly compare the amount of risk and the amount of benefit in a significantly more objective manner than has traditionally been done for medical devices; i.e., we can show whether </w:t>
      </w:r>
      <w:r w:rsidR="00BC27D1" w:rsidRPr="00F60A9B">
        <w:fldChar w:fldCharType="begin"/>
      </w:r>
      <w:r w:rsidR="00BC27D1" w:rsidRPr="00F60A9B">
        <w:instrText xml:space="preserve"> REF _Ref132953418 \h </w:instrText>
      </w:r>
      <w:r w:rsidR="00BC27D1" w:rsidRPr="00F60A9B">
        <w:fldChar w:fldCharType="separate"/>
      </w:r>
      <w:r w:rsidR="001E41EA" w:rsidRPr="00F60A9B">
        <w:t xml:space="preserve">Equation </w:t>
      </w:r>
      <w:r w:rsidR="001E41EA">
        <w:rPr>
          <w:noProof/>
        </w:rPr>
        <w:t>1</w:t>
      </w:r>
      <w:r w:rsidR="00BC27D1" w:rsidRPr="00F60A9B">
        <w:fldChar w:fldCharType="end"/>
      </w:r>
      <w:r w:rsidR="00BC27D1">
        <w:t xml:space="preserve">, </w:t>
      </w:r>
      <m:oMath>
        <m:r>
          <w:rPr>
            <w:rFonts w:ascii="Cambria Math" w:hAnsi="Cambria Math"/>
          </w:rPr>
          <m:t>B&gt;R</m:t>
        </m:r>
      </m:oMath>
      <w:r w:rsidR="00BC27D1">
        <w:t>,</w:t>
      </w:r>
      <w:r w:rsidR="00BC27D1" w:rsidRPr="00F60A9B">
        <w:t xml:space="preserve"> is true or not in a </w:t>
      </w:r>
      <w:r w:rsidR="00BC27D1">
        <w:t xml:space="preserve">significantly </w:t>
      </w:r>
      <w:r w:rsidR="00BC27D1" w:rsidRPr="00F60A9B">
        <w:t xml:space="preserve">more objective manner.  </w:t>
      </w:r>
    </w:p>
    <w:p w14:paraId="13E9242E" w14:textId="5A148E6B" w:rsidR="00057925" w:rsidRDefault="00BC27D1" w:rsidP="00BC27D1">
      <w:r>
        <w:t xml:space="preserve">There are a few, simple requirements for an appropriate risk metric.  It must: </w:t>
      </w:r>
    </w:p>
    <w:p w14:paraId="1A046363" w14:textId="717EBAC9" w:rsidR="00BC27D1" w:rsidRDefault="00BC27D1">
      <w:pPr>
        <w:pStyle w:val="ListParagraph"/>
        <w:numPr>
          <w:ilvl w:val="0"/>
          <w:numId w:val="14"/>
        </w:numPr>
        <w:contextualSpacing w:val="0"/>
      </w:pPr>
      <w:r>
        <w:t xml:space="preserve">Measure every possible risk to a patient’s health, including: </w:t>
      </w:r>
    </w:p>
    <w:p w14:paraId="4D490B76" w14:textId="52AD46B3" w:rsidR="00BC27D1" w:rsidRDefault="00BC27D1">
      <w:pPr>
        <w:pStyle w:val="ListParagraph"/>
        <w:numPr>
          <w:ilvl w:val="1"/>
          <w:numId w:val="14"/>
        </w:numPr>
        <w:contextualSpacing w:val="0"/>
      </w:pPr>
      <w:r>
        <w:t xml:space="preserve">The smallest possible risk, </w:t>
      </w:r>
    </w:p>
    <w:p w14:paraId="6D1305BB" w14:textId="6568F782" w:rsidR="00BC27D1" w:rsidRDefault="00BC27D1">
      <w:pPr>
        <w:pStyle w:val="ListParagraph"/>
        <w:numPr>
          <w:ilvl w:val="1"/>
          <w:numId w:val="14"/>
        </w:numPr>
        <w:contextualSpacing w:val="0"/>
      </w:pPr>
      <w:r>
        <w:t xml:space="preserve">The largest possible risk, </w:t>
      </w:r>
    </w:p>
    <w:p w14:paraId="2C8CA72E" w14:textId="22D086E1" w:rsidR="00BC27D1" w:rsidRDefault="00BC27D1">
      <w:pPr>
        <w:pStyle w:val="ListParagraph"/>
        <w:numPr>
          <w:ilvl w:val="1"/>
          <w:numId w:val="14"/>
        </w:numPr>
        <w:contextualSpacing w:val="0"/>
      </w:pPr>
      <w:r>
        <w:lastRenderedPageBreak/>
        <w:t xml:space="preserve">Being continuous; i.e., not have any </w:t>
      </w:r>
      <w:r w:rsidR="00E46F5A">
        <w:t xml:space="preserve">gaps where risk is not measured. </w:t>
      </w:r>
    </w:p>
    <w:p w14:paraId="686A2745" w14:textId="1D531053" w:rsidR="00E46F5A" w:rsidRDefault="00E46F5A">
      <w:pPr>
        <w:pStyle w:val="ListParagraph"/>
        <w:numPr>
          <w:ilvl w:val="0"/>
          <w:numId w:val="14"/>
        </w:numPr>
        <w:contextualSpacing w:val="0"/>
      </w:pPr>
      <w:r>
        <w:t xml:space="preserve">Produce only one measurement result for a given patient risk; i.e., increase monotonically. </w:t>
      </w:r>
    </w:p>
    <w:p w14:paraId="25AB546A" w14:textId="4E730B79" w:rsidR="00E46F5A" w:rsidRDefault="00E46F5A">
      <w:pPr>
        <w:pStyle w:val="ListParagraph"/>
        <w:numPr>
          <w:ilvl w:val="0"/>
          <w:numId w:val="14"/>
        </w:numPr>
        <w:contextualSpacing w:val="0"/>
      </w:pPr>
      <w:r>
        <w:t xml:space="preserve">Produce different measurement results for different risks. </w:t>
      </w:r>
    </w:p>
    <w:p w14:paraId="402D56B7" w14:textId="696014A0" w:rsidR="00E46F5A" w:rsidRDefault="00E46F5A">
      <w:pPr>
        <w:pStyle w:val="ListParagraph"/>
        <w:numPr>
          <w:ilvl w:val="0"/>
          <w:numId w:val="14"/>
        </w:numPr>
        <w:contextualSpacing w:val="0"/>
      </w:pPr>
      <w:r>
        <w:t xml:space="preserve">Be as objective as possible. </w:t>
      </w:r>
    </w:p>
    <w:p w14:paraId="5B0A1B1D" w14:textId="16FC20C6" w:rsidR="009F1830" w:rsidRPr="00BC27D1" w:rsidRDefault="009F1830">
      <w:pPr>
        <w:pStyle w:val="ListParagraph"/>
        <w:numPr>
          <w:ilvl w:val="0"/>
          <w:numId w:val="14"/>
        </w:numPr>
        <w:contextualSpacing w:val="0"/>
      </w:pPr>
      <w:r>
        <w:t xml:space="preserve">Use the same metric to measure all risks. </w:t>
      </w:r>
    </w:p>
    <w:p w14:paraId="536C67BD" w14:textId="77777777" w:rsidR="009F1830" w:rsidRDefault="009F1830" w:rsidP="006448E8">
      <w:pPr>
        <w:rPr>
          <w:rFonts w:eastAsiaTheme="minorEastAsia"/>
        </w:rPr>
      </w:pPr>
    </w:p>
    <w:p w14:paraId="4AEC80EC" w14:textId="3FBB938A" w:rsidR="00AD7747" w:rsidRPr="00D575ED" w:rsidRDefault="006448E8" w:rsidP="006448E8">
      <w:pPr>
        <w:rPr>
          <w:rFonts w:eastAsiaTheme="minorEastAsia"/>
        </w:rPr>
      </w:pPr>
      <w:r>
        <w:rPr>
          <w:rFonts w:eastAsiaTheme="minorEastAsia"/>
        </w:rPr>
        <w:t>Fortunately, th</w:t>
      </w:r>
      <w:r w:rsidR="00D575ED">
        <w:rPr>
          <w:rFonts w:eastAsiaTheme="minorEastAsia"/>
        </w:rPr>
        <w:t xml:space="preserve">e task of measuring risk </w:t>
      </w:r>
      <w:r>
        <w:rPr>
          <w:rFonts w:eastAsiaTheme="minorEastAsia"/>
        </w:rPr>
        <w:t xml:space="preserve">has already been </w:t>
      </w:r>
      <w:r w:rsidR="005373BE">
        <w:rPr>
          <w:rFonts w:eastAsiaTheme="minorEastAsia"/>
        </w:rPr>
        <w:t xml:space="preserve">carefully </w:t>
      </w:r>
      <w:r>
        <w:rPr>
          <w:rFonts w:eastAsiaTheme="minorEastAsia"/>
        </w:rPr>
        <w:t xml:space="preserve">considered and </w:t>
      </w:r>
      <w:r w:rsidR="005373BE">
        <w:rPr>
          <w:rFonts w:eastAsiaTheme="minorEastAsia"/>
        </w:rPr>
        <w:t xml:space="preserve">one </w:t>
      </w:r>
      <w:r w:rsidR="0099285A">
        <w:rPr>
          <w:rFonts w:eastAsiaTheme="minorEastAsia"/>
        </w:rPr>
        <w:t xml:space="preserve">possible </w:t>
      </w:r>
      <w:r w:rsidR="005373BE">
        <w:rPr>
          <w:rFonts w:eastAsiaTheme="minorEastAsia"/>
        </w:rPr>
        <w:t xml:space="preserve">solution is provided </w:t>
      </w:r>
      <w:r>
        <w:rPr>
          <w:rFonts w:eastAsiaTheme="minorEastAsia"/>
        </w:rPr>
        <w:t>in ISO 14971</w:t>
      </w:r>
      <w:r w:rsidR="006055F7" w:rsidRPr="006055F7">
        <w:rPr>
          <w:rFonts w:eastAsiaTheme="minorEastAsia"/>
          <w:vertAlign w:val="superscript"/>
        </w:rPr>
        <w:fldChar w:fldCharType="begin"/>
      </w:r>
      <w:r w:rsidR="006055F7" w:rsidRPr="006055F7">
        <w:rPr>
          <w:rFonts w:eastAsiaTheme="minorEastAsia"/>
          <w:vertAlign w:val="superscript"/>
        </w:rPr>
        <w:instrText xml:space="preserve"> NOTEREF _Ref149365441 \h </w:instrText>
      </w:r>
      <w:r w:rsidR="006055F7">
        <w:rPr>
          <w:rFonts w:eastAsiaTheme="minorEastAsia"/>
          <w:vertAlign w:val="superscript"/>
        </w:rPr>
        <w:instrText xml:space="preserve"> \* MERGEFORMAT </w:instrText>
      </w:r>
      <w:r w:rsidR="006055F7" w:rsidRPr="006055F7">
        <w:rPr>
          <w:rFonts w:eastAsiaTheme="minorEastAsia"/>
          <w:vertAlign w:val="superscript"/>
        </w:rPr>
      </w:r>
      <w:r w:rsidR="006055F7" w:rsidRPr="006055F7">
        <w:rPr>
          <w:rFonts w:eastAsiaTheme="minorEastAsia"/>
          <w:vertAlign w:val="superscript"/>
        </w:rPr>
        <w:fldChar w:fldCharType="separate"/>
      </w:r>
      <w:r w:rsidR="006055F7" w:rsidRPr="006055F7">
        <w:rPr>
          <w:rFonts w:eastAsiaTheme="minorEastAsia"/>
          <w:vertAlign w:val="superscript"/>
        </w:rPr>
        <w:t>18</w:t>
      </w:r>
      <w:r w:rsidR="006055F7" w:rsidRPr="006055F7">
        <w:rPr>
          <w:rFonts w:eastAsiaTheme="minorEastAsia"/>
          <w:vertAlign w:val="superscript"/>
        </w:rPr>
        <w:fldChar w:fldCharType="end"/>
      </w:r>
      <w:r>
        <w:rPr>
          <w:rFonts w:eastAsiaTheme="minorEastAsia"/>
        </w:rPr>
        <w:t xml:space="preserve"> and TR 24971</w:t>
      </w:r>
      <w:r w:rsidR="00AD7747">
        <w:rPr>
          <w:rStyle w:val="FootnoteReference"/>
        </w:rPr>
        <w:footnoteReference w:id="27"/>
      </w:r>
      <w:r>
        <w:rPr>
          <w:rFonts w:eastAsiaTheme="minorEastAsia"/>
        </w:rPr>
        <w:t xml:space="preserve">.  </w:t>
      </w:r>
    </w:p>
    <w:p w14:paraId="074A8CB0" w14:textId="1A17FC63" w:rsidR="00D575ED" w:rsidRDefault="006055F7" w:rsidP="006055F7">
      <w:pPr>
        <w:tabs>
          <w:tab w:val="left" w:pos="5220"/>
        </w:tabs>
      </w:pPr>
      <w:r>
        <w:tab/>
      </w:r>
    </w:p>
    <w:p w14:paraId="348E7A2D" w14:textId="21605285" w:rsidR="006448E8" w:rsidRDefault="006448E8" w:rsidP="006448E8">
      <w:r>
        <w:t>Per section 3.18 of ISO 14971, risk is a combination of severity and probability</w:t>
      </w:r>
      <w:r>
        <w:rPr>
          <w:rStyle w:val="FootnoteReference"/>
        </w:rPr>
        <w:footnoteReference w:id="28"/>
      </w:r>
      <w:r>
        <w:t xml:space="preserve">; i.e., </w:t>
      </w:r>
    </w:p>
    <w:p w14:paraId="58F1EE88" w14:textId="77777777" w:rsidR="006448E8" w:rsidRPr="00BA73D5" w:rsidRDefault="00000000" w:rsidP="006448E8">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m:oMathPara>
    </w:p>
    <w:p w14:paraId="5458BD9C" w14:textId="2390D934" w:rsidR="006448E8" w:rsidRDefault="006448E8" w:rsidP="006448E8">
      <w:pPr>
        <w:pStyle w:val="Caption"/>
        <w:jc w:val="right"/>
        <w:rPr>
          <w:rFonts w:eastAsiaTheme="minorEastAsia"/>
        </w:rPr>
      </w:pPr>
      <w:bookmarkStart w:id="26" w:name="_Ref141191908"/>
      <w:r>
        <w:t xml:space="preserve">Equation </w:t>
      </w:r>
      <w:r>
        <w:fldChar w:fldCharType="begin"/>
      </w:r>
      <w:r>
        <w:instrText xml:space="preserve"> SEQ Equation \* ARABIC </w:instrText>
      </w:r>
      <w:r>
        <w:fldChar w:fldCharType="separate"/>
      </w:r>
      <w:r w:rsidR="003468AE">
        <w:rPr>
          <w:noProof/>
        </w:rPr>
        <w:t>3</w:t>
      </w:r>
      <w:r>
        <w:rPr>
          <w:noProof/>
        </w:rPr>
        <w:fldChar w:fldCharType="end"/>
      </w:r>
      <w:bookmarkEnd w:id="26"/>
    </w:p>
    <w:p w14:paraId="6B6EDA38" w14:textId="77777777" w:rsidR="006448E8" w:rsidRPr="00F60A9B" w:rsidRDefault="006448E8" w:rsidP="006448E8">
      <w:pPr>
        <w:rPr>
          <w:rFonts w:eastAsiaTheme="minorEastAsia"/>
        </w:rPr>
      </w:pPr>
      <w:r>
        <w:rPr>
          <w:rFonts w:eastAsiaTheme="minorEastAsia"/>
        </w:rPr>
        <w:t>Where:</w:t>
      </w: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i</m:t>
            </m:r>
          </m:sub>
        </m:sSub>
      </m:oMath>
      <w:r w:rsidRPr="00F60A9B">
        <w:rPr>
          <w:rFonts w:eastAsiaTheme="minorEastAsia"/>
        </w:rPr>
        <w:t xml:space="preserve"> is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F60A9B">
        <w:rPr>
          <w:rFonts w:eastAsiaTheme="minorEastAsia"/>
        </w:rPr>
        <w:t xml:space="preserve"> risk, </w:t>
      </w:r>
    </w:p>
    <w:p w14:paraId="16B67A4D" w14:textId="77777777" w:rsidR="006448E8" w:rsidRPr="00F60A9B" w:rsidRDefault="006448E8" w:rsidP="006448E8">
      <w:pPr>
        <w:rPr>
          <w:rFonts w:eastAsiaTheme="minorEastAsia"/>
        </w:rPr>
      </w:pPr>
      <w:r w:rsidRPr="00F60A9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sidRPr="00F60A9B">
        <w:rPr>
          <w:rFonts w:eastAsiaTheme="minorEastAsia"/>
        </w:rPr>
        <w:t xml:space="preserve"> is the probability of harm</w:t>
      </w:r>
      <w:r>
        <w:rPr>
          <w:rFonts w:eastAsiaTheme="minorEastAsia"/>
        </w:rPr>
        <w:t xml:space="preserve"> from </w:t>
      </w:r>
      <w:r w:rsidRPr="00F60A9B">
        <w:rPr>
          <w:rFonts w:eastAsiaTheme="minorEastAsia"/>
        </w:rPr>
        <w:t xml:space="preserve">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F60A9B">
        <w:rPr>
          <w:rFonts w:eastAsiaTheme="minorEastAsia"/>
        </w:rPr>
        <w:t xml:space="preserve"> risk,  </w:t>
      </w:r>
    </w:p>
    <w:p w14:paraId="717E9B6F" w14:textId="77777777" w:rsidR="006448E8" w:rsidRPr="00F60A9B" w:rsidRDefault="006448E8" w:rsidP="006448E8">
      <w:pPr>
        <w:rPr>
          <w:rFonts w:eastAsiaTheme="minorEastAsia"/>
        </w:rPr>
      </w:pPr>
      <w:r w:rsidRPr="00F60A9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sidRPr="00F60A9B">
        <w:rPr>
          <w:rFonts w:eastAsiaTheme="minorEastAsia"/>
        </w:rPr>
        <w:t xml:space="preserve"> is the severity of harm</w:t>
      </w:r>
      <w:r>
        <w:rPr>
          <w:rFonts w:eastAsiaTheme="minorEastAsia"/>
        </w:rPr>
        <w:t xml:space="preserve"> from </w:t>
      </w:r>
      <w:r w:rsidRPr="00F60A9B">
        <w:rPr>
          <w:rFonts w:eastAsiaTheme="minorEastAsia"/>
        </w:rPr>
        <w:t xml:space="preserve">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Pr="00F60A9B">
        <w:rPr>
          <w:rFonts w:eastAsiaTheme="minorEastAsia"/>
        </w:rPr>
        <w:t xml:space="preserve"> risk, </w:t>
      </w:r>
      <w:r>
        <w:rPr>
          <w:rFonts w:eastAsiaTheme="minorEastAsia"/>
        </w:rPr>
        <w:t xml:space="preserve">and </w:t>
      </w:r>
    </w:p>
    <w:p w14:paraId="211DEBC2" w14:textId="77777777" w:rsidR="006448E8" w:rsidRPr="00F60A9B" w:rsidRDefault="006448E8" w:rsidP="00D575ED">
      <w:pPr>
        <w:rPr>
          <w:rFonts w:eastAsiaTheme="minorEastAsia"/>
        </w:rPr>
      </w:pPr>
      <w:r w:rsidRPr="00F60A9B">
        <w:rPr>
          <w:rFonts w:eastAsiaTheme="minorEastAsia"/>
        </w:rPr>
        <w:tab/>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F60A9B">
        <w:rPr>
          <w:rFonts w:eastAsiaTheme="minorEastAsia"/>
        </w:rPr>
        <w:t xml:space="preserve"> is an ordered pair that holds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oMath>
      <w:r w:rsidRPr="00F60A9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sidRPr="00F60A9B">
        <w:rPr>
          <w:rFonts w:eastAsiaTheme="minorEastAsia"/>
        </w:rPr>
        <w:t>.</w:t>
      </w:r>
      <w:r>
        <w:rPr>
          <w:rFonts w:eastAsiaTheme="minorEastAsia"/>
        </w:rPr>
        <w:t xml:space="preserve">  </w:t>
      </w:r>
    </w:p>
    <w:p w14:paraId="7F0CA442" w14:textId="77777777" w:rsidR="00D575ED" w:rsidRDefault="00D575ED" w:rsidP="006448E8"/>
    <w:p w14:paraId="40AECABC" w14:textId="2C8240DC" w:rsidR="006448E8" w:rsidRPr="00F60A9B" w:rsidRDefault="000239E1" w:rsidP="006448E8">
      <w:r>
        <w:t xml:space="preserve">Tables 4 and 5 </w:t>
      </w:r>
      <w:r w:rsidR="006448E8" w:rsidRPr="00F60A9B">
        <w:t xml:space="preserve">of TR 24971 expands on </w:t>
      </w:r>
      <w:r w:rsidR="00AD7747">
        <w:t>Section 6</w:t>
      </w:r>
      <w:r w:rsidR="00AD7747" w:rsidRPr="006448E8">
        <w:t xml:space="preserve"> </w:t>
      </w:r>
      <w:r w:rsidR="00AD7747" w:rsidRPr="00F60A9B">
        <w:t>of ISO 14971</w:t>
      </w:r>
      <w:r w:rsidR="00AD7747">
        <w:t xml:space="preserve">, </w:t>
      </w:r>
      <w:r w:rsidR="00AD7747" w:rsidRPr="00F60A9B">
        <w:t xml:space="preserve">‘Risk </w:t>
      </w:r>
      <w:r w:rsidR="00AD7747">
        <w:t>Evaluation</w:t>
      </w:r>
      <w:r w:rsidR="00AD7747" w:rsidRPr="00F60A9B">
        <w:t>’</w:t>
      </w:r>
      <w:r w:rsidR="00AD7747">
        <w:t>,</w:t>
      </w:r>
      <w:r w:rsidR="00AD7747" w:rsidRPr="00F60A9B">
        <w:t xml:space="preserve"> </w:t>
      </w:r>
      <w:r w:rsidR="006448E8" w:rsidRPr="00F60A9B">
        <w:t xml:space="preserve">to </w:t>
      </w:r>
      <w:r w:rsidR="006448E8">
        <w:t xml:space="preserve">present </w:t>
      </w:r>
      <w:r w:rsidR="006448E8" w:rsidRPr="00F60A9B">
        <w:t>the following tables</w:t>
      </w:r>
      <w:r w:rsidR="0099285A">
        <w:rPr>
          <w:rStyle w:val="FootnoteReference"/>
        </w:rPr>
        <w:footnoteReference w:id="29"/>
      </w:r>
      <w:r w:rsidR="00AD7747">
        <w:t>, which resolve the entire range of risk to five categories for Severity and five categories for Probability</w:t>
      </w:r>
      <w:r w:rsidR="006448E8" w:rsidRPr="00F60A9B">
        <w:t xml:space="preserve">: </w:t>
      </w:r>
    </w:p>
    <w:tbl>
      <w:tblPr>
        <w:tblStyle w:val="TableGrid"/>
        <w:tblW w:w="0" w:type="auto"/>
        <w:jc w:val="center"/>
        <w:tblLook w:val="04A0" w:firstRow="1" w:lastRow="0" w:firstColumn="1" w:lastColumn="0" w:noHBand="0" w:noVBand="1"/>
      </w:tblPr>
      <w:tblGrid>
        <w:gridCol w:w="2245"/>
        <w:gridCol w:w="5670"/>
      </w:tblGrid>
      <w:tr w:rsidR="006448E8" w:rsidRPr="00F60A9B" w14:paraId="171F31E5" w14:textId="77777777" w:rsidTr="008D3D62">
        <w:trPr>
          <w:cantSplit/>
          <w:tblHeader/>
          <w:jc w:val="center"/>
        </w:trPr>
        <w:tc>
          <w:tcPr>
            <w:tcW w:w="2245" w:type="dxa"/>
          </w:tcPr>
          <w:p w14:paraId="0CA45495" w14:textId="77777777" w:rsidR="006448E8" w:rsidRPr="00F60A9B" w:rsidRDefault="006448E8" w:rsidP="008D3D62">
            <w:pPr>
              <w:jc w:val="center"/>
              <w:rPr>
                <w:b/>
                <w:bCs/>
              </w:rPr>
            </w:pPr>
            <w:r w:rsidRPr="00F60A9B">
              <w:rPr>
                <w:b/>
                <w:bCs/>
              </w:rPr>
              <w:t>Common Terms</w:t>
            </w:r>
          </w:p>
        </w:tc>
        <w:tc>
          <w:tcPr>
            <w:tcW w:w="5670" w:type="dxa"/>
          </w:tcPr>
          <w:p w14:paraId="174D9A25" w14:textId="77777777" w:rsidR="006448E8" w:rsidRPr="00F60A9B" w:rsidRDefault="006448E8" w:rsidP="008D3D62">
            <w:r w:rsidRPr="00F60A9B">
              <w:rPr>
                <w:b/>
                <w:bCs/>
              </w:rPr>
              <w:t>Possible Description</w:t>
            </w:r>
          </w:p>
        </w:tc>
      </w:tr>
      <w:tr w:rsidR="006448E8" w:rsidRPr="00F60A9B" w14:paraId="2891DAD4" w14:textId="77777777" w:rsidTr="008D3D62">
        <w:trPr>
          <w:cantSplit/>
          <w:jc w:val="center"/>
        </w:trPr>
        <w:tc>
          <w:tcPr>
            <w:tcW w:w="2245" w:type="dxa"/>
          </w:tcPr>
          <w:p w14:paraId="22C9D75D" w14:textId="77777777" w:rsidR="006448E8" w:rsidRPr="00F60A9B" w:rsidRDefault="006448E8" w:rsidP="008D3D62">
            <w:pPr>
              <w:jc w:val="center"/>
            </w:pPr>
            <w:r w:rsidRPr="00F60A9B">
              <w:t>Catastrophic / Fatal</w:t>
            </w:r>
          </w:p>
        </w:tc>
        <w:tc>
          <w:tcPr>
            <w:tcW w:w="5670" w:type="dxa"/>
          </w:tcPr>
          <w:p w14:paraId="3457D4F7" w14:textId="77777777" w:rsidR="006448E8" w:rsidRPr="00F60A9B" w:rsidRDefault="006448E8" w:rsidP="008D3D62">
            <w:r w:rsidRPr="00F60A9B">
              <w:t>Results in death</w:t>
            </w:r>
          </w:p>
        </w:tc>
      </w:tr>
      <w:tr w:rsidR="006448E8" w:rsidRPr="00F60A9B" w14:paraId="33C28147" w14:textId="77777777" w:rsidTr="008D3D62">
        <w:trPr>
          <w:cantSplit/>
          <w:jc w:val="center"/>
        </w:trPr>
        <w:tc>
          <w:tcPr>
            <w:tcW w:w="2245" w:type="dxa"/>
          </w:tcPr>
          <w:p w14:paraId="7E84BB59" w14:textId="77777777" w:rsidR="006448E8" w:rsidRPr="00F60A9B" w:rsidRDefault="006448E8" w:rsidP="008D3D62">
            <w:pPr>
              <w:jc w:val="center"/>
            </w:pPr>
            <w:r w:rsidRPr="00F60A9B">
              <w:t>Critical</w:t>
            </w:r>
          </w:p>
        </w:tc>
        <w:tc>
          <w:tcPr>
            <w:tcW w:w="5670" w:type="dxa"/>
          </w:tcPr>
          <w:p w14:paraId="45143859" w14:textId="77777777" w:rsidR="006448E8" w:rsidRPr="00F60A9B" w:rsidRDefault="006448E8" w:rsidP="008D3D62">
            <w:r w:rsidRPr="00F60A9B">
              <w:t>Results in permanent impairment or irreversible injury</w:t>
            </w:r>
          </w:p>
        </w:tc>
      </w:tr>
      <w:tr w:rsidR="006448E8" w:rsidRPr="00F60A9B" w14:paraId="703371CD" w14:textId="77777777" w:rsidTr="008D3D62">
        <w:trPr>
          <w:cantSplit/>
          <w:jc w:val="center"/>
        </w:trPr>
        <w:tc>
          <w:tcPr>
            <w:tcW w:w="2245" w:type="dxa"/>
          </w:tcPr>
          <w:p w14:paraId="47E65D8E" w14:textId="77777777" w:rsidR="006448E8" w:rsidRPr="00F60A9B" w:rsidRDefault="006448E8" w:rsidP="008D3D62">
            <w:pPr>
              <w:jc w:val="center"/>
            </w:pPr>
            <w:r w:rsidRPr="00F60A9B">
              <w:t>Serious / Major</w:t>
            </w:r>
          </w:p>
        </w:tc>
        <w:tc>
          <w:tcPr>
            <w:tcW w:w="5670" w:type="dxa"/>
          </w:tcPr>
          <w:p w14:paraId="6B9FE57A" w14:textId="77777777" w:rsidR="006448E8" w:rsidRPr="00F60A9B" w:rsidRDefault="006448E8" w:rsidP="008D3D62">
            <w:r w:rsidRPr="00F60A9B">
              <w:t>Results in injury or impairment requiring medical or surgical intervention</w:t>
            </w:r>
          </w:p>
        </w:tc>
      </w:tr>
      <w:tr w:rsidR="006448E8" w:rsidRPr="00F60A9B" w14:paraId="5BDFE634" w14:textId="77777777" w:rsidTr="008D3D62">
        <w:trPr>
          <w:cantSplit/>
          <w:jc w:val="center"/>
        </w:trPr>
        <w:tc>
          <w:tcPr>
            <w:tcW w:w="2245" w:type="dxa"/>
          </w:tcPr>
          <w:p w14:paraId="00A1C8AD" w14:textId="77777777" w:rsidR="006448E8" w:rsidRPr="00F60A9B" w:rsidRDefault="006448E8" w:rsidP="008D3D62">
            <w:pPr>
              <w:jc w:val="center"/>
            </w:pPr>
            <w:r w:rsidRPr="00F60A9B">
              <w:t>Minor</w:t>
            </w:r>
          </w:p>
        </w:tc>
        <w:tc>
          <w:tcPr>
            <w:tcW w:w="5670" w:type="dxa"/>
          </w:tcPr>
          <w:p w14:paraId="599C4A6C" w14:textId="77777777" w:rsidR="006448E8" w:rsidRPr="00F60A9B" w:rsidRDefault="006448E8" w:rsidP="008D3D62">
            <w:r w:rsidRPr="00F60A9B">
              <w:t>Results in temporary injury or impairment not requiring medical or surgical intervention</w:t>
            </w:r>
          </w:p>
        </w:tc>
      </w:tr>
      <w:tr w:rsidR="006448E8" w:rsidRPr="00F60A9B" w14:paraId="47919710" w14:textId="77777777" w:rsidTr="008D3D62">
        <w:trPr>
          <w:cantSplit/>
          <w:jc w:val="center"/>
        </w:trPr>
        <w:tc>
          <w:tcPr>
            <w:tcW w:w="2245" w:type="dxa"/>
          </w:tcPr>
          <w:p w14:paraId="378F3D72" w14:textId="77777777" w:rsidR="006448E8" w:rsidRPr="00F60A9B" w:rsidRDefault="006448E8" w:rsidP="008D3D62">
            <w:pPr>
              <w:keepNext/>
              <w:keepLines/>
              <w:jc w:val="center"/>
            </w:pPr>
            <w:r w:rsidRPr="00F60A9B">
              <w:t>Negligible</w:t>
            </w:r>
          </w:p>
        </w:tc>
        <w:tc>
          <w:tcPr>
            <w:tcW w:w="5670" w:type="dxa"/>
          </w:tcPr>
          <w:p w14:paraId="0D350F1E" w14:textId="77777777" w:rsidR="006448E8" w:rsidRPr="00F60A9B" w:rsidRDefault="006448E8" w:rsidP="008D3D62">
            <w:pPr>
              <w:keepNext/>
              <w:keepLines/>
            </w:pPr>
            <w:r w:rsidRPr="00F60A9B">
              <w:t>Results in inconvenience or temporary discomfort</w:t>
            </w:r>
          </w:p>
        </w:tc>
      </w:tr>
    </w:tbl>
    <w:p w14:paraId="375D1E40" w14:textId="50912553" w:rsidR="006448E8" w:rsidRPr="00F60A9B" w:rsidRDefault="006448E8" w:rsidP="006448E8">
      <w:pPr>
        <w:pStyle w:val="Caption"/>
        <w:keepNext/>
        <w:keepLines/>
        <w:spacing w:before="60"/>
        <w:jc w:val="center"/>
        <w:rPr>
          <w:color w:val="auto"/>
        </w:rPr>
      </w:pPr>
      <w:bookmarkStart w:id="27" w:name="_Ref132959722"/>
      <w:bookmarkStart w:id="28" w:name="_Ref139254957"/>
      <w:r w:rsidRPr="00F60A9B">
        <w:rPr>
          <w:color w:val="auto"/>
        </w:rPr>
        <w:t xml:space="preserve">Table </w:t>
      </w:r>
      <w:r w:rsidRPr="00F60A9B">
        <w:rPr>
          <w:color w:val="auto"/>
        </w:rPr>
        <w:fldChar w:fldCharType="begin"/>
      </w:r>
      <w:r w:rsidRPr="00F60A9B">
        <w:rPr>
          <w:color w:val="auto"/>
        </w:rPr>
        <w:instrText xml:space="preserve"> SEQ Table \* ARABIC </w:instrText>
      </w:r>
      <w:r w:rsidRPr="00F60A9B">
        <w:rPr>
          <w:color w:val="auto"/>
        </w:rPr>
        <w:fldChar w:fldCharType="separate"/>
      </w:r>
      <w:r w:rsidR="001E41EA">
        <w:rPr>
          <w:noProof/>
          <w:color w:val="auto"/>
        </w:rPr>
        <w:t>2</w:t>
      </w:r>
      <w:r w:rsidRPr="00F60A9B">
        <w:rPr>
          <w:noProof/>
          <w:color w:val="auto"/>
        </w:rPr>
        <w:fldChar w:fldCharType="end"/>
      </w:r>
      <w:bookmarkEnd w:id="27"/>
      <w:r w:rsidRPr="00F60A9B">
        <w:rPr>
          <w:color w:val="auto"/>
        </w:rPr>
        <w:t xml:space="preserve"> - Example of five qualitative </w:t>
      </w:r>
      <w:r w:rsidRPr="00F60A9B">
        <w:rPr>
          <w:b/>
          <w:bCs/>
          <w:color w:val="auto"/>
        </w:rPr>
        <w:t>severity</w:t>
      </w:r>
      <w:r w:rsidRPr="00F60A9B">
        <w:rPr>
          <w:color w:val="auto"/>
        </w:rPr>
        <w:t xml:space="preserve"> levels</w:t>
      </w:r>
      <w:bookmarkEnd w:id="28"/>
    </w:p>
    <w:p w14:paraId="0A5E4423" w14:textId="77777777" w:rsidR="006448E8" w:rsidRPr="00F60A9B" w:rsidRDefault="006448E8" w:rsidP="006448E8"/>
    <w:tbl>
      <w:tblPr>
        <w:tblStyle w:val="TableGrid"/>
        <w:tblW w:w="0" w:type="auto"/>
        <w:jc w:val="center"/>
        <w:tblLook w:val="04A0" w:firstRow="1" w:lastRow="0" w:firstColumn="1" w:lastColumn="0" w:noHBand="0" w:noVBand="1"/>
      </w:tblPr>
      <w:tblGrid>
        <w:gridCol w:w="2245"/>
        <w:gridCol w:w="3600"/>
      </w:tblGrid>
      <w:tr w:rsidR="006448E8" w:rsidRPr="00F60A9B" w14:paraId="5798A3C0" w14:textId="77777777" w:rsidTr="008D3D62">
        <w:trPr>
          <w:tblHeader/>
          <w:jc w:val="center"/>
        </w:trPr>
        <w:tc>
          <w:tcPr>
            <w:tcW w:w="2245" w:type="dxa"/>
          </w:tcPr>
          <w:p w14:paraId="5D689FBF" w14:textId="77777777" w:rsidR="006448E8" w:rsidRPr="00F60A9B" w:rsidRDefault="006448E8" w:rsidP="008D3D62">
            <w:pPr>
              <w:jc w:val="center"/>
              <w:rPr>
                <w:b/>
                <w:bCs/>
              </w:rPr>
            </w:pPr>
            <w:r w:rsidRPr="00F60A9B">
              <w:rPr>
                <w:b/>
                <w:bCs/>
              </w:rPr>
              <w:lastRenderedPageBreak/>
              <w:t>Common Terms</w:t>
            </w:r>
          </w:p>
        </w:tc>
        <w:tc>
          <w:tcPr>
            <w:tcW w:w="3600" w:type="dxa"/>
          </w:tcPr>
          <w:p w14:paraId="11C54299" w14:textId="77777777" w:rsidR="006448E8" w:rsidRPr="00F60A9B" w:rsidRDefault="006448E8" w:rsidP="008D3D62">
            <w:pPr>
              <w:jc w:val="center"/>
            </w:pPr>
            <w:r w:rsidRPr="00F60A9B">
              <w:rPr>
                <w:b/>
                <w:bCs/>
              </w:rPr>
              <w:t>Examples of Probability Range</w:t>
            </w:r>
          </w:p>
        </w:tc>
      </w:tr>
      <w:tr w:rsidR="006448E8" w:rsidRPr="00F60A9B" w14:paraId="453D526A" w14:textId="77777777" w:rsidTr="008D3D62">
        <w:trPr>
          <w:jc w:val="center"/>
        </w:trPr>
        <w:tc>
          <w:tcPr>
            <w:tcW w:w="2245" w:type="dxa"/>
          </w:tcPr>
          <w:p w14:paraId="15CED11F" w14:textId="77777777" w:rsidR="006448E8" w:rsidRPr="00F60A9B" w:rsidRDefault="006448E8" w:rsidP="008D3D62">
            <w:pPr>
              <w:jc w:val="center"/>
            </w:pPr>
            <w:r w:rsidRPr="00F60A9B">
              <w:t>Frequent</w:t>
            </w:r>
          </w:p>
        </w:tc>
        <w:tc>
          <w:tcPr>
            <w:tcW w:w="3600" w:type="dxa"/>
          </w:tcPr>
          <w:p w14:paraId="3A3959F8" w14:textId="77777777" w:rsidR="006448E8" w:rsidRPr="00F60A9B" w:rsidRDefault="006448E8" w:rsidP="008D3D62">
            <w:pPr>
              <w:jc w:val="center"/>
            </w:pPr>
            <w:r w:rsidRPr="00F60A9B">
              <w:rPr>
                <w:rFonts w:cstheme="minorHAnsi"/>
              </w:rPr>
              <w:t>≥</w:t>
            </w:r>
            <w:r w:rsidRPr="00F60A9B">
              <w:t>10</w:t>
            </w:r>
            <w:r w:rsidRPr="00F60A9B">
              <w:rPr>
                <w:vertAlign w:val="superscript"/>
              </w:rPr>
              <w:t>-3</w:t>
            </w:r>
          </w:p>
        </w:tc>
      </w:tr>
      <w:tr w:rsidR="006448E8" w:rsidRPr="00F60A9B" w14:paraId="7FE86EA0" w14:textId="77777777" w:rsidTr="008D3D62">
        <w:trPr>
          <w:jc w:val="center"/>
        </w:trPr>
        <w:tc>
          <w:tcPr>
            <w:tcW w:w="2245" w:type="dxa"/>
          </w:tcPr>
          <w:p w14:paraId="5C8F85BF" w14:textId="77777777" w:rsidR="006448E8" w:rsidRPr="00F60A9B" w:rsidRDefault="006448E8" w:rsidP="008D3D62">
            <w:pPr>
              <w:jc w:val="center"/>
            </w:pPr>
            <w:r w:rsidRPr="00F60A9B">
              <w:t>Probable</w:t>
            </w:r>
          </w:p>
        </w:tc>
        <w:tc>
          <w:tcPr>
            <w:tcW w:w="3600" w:type="dxa"/>
          </w:tcPr>
          <w:p w14:paraId="090AD70B" w14:textId="77777777" w:rsidR="006448E8" w:rsidRPr="00F60A9B" w:rsidRDefault="006448E8" w:rsidP="008D3D62">
            <w:pPr>
              <w:jc w:val="center"/>
            </w:pPr>
            <w:r w:rsidRPr="00F60A9B">
              <w:t>&lt;10</w:t>
            </w:r>
            <w:r w:rsidRPr="00F60A9B">
              <w:rPr>
                <w:vertAlign w:val="superscript"/>
              </w:rPr>
              <w:t>-3</w:t>
            </w:r>
            <w:r w:rsidRPr="00F60A9B">
              <w:t xml:space="preserve"> and </w:t>
            </w:r>
            <w:r w:rsidRPr="00F60A9B">
              <w:rPr>
                <w:rFonts w:cstheme="minorHAnsi"/>
              </w:rPr>
              <w:t>≥</w:t>
            </w:r>
            <w:r w:rsidRPr="00F60A9B">
              <w:t>10</w:t>
            </w:r>
            <w:r w:rsidRPr="00F60A9B">
              <w:rPr>
                <w:vertAlign w:val="superscript"/>
              </w:rPr>
              <w:t>-4</w:t>
            </w:r>
          </w:p>
        </w:tc>
      </w:tr>
      <w:tr w:rsidR="006448E8" w:rsidRPr="00F60A9B" w14:paraId="1B309A26" w14:textId="77777777" w:rsidTr="008D3D62">
        <w:trPr>
          <w:jc w:val="center"/>
        </w:trPr>
        <w:tc>
          <w:tcPr>
            <w:tcW w:w="2245" w:type="dxa"/>
          </w:tcPr>
          <w:p w14:paraId="12E8E1B8" w14:textId="77777777" w:rsidR="006448E8" w:rsidRPr="00F60A9B" w:rsidRDefault="006448E8" w:rsidP="008D3D62">
            <w:pPr>
              <w:jc w:val="center"/>
            </w:pPr>
            <w:r w:rsidRPr="00F60A9B">
              <w:t>Occasional</w:t>
            </w:r>
          </w:p>
        </w:tc>
        <w:tc>
          <w:tcPr>
            <w:tcW w:w="3600" w:type="dxa"/>
          </w:tcPr>
          <w:p w14:paraId="0B281169" w14:textId="77777777" w:rsidR="006448E8" w:rsidRPr="00F60A9B" w:rsidRDefault="006448E8" w:rsidP="008D3D62">
            <w:pPr>
              <w:jc w:val="center"/>
            </w:pPr>
            <w:r w:rsidRPr="00F60A9B">
              <w:t>&lt;10</w:t>
            </w:r>
            <w:r w:rsidRPr="00F60A9B">
              <w:rPr>
                <w:vertAlign w:val="superscript"/>
              </w:rPr>
              <w:t>-4</w:t>
            </w:r>
            <w:r w:rsidRPr="00F60A9B">
              <w:t xml:space="preserve"> and </w:t>
            </w:r>
            <w:r w:rsidRPr="00F60A9B">
              <w:rPr>
                <w:rFonts w:cstheme="minorHAnsi"/>
              </w:rPr>
              <w:t>≥</w:t>
            </w:r>
            <w:r w:rsidRPr="00F60A9B">
              <w:t>10</w:t>
            </w:r>
            <w:r w:rsidRPr="00F60A9B">
              <w:rPr>
                <w:vertAlign w:val="superscript"/>
              </w:rPr>
              <w:t>-5</w:t>
            </w:r>
          </w:p>
        </w:tc>
      </w:tr>
      <w:tr w:rsidR="006448E8" w:rsidRPr="00F60A9B" w14:paraId="76B32C03" w14:textId="77777777" w:rsidTr="008D3D62">
        <w:trPr>
          <w:jc w:val="center"/>
        </w:trPr>
        <w:tc>
          <w:tcPr>
            <w:tcW w:w="2245" w:type="dxa"/>
          </w:tcPr>
          <w:p w14:paraId="329675B4" w14:textId="77777777" w:rsidR="006448E8" w:rsidRPr="00F60A9B" w:rsidRDefault="006448E8" w:rsidP="008D3D62">
            <w:pPr>
              <w:jc w:val="center"/>
            </w:pPr>
            <w:r w:rsidRPr="00F60A9B">
              <w:t>Remote</w:t>
            </w:r>
          </w:p>
        </w:tc>
        <w:tc>
          <w:tcPr>
            <w:tcW w:w="3600" w:type="dxa"/>
          </w:tcPr>
          <w:p w14:paraId="512E4252" w14:textId="77777777" w:rsidR="006448E8" w:rsidRPr="00F60A9B" w:rsidRDefault="006448E8" w:rsidP="008D3D62">
            <w:pPr>
              <w:jc w:val="center"/>
            </w:pPr>
            <w:r w:rsidRPr="00F60A9B">
              <w:t>&lt;10</w:t>
            </w:r>
            <w:r w:rsidRPr="00F60A9B">
              <w:rPr>
                <w:vertAlign w:val="superscript"/>
              </w:rPr>
              <w:t>-5</w:t>
            </w:r>
            <w:r w:rsidRPr="00F60A9B">
              <w:t xml:space="preserve"> and </w:t>
            </w:r>
            <w:r w:rsidRPr="00F60A9B">
              <w:rPr>
                <w:rFonts w:cstheme="minorHAnsi"/>
              </w:rPr>
              <w:t>≥</w:t>
            </w:r>
            <w:r w:rsidRPr="00F60A9B">
              <w:t>10</w:t>
            </w:r>
            <w:r w:rsidRPr="00F60A9B">
              <w:rPr>
                <w:vertAlign w:val="superscript"/>
              </w:rPr>
              <w:t>-6</w:t>
            </w:r>
          </w:p>
        </w:tc>
      </w:tr>
      <w:tr w:rsidR="006448E8" w:rsidRPr="00F60A9B" w14:paraId="07C77E6C" w14:textId="77777777" w:rsidTr="008D3D62">
        <w:trPr>
          <w:jc w:val="center"/>
        </w:trPr>
        <w:tc>
          <w:tcPr>
            <w:tcW w:w="2245" w:type="dxa"/>
          </w:tcPr>
          <w:p w14:paraId="52AC6254" w14:textId="77777777" w:rsidR="006448E8" w:rsidRPr="00F60A9B" w:rsidRDefault="006448E8" w:rsidP="008D3D62">
            <w:pPr>
              <w:jc w:val="center"/>
            </w:pPr>
            <w:r w:rsidRPr="00F60A9B">
              <w:t>Improbable</w:t>
            </w:r>
          </w:p>
        </w:tc>
        <w:tc>
          <w:tcPr>
            <w:tcW w:w="3600" w:type="dxa"/>
          </w:tcPr>
          <w:p w14:paraId="3A451871" w14:textId="77777777" w:rsidR="006448E8" w:rsidRPr="00F60A9B" w:rsidRDefault="006448E8" w:rsidP="008D3D62">
            <w:pPr>
              <w:keepNext/>
              <w:jc w:val="center"/>
            </w:pPr>
            <w:r w:rsidRPr="00F60A9B">
              <w:t>&lt;10</w:t>
            </w:r>
            <w:r w:rsidRPr="00F60A9B">
              <w:rPr>
                <w:vertAlign w:val="superscript"/>
              </w:rPr>
              <w:t>-6</w:t>
            </w:r>
          </w:p>
        </w:tc>
      </w:tr>
    </w:tbl>
    <w:p w14:paraId="22A96D80" w14:textId="2080C5CD" w:rsidR="006448E8" w:rsidRPr="005373BE" w:rsidRDefault="006448E8" w:rsidP="005373BE">
      <w:pPr>
        <w:pStyle w:val="Caption"/>
        <w:spacing w:before="60"/>
        <w:jc w:val="center"/>
        <w:rPr>
          <w:color w:val="auto"/>
        </w:rPr>
      </w:pPr>
      <w:bookmarkStart w:id="29" w:name="_Ref132959732"/>
      <w:bookmarkStart w:id="30" w:name="_Ref139254960"/>
      <w:r w:rsidRPr="00F60A9B">
        <w:rPr>
          <w:color w:val="auto"/>
        </w:rPr>
        <w:t xml:space="preserve">Table </w:t>
      </w:r>
      <w:r w:rsidRPr="00F60A9B">
        <w:rPr>
          <w:color w:val="auto"/>
        </w:rPr>
        <w:fldChar w:fldCharType="begin"/>
      </w:r>
      <w:r w:rsidRPr="00F60A9B">
        <w:rPr>
          <w:color w:val="auto"/>
        </w:rPr>
        <w:instrText xml:space="preserve"> SEQ Table \* ARABIC </w:instrText>
      </w:r>
      <w:r w:rsidRPr="00F60A9B">
        <w:rPr>
          <w:color w:val="auto"/>
        </w:rPr>
        <w:fldChar w:fldCharType="separate"/>
      </w:r>
      <w:r w:rsidR="001E41EA">
        <w:rPr>
          <w:noProof/>
          <w:color w:val="auto"/>
        </w:rPr>
        <w:t>3</w:t>
      </w:r>
      <w:r w:rsidRPr="00F60A9B">
        <w:rPr>
          <w:noProof/>
          <w:color w:val="auto"/>
        </w:rPr>
        <w:fldChar w:fldCharType="end"/>
      </w:r>
      <w:bookmarkEnd w:id="29"/>
      <w:r w:rsidRPr="00F60A9B">
        <w:rPr>
          <w:noProof/>
          <w:color w:val="auto"/>
        </w:rPr>
        <w:t xml:space="preserve"> - Example of five semi-quantitative </w:t>
      </w:r>
      <w:r w:rsidRPr="00F60A9B">
        <w:rPr>
          <w:b/>
          <w:bCs/>
          <w:noProof/>
          <w:color w:val="auto"/>
        </w:rPr>
        <w:t>probability</w:t>
      </w:r>
      <w:r w:rsidRPr="00F60A9B">
        <w:rPr>
          <w:noProof/>
          <w:color w:val="auto"/>
        </w:rPr>
        <w:t xml:space="preserve"> levels</w:t>
      </w:r>
      <w:bookmarkEnd w:id="30"/>
    </w:p>
    <w:p w14:paraId="7B81DB96" w14:textId="6A9E2D0B" w:rsidR="0099285A" w:rsidRDefault="00436032" w:rsidP="006448E8">
      <w:r>
        <w:t xml:space="preserve">The third requirement for a risk metric, </w:t>
      </w:r>
      <w:proofErr w:type="gramStart"/>
      <w:r w:rsidRPr="00436032">
        <w:rPr>
          <w:i/>
          <w:iCs/>
        </w:rPr>
        <w:t>Produce</w:t>
      </w:r>
      <w:proofErr w:type="gramEnd"/>
      <w:r w:rsidRPr="00436032">
        <w:rPr>
          <w:i/>
          <w:iCs/>
        </w:rPr>
        <w:t xml:space="preserve"> different measurement results for different risks</w:t>
      </w:r>
      <w:r>
        <w:t xml:space="preserve">, is not strictly met for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and </w:t>
      </w:r>
      <w:r>
        <w:fldChar w:fldCharType="begin"/>
      </w:r>
      <w:r>
        <w:instrText xml:space="preserve"> REF _Ref132959732 \h </w:instrText>
      </w:r>
      <w:r>
        <w:fldChar w:fldCharType="separate"/>
      </w:r>
      <w:r w:rsidR="001E41EA" w:rsidRPr="00F60A9B">
        <w:t xml:space="preserve">Table </w:t>
      </w:r>
      <w:r w:rsidR="001E41EA">
        <w:rPr>
          <w:noProof/>
        </w:rPr>
        <w:t>3</w:t>
      </w:r>
      <w:r>
        <w:fldChar w:fldCharType="end"/>
      </w:r>
      <w:r>
        <w:t xml:space="preserve"> because the categories for Severity and Probability are so wide that lots of different risks will have the same metric.  However, the thinner the categories, the more data is required to determine the proper category to properly categorize a risk.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and </w:t>
      </w:r>
      <w:r>
        <w:fldChar w:fldCharType="begin"/>
      </w:r>
      <w:r>
        <w:instrText xml:space="preserve"> REF _Ref132959732 \h </w:instrText>
      </w:r>
      <w:r>
        <w:fldChar w:fldCharType="separate"/>
      </w:r>
      <w:r w:rsidR="001E41EA" w:rsidRPr="00F60A9B">
        <w:t xml:space="preserve">Table </w:t>
      </w:r>
      <w:r w:rsidR="001E41EA">
        <w:rPr>
          <w:noProof/>
        </w:rPr>
        <w:t>3</w:t>
      </w:r>
      <w:r>
        <w:fldChar w:fldCharType="end"/>
      </w:r>
      <w:r>
        <w:t xml:space="preserve"> are the result of compromise by the Technical Committee that wrote ISO 14971 between the amount of data needed to discern in which category a risk belongs and the </w:t>
      </w:r>
      <w:r w:rsidR="0099285A">
        <w:t xml:space="preserve">ability of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and </w:t>
      </w:r>
      <w:r>
        <w:fldChar w:fldCharType="begin"/>
      </w:r>
      <w:r>
        <w:instrText xml:space="preserve"> REF _Ref132959732 \h </w:instrText>
      </w:r>
      <w:r>
        <w:fldChar w:fldCharType="separate"/>
      </w:r>
      <w:r w:rsidR="001E41EA" w:rsidRPr="00F60A9B">
        <w:t xml:space="preserve">Table </w:t>
      </w:r>
      <w:r w:rsidR="001E41EA">
        <w:rPr>
          <w:noProof/>
        </w:rPr>
        <w:t>3</w:t>
      </w:r>
      <w:r>
        <w:fldChar w:fldCharType="end"/>
      </w:r>
      <w:r w:rsidR="0099285A">
        <w:t xml:space="preserve"> to resolve differences between risks</w:t>
      </w:r>
      <w:r>
        <w:t xml:space="preserve">.  </w:t>
      </w:r>
    </w:p>
    <w:p w14:paraId="1C7BCEF4" w14:textId="79DB43FD" w:rsidR="0034645A" w:rsidRDefault="005373BE" w:rsidP="006448E8">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and </w:t>
      </w:r>
      <w:r>
        <w:fldChar w:fldCharType="begin"/>
      </w:r>
      <w:r>
        <w:instrText xml:space="preserve"> REF _Ref132959732 \h </w:instrText>
      </w:r>
      <w:r>
        <w:fldChar w:fldCharType="separate"/>
      </w:r>
      <w:r w:rsidR="001E41EA" w:rsidRPr="00F60A9B">
        <w:t xml:space="preserve">Table </w:t>
      </w:r>
      <w:r w:rsidR="001E41EA">
        <w:rPr>
          <w:noProof/>
        </w:rPr>
        <w:t>3</w:t>
      </w:r>
      <w:r>
        <w:fldChar w:fldCharType="end"/>
      </w:r>
      <w:r>
        <w:t xml:space="preserve"> </w:t>
      </w:r>
      <w:r w:rsidR="00DE51EF">
        <w:t xml:space="preserve">were designed to measure the </w:t>
      </w:r>
      <w:r>
        <w:t xml:space="preserve">risks from the medical treatment; i.e., the risks in </w:t>
      </w:r>
      <m:oMath>
        <m:r>
          <w:rPr>
            <w:rFonts w:ascii="Cambria Math" w:hAnsi="Cambria Math"/>
          </w:rPr>
          <m:t>R</m:t>
        </m:r>
      </m:oMath>
      <w:r>
        <w:rPr>
          <w:rFonts w:eastAsiaTheme="minorEastAsia"/>
        </w:rPr>
        <w:t xml:space="preserve">.  </w:t>
      </w:r>
      <w:r w:rsidR="00DE51EF">
        <w:rPr>
          <w:rFonts w:eastAsiaTheme="minorEastAsia"/>
        </w:rPr>
        <w:t xml:space="preserve">For this reason, </w:t>
      </w:r>
      <w:r w:rsidR="00DE51EF">
        <w:fldChar w:fldCharType="begin"/>
      </w:r>
      <w:r w:rsidR="00DE51EF">
        <w:instrText xml:space="preserve"> REF _Ref132959732 \h </w:instrText>
      </w:r>
      <w:r w:rsidR="00DE51EF">
        <w:fldChar w:fldCharType="separate"/>
      </w:r>
      <w:r w:rsidR="001E41EA" w:rsidRPr="00F60A9B">
        <w:t xml:space="preserve">Table </w:t>
      </w:r>
      <w:r w:rsidR="001E41EA">
        <w:rPr>
          <w:noProof/>
        </w:rPr>
        <w:t>3</w:t>
      </w:r>
      <w:r w:rsidR="00DE51EF">
        <w:fldChar w:fldCharType="end"/>
      </w:r>
      <w:r w:rsidR="00DE51EF">
        <w:t xml:space="preserve"> </w:t>
      </w:r>
      <w:r w:rsidR="0034645A">
        <w:t>doesn’t resolve risks that occur more frequently than 0.1% of the time.  However, s</w:t>
      </w:r>
      <w:r>
        <w:rPr>
          <w:rFonts w:eastAsiaTheme="minorEastAsia"/>
        </w:rPr>
        <w:t xml:space="preserve">ince the risks in </w:t>
      </w:r>
      <w:r w:rsidRPr="00F60A9B">
        <w:rPr>
          <w:rFonts w:eastAsiaTheme="minorEastAsia"/>
        </w:rPr>
        <w:t xml:space="preserve">of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eastAsiaTheme="minorEastAsia"/>
        </w:rPr>
        <w:t xml:space="preserve"> represent the patient’s risks to health before treatment, at least some of the risks in </w:t>
      </w:r>
      <w:r w:rsidRPr="00F60A9B">
        <w:rPr>
          <w:rFonts w:eastAsiaTheme="minorEastAsia"/>
        </w:rPr>
        <w:t xml:space="preserve">of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eastAsiaTheme="minorEastAsia"/>
        </w:rPr>
        <w:t xml:space="preserve"> will always occur.  </w:t>
      </w:r>
      <w:r w:rsidR="0034645A">
        <w:rPr>
          <w:rFonts w:eastAsiaTheme="minorEastAsia"/>
        </w:rPr>
        <w:t xml:space="preserve">Therefore, some of the 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34645A">
        <w:rPr>
          <w:rFonts w:eastAsiaTheme="minorEastAsia"/>
        </w:rPr>
        <w:t xml:space="preserve"> will occur significantly more often than 0.1% of the time</w:t>
      </w:r>
      <w:r w:rsidR="00076F03">
        <w:rPr>
          <w:rFonts w:eastAsiaTheme="minorEastAsia"/>
        </w:rPr>
        <w:t xml:space="preserve">.  Therefore, if we use </w:t>
      </w:r>
      <w:r w:rsidR="00076F03">
        <w:fldChar w:fldCharType="begin"/>
      </w:r>
      <w:r w:rsidR="00076F03">
        <w:instrText xml:space="preserve"> REF _Ref132959732 \h </w:instrText>
      </w:r>
      <w:r w:rsidR="00076F03">
        <w:fldChar w:fldCharType="separate"/>
      </w:r>
      <w:r w:rsidR="001E41EA" w:rsidRPr="00F60A9B">
        <w:t xml:space="preserve">Table </w:t>
      </w:r>
      <w:r w:rsidR="001E41EA">
        <w:rPr>
          <w:noProof/>
        </w:rPr>
        <w:t>3</w:t>
      </w:r>
      <w:r w:rsidR="00076F03">
        <w:fldChar w:fldCharType="end"/>
      </w:r>
      <w:r w:rsidR="00076F03">
        <w:t xml:space="preserve"> as a risk metric, we will measure significantly different risks as the same if the risks that occur more often than 0.1% of the time.  This fails the requirement to </w:t>
      </w:r>
      <w:r w:rsidR="00076F03" w:rsidRPr="00436032">
        <w:rPr>
          <w:i/>
          <w:iCs/>
        </w:rPr>
        <w:t>Produce different measurement results for different risks</w:t>
      </w:r>
      <w:r w:rsidR="0034645A">
        <w:rPr>
          <w:rFonts w:eastAsiaTheme="minorEastAsia"/>
        </w:rPr>
        <w:t xml:space="preserve"> </w:t>
      </w:r>
      <w:r w:rsidR="00076F03">
        <w:rPr>
          <w:rFonts w:eastAsiaTheme="minorEastAsia"/>
        </w:rPr>
        <w:t xml:space="preserve">significantly more than for other probabilities of risk.  </w:t>
      </w:r>
    </w:p>
    <w:p w14:paraId="2920B12D" w14:textId="0481FD02" w:rsidR="0034645A" w:rsidRDefault="00076F03" w:rsidP="0034645A">
      <w:r>
        <w:t xml:space="preserve">In order to correct our risk metric to treat risks with high rates of occurrence the same as risks for lower rates of occurrence, we first note that </w:t>
      </w:r>
      <w:r w:rsidR="0034645A">
        <w:fldChar w:fldCharType="begin"/>
      </w:r>
      <w:r w:rsidR="0034645A">
        <w:instrText xml:space="preserve"> REF _Ref132959732 \h </w:instrText>
      </w:r>
      <w:r w:rsidR="0034645A">
        <w:fldChar w:fldCharType="separate"/>
      </w:r>
      <w:r w:rsidR="001E41EA" w:rsidRPr="00F60A9B">
        <w:t xml:space="preserve">Table </w:t>
      </w:r>
      <w:r w:rsidR="001E41EA">
        <w:rPr>
          <w:noProof/>
        </w:rPr>
        <w:t>3</w:t>
      </w:r>
      <w:r w:rsidR="0034645A">
        <w:fldChar w:fldCharType="end"/>
      </w:r>
      <w:r w:rsidR="0034645A">
        <w:t xml:space="preserve"> uses decade-wide ranges for the center three risk categories</w:t>
      </w:r>
      <w:r>
        <w:t>.  Therefore,</w:t>
      </w:r>
      <w:r w:rsidR="0034645A">
        <w:t xml:space="preserve"> we will extend the high-occurrence end of </w:t>
      </w:r>
      <w:r w:rsidR="0034645A">
        <w:fldChar w:fldCharType="begin"/>
      </w:r>
      <w:r w:rsidR="0034645A">
        <w:instrText xml:space="preserve"> REF _Ref132959732 \h </w:instrText>
      </w:r>
      <w:r w:rsidR="0034645A">
        <w:fldChar w:fldCharType="separate"/>
      </w:r>
      <w:r w:rsidR="001E41EA" w:rsidRPr="00F60A9B">
        <w:t xml:space="preserve">Table </w:t>
      </w:r>
      <w:r w:rsidR="001E41EA">
        <w:rPr>
          <w:noProof/>
        </w:rPr>
        <w:t>3</w:t>
      </w:r>
      <w:r w:rsidR="0034645A">
        <w:fldChar w:fldCharType="end"/>
      </w:r>
      <w:r w:rsidR="0034645A">
        <w:t xml:space="preserve">, while maintaining consistency with decade-wide probability ranges in the center of </w:t>
      </w:r>
      <w:r w:rsidR="0034645A">
        <w:fldChar w:fldCharType="begin"/>
      </w:r>
      <w:r w:rsidR="0034645A">
        <w:instrText xml:space="preserve"> REF _Ref132959732 \h </w:instrText>
      </w:r>
      <w:r w:rsidR="0034645A">
        <w:fldChar w:fldCharType="separate"/>
      </w:r>
      <w:r w:rsidR="001E41EA" w:rsidRPr="00F60A9B">
        <w:t xml:space="preserve">Table </w:t>
      </w:r>
      <w:r w:rsidR="001E41EA">
        <w:rPr>
          <w:noProof/>
        </w:rPr>
        <w:t>3</w:t>
      </w:r>
      <w:r w:rsidR="0034645A">
        <w:fldChar w:fldCharType="end"/>
      </w:r>
      <w:r w:rsidR="0034645A">
        <w:t xml:space="preserve">.  The result is: </w:t>
      </w:r>
    </w:p>
    <w:tbl>
      <w:tblPr>
        <w:tblStyle w:val="TableGrid"/>
        <w:tblW w:w="0" w:type="auto"/>
        <w:jc w:val="center"/>
        <w:tblLook w:val="04A0" w:firstRow="1" w:lastRow="0" w:firstColumn="1" w:lastColumn="0" w:noHBand="0" w:noVBand="1"/>
      </w:tblPr>
      <w:tblGrid>
        <w:gridCol w:w="1501"/>
        <w:gridCol w:w="2184"/>
        <w:gridCol w:w="2880"/>
        <w:gridCol w:w="2785"/>
      </w:tblGrid>
      <w:tr w:rsidR="0034645A" w:rsidRPr="00F60A9B" w14:paraId="4975A6F0" w14:textId="77777777" w:rsidTr="008D3D62">
        <w:trPr>
          <w:tblHeader/>
          <w:jc w:val="center"/>
        </w:trPr>
        <w:tc>
          <w:tcPr>
            <w:tcW w:w="1501" w:type="dxa"/>
          </w:tcPr>
          <w:p w14:paraId="6639DFCA" w14:textId="77777777" w:rsidR="0034645A" w:rsidRPr="00F60A9B" w:rsidRDefault="0034645A" w:rsidP="008D3D62">
            <w:pPr>
              <w:jc w:val="center"/>
              <w:rPr>
                <w:b/>
                <w:bCs/>
              </w:rPr>
            </w:pPr>
            <w:r w:rsidRPr="00F60A9B">
              <w:rPr>
                <w:b/>
                <w:bCs/>
              </w:rPr>
              <w:t>Common Terms</w:t>
            </w:r>
          </w:p>
        </w:tc>
        <w:tc>
          <w:tcPr>
            <w:tcW w:w="2184" w:type="dxa"/>
          </w:tcPr>
          <w:p w14:paraId="554B3D6B" w14:textId="77777777" w:rsidR="0034645A" w:rsidRPr="00F60A9B" w:rsidRDefault="0034645A" w:rsidP="008D3D62">
            <w:pPr>
              <w:jc w:val="center"/>
            </w:pPr>
            <w:r w:rsidRPr="00F60A9B">
              <w:rPr>
                <w:b/>
                <w:bCs/>
              </w:rPr>
              <w:t>Examples of Probability Range</w:t>
            </w:r>
          </w:p>
        </w:tc>
        <w:tc>
          <w:tcPr>
            <w:tcW w:w="5665" w:type="dxa"/>
            <w:gridSpan w:val="2"/>
          </w:tcPr>
          <w:p w14:paraId="4280276F" w14:textId="77777777" w:rsidR="0034645A" w:rsidRDefault="0034645A" w:rsidP="008D3D62">
            <w:pPr>
              <w:jc w:val="center"/>
              <w:rPr>
                <w:b/>
                <w:bCs/>
              </w:rPr>
            </w:pPr>
            <w:r>
              <w:rPr>
                <w:b/>
                <w:bCs/>
              </w:rPr>
              <w:t>Equivalent Statements of Probability</w:t>
            </w:r>
          </w:p>
        </w:tc>
      </w:tr>
      <w:tr w:rsidR="0034645A" w:rsidRPr="00F60A9B" w14:paraId="3563C62B" w14:textId="77777777" w:rsidTr="008D3D62">
        <w:trPr>
          <w:jc w:val="center"/>
        </w:trPr>
        <w:tc>
          <w:tcPr>
            <w:tcW w:w="1501" w:type="dxa"/>
          </w:tcPr>
          <w:p w14:paraId="41922851" w14:textId="77777777" w:rsidR="0034645A" w:rsidRPr="00F60A9B" w:rsidRDefault="0034645A" w:rsidP="008D3D62">
            <w:pPr>
              <w:jc w:val="center"/>
            </w:pPr>
            <w:r>
              <w:t>Expected</w:t>
            </w:r>
          </w:p>
        </w:tc>
        <w:tc>
          <w:tcPr>
            <w:tcW w:w="2184" w:type="dxa"/>
          </w:tcPr>
          <w:p w14:paraId="1F21912E" w14:textId="77777777" w:rsidR="0034645A" w:rsidRPr="00F60A9B" w:rsidRDefault="0034645A" w:rsidP="008D3D62">
            <w:pPr>
              <w:jc w:val="center"/>
              <w:rPr>
                <w:rFonts w:cstheme="minorHAnsi"/>
              </w:rPr>
            </w:pPr>
            <w:r w:rsidRPr="00F60A9B">
              <w:rPr>
                <w:rFonts w:cstheme="minorHAnsi"/>
              </w:rPr>
              <w:t>≥</w:t>
            </w:r>
            <w:r w:rsidRPr="00F60A9B">
              <w:t>10</w:t>
            </w:r>
            <w:r w:rsidRPr="00F60A9B">
              <w:rPr>
                <w:vertAlign w:val="superscript"/>
              </w:rPr>
              <w:t>-</w:t>
            </w:r>
            <w:r>
              <w:rPr>
                <w:vertAlign w:val="superscript"/>
              </w:rPr>
              <w:t>0</w:t>
            </w:r>
            <w:r>
              <w:rPr>
                <w:rFonts w:cstheme="minorHAnsi"/>
              </w:rPr>
              <w:t xml:space="preserve"> and </w:t>
            </w:r>
            <w:r w:rsidRPr="00F60A9B">
              <w:rPr>
                <w:rFonts w:cstheme="minorHAnsi"/>
              </w:rPr>
              <w:t>≥</w:t>
            </w:r>
            <w:r w:rsidRPr="00F60A9B">
              <w:t>10</w:t>
            </w:r>
            <w:r w:rsidRPr="00F60A9B">
              <w:rPr>
                <w:vertAlign w:val="superscript"/>
              </w:rPr>
              <w:t>-</w:t>
            </w:r>
            <w:r>
              <w:rPr>
                <w:vertAlign w:val="superscript"/>
              </w:rPr>
              <w:t>1</w:t>
            </w:r>
          </w:p>
        </w:tc>
        <w:tc>
          <w:tcPr>
            <w:tcW w:w="2880" w:type="dxa"/>
          </w:tcPr>
          <w:p w14:paraId="65CB5ECF" w14:textId="77777777" w:rsidR="0034645A" w:rsidRPr="00F60A9B" w:rsidRDefault="0034645A" w:rsidP="008D3D62">
            <w:pPr>
              <w:jc w:val="center"/>
              <w:rPr>
                <w:rFonts w:cstheme="minorHAnsi"/>
              </w:rPr>
            </w:pPr>
            <w:r w:rsidRPr="00F60A9B">
              <w:rPr>
                <w:rFonts w:cstheme="minorHAnsi"/>
              </w:rPr>
              <w:t>≥</w:t>
            </w:r>
            <w:r>
              <w:rPr>
                <w:rFonts w:cstheme="minorHAnsi"/>
              </w:rPr>
              <w:t xml:space="preserve">1.0 and </w:t>
            </w:r>
            <w:r w:rsidRPr="00F60A9B">
              <w:rPr>
                <w:rFonts w:cstheme="minorHAnsi"/>
              </w:rPr>
              <w:t>≥</w:t>
            </w:r>
            <w:r>
              <w:rPr>
                <w:rFonts w:cstheme="minorHAnsi"/>
              </w:rPr>
              <w:t>0.1</w:t>
            </w:r>
          </w:p>
        </w:tc>
        <w:tc>
          <w:tcPr>
            <w:tcW w:w="2785" w:type="dxa"/>
          </w:tcPr>
          <w:p w14:paraId="460127E1" w14:textId="77777777" w:rsidR="0034645A" w:rsidRPr="00F60A9B" w:rsidRDefault="0034645A" w:rsidP="008D3D62">
            <w:pPr>
              <w:jc w:val="center"/>
              <w:rPr>
                <w:rFonts w:cstheme="minorHAnsi"/>
              </w:rPr>
            </w:pPr>
            <w:r w:rsidRPr="00F60A9B">
              <w:rPr>
                <w:rFonts w:cstheme="minorHAnsi"/>
              </w:rPr>
              <w:t>≥</w:t>
            </w:r>
            <w:r>
              <w:rPr>
                <w:rFonts w:cstheme="minorHAnsi"/>
              </w:rPr>
              <w:t xml:space="preserve">100% and </w:t>
            </w:r>
            <w:r w:rsidRPr="00F60A9B">
              <w:rPr>
                <w:rFonts w:cstheme="minorHAnsi"/>
              </w:rPr>
              <w:t>≥</w:t>
            </w:r>
            <w:r w:rsidRPr="00F60A9B">
              <w:t>1</w:t>
            </w:r>
            <w:r>
              <w:t>0%</w:t>
            </w:r>
          </w:p>
        </w:tc>
      </w:tr>
      <w:tr w:rsidR="0034645A" w:rsidRPr="00F60A9B" w14:paraId="7CE7AE0B" w14:textId="77777777" w:rsidTr="008D3D62">
        <w:trPr>
          <w:jc w:val="center"/>
        </w:trPr>
        <w:tc>
          <w:tcPr>
            <w:tcW w:w="1501" w:type="dxa"/>
          </w:tcPr>
          <w:p w14:paraId="4FB63AE2" w14:textId="77777777" w:rsidR="0034645A" w:rsidRPr="00F60A9B" w:rsidRDefault="0034645A" w:rsidP="008D3D62">
            <w:pPr>
              <w:jc w:val="center"/>
            </w:pPr>
            <w:r>
              <w:t>Often</w:t>
            </w:r>
          </w:p>
        </w:tc>
        <w:tc>
          <w:tcPr>
            <w:tcW w:w="2184" w:type="dxa"/>
          </w:tcPr>
          <w:p w14:paraId="1CFDD316" w14:textId="77777777" w:rsidR="0034645A" w:rsidRPr="00F60A9B" w:rsidRDefault="0034645A" w:rsidP="008D3D62">
            <w:pPr>
              <w:jc w:val="center"/>
              <w:rPr>
                <w:rFonts w:cstheme="minorHAnsi"/>
              </w:rPr>
            </w:pPr>
            <w:r w:rsidRPr="00F60A9B">
              <w:t>&lt;10</w:t>
            </w:r>
            <w:r w:rsidRPr="00F60A9B">
              <w:rPr>
                <w:vertAlign w:val="superscript"/>
              </w:rPr>
              <w:t>-</w:t>
            </w:r>
            <w:r>
              <w:rPr>
                <w:vertAlign w:val="superscript"/>
              </w:rPr>
              <w:t>1</w:t>
            </w:r>
            <w:r w:rsidRPr="00F60A9B">
              <w:t xml:space="preserve"> and </w:t>
            </w:r>
            <w:r w:rsidRPr="00F60A9B">
              <w:rPr>
                <w:rFonts w:cstheme="minorHAnsi"/>
              </w:rPr>
              <w:t>≥</w:t>
            </w:r>
            <w:r w:rsidRPr="00F60A9B">
              <w:t>10</w:t>
            </w:r>
            <w:r w:rsidRPr="00F60A9B">
              <w:rPr>
                <w:vertAlign w:val="superscript"/>
              </w:rPr>
              <w:t>-</w:t>
            </w:r>
            <w:r>
              <w:rPr>
                <w:vertAlign w:val="superscript"/>
              </w:rPr>
              <w:t>2</w:t>
            </w:r>
          </w:p>
        </w:tc>
        <w:tc>
          <w:tcPr>
            <w:tcW w:w="2880" w:type="dxa"/>
          </w:tcPr>
          <w:p w14:paraId="5097A472" w14:textId="77777777" w:rsidR="0034645A" w:rsidRPr="00097CD3" w:rsidRDefault="0034645A" w:rsidP="008D3D62">
            <w:pPr>
              <w:jc w:val="center"/>
            </w:pPr>
            <w:r w:rsidRPr="00F60A9B">
              <w:t>&lt;</w:t>
            </w:r>
            <w:r>
              <w:t>0.1</w:t>
            </w:r>
            <w:r w:rsidRPr="00F60A9B">
              <w:t xml:space="preserve"> and </w:t>
            </w:r>
            <w:r w:rsidRPr="00F60A9B">
              <w:rPr>
                <w:rFonts w:cstheme="minorHAnsi"/>
              </w:rPr>
              <w:t>≥</w:t>
            </w:r>
            <w:r>
              <w:rPr>
                <w:rFonts w:cstheme="minorHAnsi"/>
              </w:rPr>
              <w:t>0.01</w:t>
            </w:r>
          </w:p>
        </w:tc>
        <w:tc>
          <w:tcPr>
            <w:tcW w:w="2785" w:type="dxa"/>
          </w:tcPr>
          <w:p w14:paraId="648C7EC1" w14:textId="77777777" w:rsidR="0034645A" w:rsidRPr="00F60A9B" w:rsidRDefault="0034645A" w:rsidP="008D3D62">
            <w:pPr>
              <w:jc w:val="center"/>
            </w:pPr>
            <w:r w:rsidRPr="00F60A9B">
              <w:t>&lt;1</w:t>
            </w:r>
            <w:r>
              <w:t>0%</w:t>
            </w:r>
            <w:r w:rsidRPr="00F60A9B">
              <w:t xml:space="preserve"> and </w:t>
            </w:r>
            <w:r w:rsidRPr="00F60A9B">
              <w:rPr>
                <w:rFonts w:cstheme="minorHAnsi"/>
              </w:rPr>
              <w:t>≥</w:t>
            </w:r>
            <w:r>
              <w:rPr>
                <w:rFonts w:cstheme="minorHAnsi"/>
              </w:rPr>
              <w:t>1%</w:t>
            </w:r>
          </w:p>
        </w:tc>
      </w:tr>
      <w:tr w:rsidR="0034645A" w:rsidRPr="00F60A9B" w14:paraId="4F64F087" w14:textId="77777777" w:rsidTr="008D3D62">
        <w:trPr>
          <w:jc w:val="center"/>
        </w:trPr>
        <w:tc>
          <w:tcPr>
            <w:tcW w:w="1501" w:type="dxa"/>
          </w:tcPr>
          <w:p w14:paraId="5F0CC678" w14:textId="77777777" w:rsidR="0034645A" w:rsidRPr="00F60A9B" w:rsidRDefault="0034645A" w:rsidP="008D3D62">
            <w:pPr>
              <w:jc w:val="center"/>
            </w:pPr>
            <w:r w:rsidRPr="00F60A9B">
              <w:t>Frequent</w:t>
            </w:r>
          </w:p>
        </w:tc>
        <w:tc>
          <w:tcPr>
            <w:tcW w:w="2184" w:type="dxa"/>
          </w:tcPr>
          <w:p w14:paraId="0826C7C8" w14:textId="77777777" w:rsidR="0034645A" w:rsidRPr="00F60A9B" w:rsidRDefault="0034645A" w:rsidP="008D3D62">
            <w:pPr>
              <w:jc w:val="center"/>
            </w:pPr>
            <w:r w:rsidRPr="00F60A9B">
              <w:t>&lt;10</w:t>
            </w:r>
            <w:r w:rsidRPr="00F60A9B">
              <w:rPr>
                <w:vertAlign w:val="superscript"/>
              </w:rPr>
              <w:t>-</w:t>
            </w:r>
            <w:r>
              <w:rPr>
                <w:vertAlign w:val="superscript"/>
              </w:rPr>
              <w:t>2</w:t>
            </w:r>
            <w:r w:rsidRPr="00F60A9B">
              <w:t xml:space="preserve"> and </w:t>
            </w:r>
            <w:r w:rsidRPr="00F60A9B">
              <w:rPr>
                <w:rFonts w:cstheme="minorHAnsi"/>
              </w:rPr>
              <w:t>≥</w:t>
            </w:r>
            <w:r w:rsidRPr="00F60A9B">
              <w:t>10</w:t>
            </w:r>
            <w:r w:rsidRPr="00F60A9B">
              <w:rPr>
                <w:vertAlign w:val="superscript"/>
              </w:rPr>
              <w:t>-</w:t>
            </w:r>
            <w:r>
              <w:rPr>
                <w:vertAlign w:val="superscript"/>
              </w:rPr>
              <w:t>3</w:t>
            </w:r>
          </w:p>
        </w:tc>
        <w:tc>
          <w:tcPr>
            <w:tcW w:w="2880" w:type="dxa"/>
          </w:tcPr>
          <w:p w14:paraId="52CB037F" w14:textId="77777777" w:rsidR="0034645A" w:rsidRPr="00F60A9B" w:rsidRDefault="0034645A" w:rsidP="008D3D62">
            <w:pPr>
              <w:jc w:val="center"/>
            </w:pPr>
            <w:r w:rsidRPr="00F60A9B">
              <w:t>&lt;</w:t>
            </w:r>
            <w:r>
              <w:t>0.01</w:t>
            </w:r>
            <w:r w:rsidRPr="00F60A9B">
              <w:t xml:space="preserve"> and </w:t>
            </w:r>
            <w:r w:rsidRPr="00F60A9B">
              <w:rPr>
                <w:rFonts w:cstheme="minorHAnsi"/>
              </w:rPr>
              <w:t>≥</w:t>
            </w:r>
            <w:r>
              <w:rPr>
                <w:rFonts w:cstheme="minorHAnsi"/>
              </w:rPr>
              <w:t>0.001</w:t>
            </w:r>
          </w:p>
        </w:tc>
        <w:tc>
          <w:tcPr>
            <w:tcW w:w="2785" w:type="dxa"/>
          </w:tcPr>
          <w:p w14:paraId="5151EFAF" w14:textId="77777777" w:rsidR="0034645A" w:rsidRPr="00F60A9B" w:rsidRDefault="0034645A" w:rsidP="008D3D62">
            <w:pPr>
              <w:jc w:val="center"/>
            </w:pPr>
            <w:r w:rsidRPr="00F60A9B">
              <w:t>&lt;1</w:t>
            </w:r>
            <w:r>
              <w:t>%</w:t>
            </w:r>
            <w:r w:rsidRPr="00F60A9B">
              <w:t xml:space="preserve"> and </w:t>
            </w:r>
            <w:r w:rsidRPr="00F60A9B">
              <w:rPr>
                <w:rFonts w:cstheme="minorHAnsi"/>
              </w:rPr>
              <w:t>≥</w:t>
            </w:r>
            <w:r>
              <w:rPr>
                <w:rFonts w:cstheme="minorHAnsi"/>
              </w:rPr>
              <w:t>0.1%</w:t>
            </w:r>
          </w:p>
        </w:tc>
      </w:tr>
      <w:tr w:rsidR="0034645A" w:rsidRPr="00F60A9B" w14:paraId="2AF46582" w14:textId="77777777" w:rsidTr="008D3D62">
        <w:trPr>
          <w:jc w:val="center"/>
        </w:trPr>
        <w:tc>
          <w:tcPr>
            <w:tcW w:w="1501" w:type="dxa"/>
          </w:tcPr>
          <w:p w14:paraId="6E6C50B8" w14:textId="77777777" w:rsidR="0034645A" w:rsidRPr="00F60A9B" w:rsidRDefault="0034645A" w:rsidP="008D3D62">
            <w:pPr>
              <w:jc w:val="center"/>
            </w:pPr>
            <w:r w:rsidRPr="00F60A9B">
              <w:t>Probable</w:t>
            </w:r>
          </w:p>
        </w:tc>
        <w:tc>
          <w:tcPr>
            <w:tcW w:w="2184" w:type="dxa"/>
          </w:tcPr>
          <w:p w14:paraId="4C618F57" w14:textId="77777777" w:rsidR="0034645A" w:rsidRPr="00F60A9B" w:rsidRDefault="0034645A" w:rsidP="008D3D62">
            <w:pPr>
              <w:jc w:val="center"/>
            </w:pPr>
            <w:r w:rsidRPr="00F60A9B">
              <w:t>&lt;10</w:t>
            </w:r>
            <w:r w:rsidRPr="00F60A9B">
              <w:rPr>
                <w:vertAlign w:val="superscript"/>
              </w:rPr>
              <w:t>-3</w:t>
            </w:r>
            <w:r w:rsidRPr="00F60A9B">
              <w:t xml:space="preserve"> and </w:t>
            </w:r>
            <w:r w:rsidRPr="00F60A9B">
              <w:rPr>
                <w:rFonts w:cstheme="minorHAnsi"/>
              </w:rPr>
              <w:t>≥</w:t>
            </w:r>
            <w:r w:rsidRPr="00F60A9B">
              <w:t>10</w:t>
            </w:r>
            <w:r w:rsidRPr="00F60A9B">
              <w:rPr>
                <w:vertAlign w:val="superscript"/>
              </w:rPr>
              <w:t>-4</w:t>
            </w:r>
          </w:p>
        </w:tc>
        <w:tc>
          <w:tcPr>
            <w:tcW w:w="2880" w:type="dxa"/>
          </w:tcPr>
          <w:p w14:paraId="55C4D70B" w14:textId="77777777" w:rsidR="0034645A" w:rsidRPr="00F60A9B" w:rsidRDefault="0034645A" w:rsidP="008D3D62">
            <w:pPr>
              <w:jc w:val="center"/>
            </w:pPr>
            <w:r w:rsidRPr="00F60A9B">
              <w:t>&lt;</w:t>
            </w:r>
            <w:r>
              <w:t>0.001</w:t>
            </w:r>
            <w:r w:rsidRPr="00F60A9B">
              <w:t xml:space="preserve"> and </w:t>
            </w:r>
            <w:r w:rsidRPr="00F60A9B">
              <w:rPr>
                <w:rFonts w:cstheme="minorHAnsi"/>
              </w:rPr>
              <w:t>≥</w:t>
            </w:r>
            <w:r>
              <w:rPr>
                <w:rFonts w:cstheme="minorHAnsi"/>
              </w:rPr>
              <w:t>0.0001</w:t>
            </w:r>
          </w:p>
        </w:tc>
        <w:tc>
          <w:tcPr>
            <w:tcW w:w="2785" w:type="dxa"/>
          </w:tcPr>
          <w:p w14:paraId="7B7AA40C" w14:textId="77777777" w:rsidR="0034645A" w:rsidRPr="00F60A9B" w:rsidRDefault="0034645A" w:rsidP="008D3D62">
            <w:pPr>
              <w:jc w:val="center"/>
            </w:pPr>
            <w:r w:rsidRPr="00F60A9B">
              <w:t>&lt;</w:t>
            </w:r>
            <w:r>
              <w:t>0.</w:t>
            </w:r>
            <w:r w:rsidRPr="00F60A9B">
              <w:t>1</w:t>
            </w:r>
            <w:r>
              <w:t>%</w:t>
            </w:r>
            <w:r w:rsidRPr="00F60A9B">
              <w:t xml:space="preserve"> and </w:t>
            </w:r>
            <w:r w:rsidRPr="00F60A9B">
              <w:rPr>
                <w:rFonts w:cstheme="minorHAnsi"/>
              </w:rPr>
              <w:t>≥</w:t>
            </w:r>
            <w:r>
              <w:rPr>
                <w:rFonts w:cstheme="minorHAnsi"/>
              </w:rPr>
              <w:t>0.01%</w:t>
            </w:r>
          </w:p>
        </w:tc>
      </w:tr>
      <w:tr w:rsidR="0034645A" w:rsidRPr="00F60A9B" w14:paraId="7B613182" w14:textId="77777777" w:rsidTr="008D3D62">
        <w:trPr>
          <w:jc w:val="center"/>
        </w:trPr>
        <w:tc>
          <w:tcPr>
            <w:tcW w:w="1501" w:type="dxa"/>
          </w:tcPr>
          <w:p w14:paraId="7CE6FD85" w14:textId="77777777" w:rsidR="0034645A" w:rsidRPr="00F60A9B" w:rsidRDefault="0034645A" w:rsidP="008D3D62">
            <w:pPr>
              <w:jc w:val="center"/>
            </w:pPr>
            <w:r w:rsidRPr="00F60A9B">
              <w:t>Occasional</w:t>
            </w:r>
          </w:p>
        </w:tc>
        <w:tc>
          <w:tcPr>
            <w:tcW w:w="2184" w:type="dxa"/>
          </w:tcPr>
          <w:p w14:paraId="4498DA97" w14:textId="77777777" w:rsidR="0034645A" w:rsidRPr="00F60A9B" w:rsidRDefault="0034645A" w:rsidP="008D3D62">
            <w:pPr>
              <w:jc w:val="center"/>
            </w:pPr>
            <w:r w:rsidRPr="00F60A9B">
              <w:t>&lt;10</w:t>
            </w:r>
            <w:r w:rsidRPr="00F60A9B">
              <w:rPr>
                <w:vertAlign w:val="superscript"/>
              </w:rPr>
              <w:t>-4</w:t>
            </w:r>
            <w:r w:rsidRPr="00F60A9B">
              <w:t xml:space="preserve"> and </w:t>
            </w:r>
            <w:r w:rsidRPr="00F60A9B">
              <w:rPr>
                <w:rFonts w:cstheme="minorHAnsi"/>
              </w:rPr>
              <w:t>≥</w:t>
            </w:r>
            <w:r w:rsidRPr="00F60A9B">
              <w:t>10</w:t>
            </w:r>
            <w:r w:rsidRPr="00F60A9B">
              <w:rPr>
                <w:vertAlign w:val="superscript"/>
              </w:rPr>
              <w:t>-5</w:t>
            </w:r>
          </w:p>
        </w:tc>
        <w:tc>
          <w:tcPr>
            <w:tcW w:w="2880" w:type="dxa"/>
          </w:tcPr>
          <w:p w14:paraId="3706B5B0" w14:textId="77777777" w:rsidR="0034645A" w:rsidRPr="00F60A9B" w:rsidRDefault="0034645A" w:rsidP="008D3D62">
            <w:pPr>
              <w:jc w:val="center"/>
            </w:pPr>
            <w:r w:rsidRPr="00F60A9B">
              <w:t>&lt;</w:t>
            </w:r>
            <w:r>
              <w:t>0.0001</w:t>
            </w:r>
            <w:r w:rsidRPr="00F60A9B">
              <w:t xml:space="preserve"> and </w:t>
            </w:r>
            <w:r w:rsidRPr="00F60A9B">
              <w:rPr>
                <w:rFonts w:cstheme="minorHAnsi"/>
              </w:rPr>
              <w:t>≥</w:t>
            </w:r>
            <w:r>
              <w:rPr>
                <w:rFonts w:cstheme="minorHAnsi"/>
              </w:rPr>
              <w:t>0.00001</w:t>
            </w:r>
          </w:p>
        </w:tc>
        <w:tc>
          <w:tcPr>
            <w:tcW w:w="2785" w:type="dxa"/>
          </w:tcPr>
          <w:p w14:paraId="1774EAD2" w14:textId="77777777" w:rsidR="0034645A" w:rsidRPr="00F60A9B" w:rsidRDefault="0034645A" w:rsidP="008D3D62">
            <w:pPr>
              <w:jc w:val="center"/>
            </w:pPr>
            <w:r w:rsidRPr="00F60A9B">
              <w:t>&lt;</w:t>
            </w:r>
            <w:r>
              <w:t>0.0</w:t>
            </w:r>
            <w:r w:rsidRPr="00F60A9B">
              <w:t>1</w:t>
            </w:r>
            <w:r>
              <w:t>%</w:t>
            </w:r>
            <w:r w:rsidRPr="00F60A9B">
              <w:t xml:space="preserve"> and </w:t>
            </w:r>
            <w:r w:rsidRPr="00F60A9B">
              <w:rPr>
                <w:rFonts w:cstheme="minorHAnsi"/>
              </w:rPr>
              <w:t>≥</w:t>
            </w:r>
            <w:r>
              <w:rPr>
                <w:rFonts w:cstheme="minorHAnsi"/>
              </w:rPr>
              <w:t>0.001%</w:t>
            </w:r>
          </w:p>
        </w:tc>
      </w:tr>
      <w:tr w:rsidR="0034645A" w:rsidRPr="00F60A9B" w14:paraId="77261485" w14:textId="77777777" w:rsidTr="008D3D62">
        <w:trPr>
          <w:jc w:val="center"/>
        </w:trPr>
        <w:tc>
          <w:tcPr>
            <w:tcW w:w="1501" w:type="dxa"/>
          </w:tcPr>
          <w:p w14:paraId="5AB54368" w14:textId="77777777" w:rsidR="0034645A" w:rsidRPr="00F60A9B" w:rsidRDefault="0034645A" w:rsidP="008D3D62">
            <w:pPr>
              <w:jc w:val="center"/>
            </w:pPr>
            <w:r w:rsidRPr="00F60A9B">
              <w:t>Remote</w:t>
            </w:r>
          </w:p>
        </w:tc>
        <w:tc>
          <w:tcPr>
            <w:tcW w:w="2184" w:type="dxa"/>
          </w:tcPr>
          <w:p w14:paraId="76E7DE4B" w14:textId="77777777" w:rsidR="0034645A" w:rsidRPr="00F60A9B" w:rsidRDefault="0034645A" w:rsidP="008D3D62">
            <w:pPr>
              <w:jc w:val="center"/>
            </w:pPr>
            <w:r w:rsidRPr="00F60A9B">
              <w:t>&lt;10</w:t>
            </w:r>
            <w:r w:rsidRPr="00F60A9B">
              <w:rPr>
                <w:vertAlign w:val="superscript"/>
              </w:rPr>
              <w:t>-5</w:t>
            </w:r>
            <w:r w:rsidRPr="00F60A9B">
              <w:t xml:space="preserve"> and </w:t>
            </w:r>
            <w:r w:rsidRPr="00F60A9B">
              <w:rPr>
                <w:rFonts w:cstheme="minorHAnsi"/>
              </w:rPr>
              <w:t>≥</w:t>
            </w:r>
            <w:r w:rsidRPr="00F60A9B">
              <w:t>10</w:t>
            </w:r>
            <w:r w:rsidRPr="00F60A9B">
              <w:rPr>
                <w:vertAlign w:val="superscript"/>
              </w:rPr>
              <w:t>-6</w:t>
            </w:r>
          </w:p>
        </w:tc>
        <w:tc>
          <w:tcPr>
            <w:tcW w:w="2880" w:type="dxa"/>
          </w:tcPr>
          <w:p w14:paraId="3847EA91" w14:textId="77777777" w:rsidR="0034645A" w:rsidRPr="00F60A9B" w:rsidRDefault="0034645A" w:rsidP="008D3D62">
            <w:pPr>
              <w:jc w:val="center"/>
            </w:pPr>
            <w:r w:rsidRPr="00F60A9B">
              <w:t>&lt;</w:t>
            </w:r>
            <w:r>
              <w:t>0.00001</w:t>
            </w:r>
            <w:r w:rsidRPr="00F60A9B">
              <w:t xml:space="preserve"> and </w:t>
            </w:r>
            <w:r w:rsidRPr="00F60A9B">
              <w:rPr>
                <w:rFonts w:cstheme="minorHAnsi"/>
              </w:rPr>
              <w:t>≥</w:t>
            </w:r>
            <w:r>
              <w:rPr>
                <w:rFonts w:cstheme="minorHAnsi"/>
              </w:rPr>
              <w:t>0.000001</w:t>
            </w:r>
          </w:p>
        </w:tc>
        <w:tc>
          <w:tcPr>
            <w:tcW w:w="2785" w:type="dxa"/>
          </w:tcPr>
          <w:p w14:paraId="39FE9850" w14:textId="77777777" w:rsidR="0034645A" w:rsidRPr="00F60A9B" w:rsidRDefault="0034645A" w:rsidP="008D3D62">
            <w:pPr>
              <w:jc w:val="center"/>
            </w:pPr>
            <w:r w:rsidRPr="00F60A9B">
              <w:t>&lt;</w:t>
            </w:r>
            <w:r>
              <w:t>0.00</w:t>
            </w:r>
            <w:r w:rsidRPr="00F60A9B">
              <w:t>1</w:t>
            </w:r>
            <w:r>
              <w:t>%</w:t>
            </w:r>
            <w:r w:rsidRPr="00F60A9B">
              <w:t xml:space="preserve"> and </w:t>
            </w:r>
            <w:r w:rsidRPr="00F60A9B">
              <w:rPr>
                <w:rFonts w:cstheme="minorHAnsi"/>
              </w:rPr>
              <w:t>≥</w:t>
            </w:r>
            <w:r>
              <w:rPr>
                <w:rFonts w:cstheme="minorHAnsi"/>
              </w:rPr>
              <w:t>0.0001%</w:t>
            </w:r>
          </w:p>
        </w:tc>
      </w:tr>
      <w:tr w:rsidR="0034645A" w:rsidRPr="00F60A9B" w14:paraId="1FCD4F20" w14:textId="77777777" w:rsidTr="008D3D62">
        <w:trPr>
          <w:jc w:val="center"/>
        </w:trPr>
        <w:tc>
          <w:tcPr>
            <w:tcW w:w="1501" w:type="dxa"/>
          </w:tcPr>
          <w:p w14:paraId="0AEE1BE5" w14:textId="77777777" w:rsidR="0034645A" w:rsidRPr="00F60A9B" w:rsidRDefault="0034645A" w:rsidP="008D3D62">
            <w:pPr>
              <w:jc w:val="center"/>
            </w:pPr>
            <w:r w:rsidRPr="00F60A9B">
              <w:t>Improbable</w:t>
            </w:r>
          </w:p>
        </w:tc>
        <w:tc>
          <w:tcPr>
            <w:tcW w:w="2184" w:type="dxa"/>
          </w:tcPr>
          <w:p w14:paraId="6BB0D11E" w14:textId="77777777" w:rsidR="0034645A" w:rsidRPr="00F60A9B" w:rsidRDefault="0034645A" w:rsidP="008D3D62">
            <w:pPr>
              <w:keepNext/>
              <w:jc w:val="center"/>
            </w:pPr>
            <w:r w:rsidRPr="00F60A9B">
              <w:t>&lt;10</w:t>
            </w:r>
            <w:r w:rsidRPr="00F60A9B">
              <w:rPr>
                <w:vertAlign w:val="superscript"/>
              </w:rPr>
              <w:t>-6</w:t>
            </w:r>
          </w:p>
        </w:tc>
        <w:tc>
          <w:tcPr>
            <w:tcW w:w="2880" w:type="dxa"/>
          </w:tcPr>
          <w:p w14:paraId="79535D30" w14:textId="77777777" w:rsidR="0034645A" w:rsidRPr="00F60A9B" w:rsidRDefault="0034645A" w:rsidP="008D3D62">
            <w:pPr>
              <w:keepNext/>
              <w:jc w:val="center"/>
            </w:pPr>
            <w:r w:rsidRPr="00F60A9B">
              <w:t>&lt;</w:t>
            </w:r>
            <w:r>
              <w:t>0.000001</w:t>
            </w:r>
          </w:p>
        </w:tc>
        <w:tc>
          <w:tcPr>
            <w:tcW w:w="2785" w:type="dxa"/>
          </w:tcPr>
          <w:p w14:paraId="0E2AECDB" w14:textId="77777777" w:rsidR="0034645A" w:rsidRPr="00F60A9B" w:rsidRDefault="0034645A" w:rsidP="008D3D62">
            <w:pPr>
              <w:keepNext/>
              <w:jc w:val="center"/>
            </w:pPr>
            <w:r w:rsidRPr="00F60A9B">
              <w:t>&lt;</w:t>
            </w:r>
            <w:r>
              <w:t>0.0000</w:t>
            </w:r>
            <w:r w:rsidRPr="00F60A9B">
              <w:t>1</w:t>
            </w:r>
            <w:r>
              <w:t>%</w:t>
            </w:r>
          </w:p>
        </w:tc>
      </w:tr>
    </w:tbl>
    <w:p w14:paraId="22612FA1" w14:textId="5B43547D" w:rsidR="0034645A" w:rsidRPr="00F60A9B" w:rsidRDefault="0034645A" w:rsidP="0034645A">
      <w:pPr>
        <w:pStyle w:val="Caption"/>
        <w:spacing w:before="60"/>
        <w:jc w:val="center"/>
      </w:pPr>
      <w:bookmarkStart w:id="31" w:name="_Ref146694551"/>
      <w:r>
        <w:t xml:space="preserve">Table </w:t>
      </w:r>
      <w:r>
        <w:fldChar w:fldCharType="begin"/>
      </w:r>
      <w:r>
        <w:instrText xml:space="preserve"> SEQ Table \* ARABIC </w:instrText>
      </w:r>
      <w:r>
        <w:fldChar w:fldCharType="separate"/>
      </w:r>
      <w:r w:rsidR="001E41EA">
        <w:rPr>
          <w:noProof/>
        </w:rPr>
        <w:t>4</w:t>
      </w:r>
      <w:r>
        <w:rPr>
          <w:noProof/>
        </w:rPr>
        <w:fldChar w:fldCharType="end"/>
      </w:r>
      <w:bookmarkEnd w:id="31"/>
      <w:r>
        <w:t xml:space="preserve"> - Expanded Quantitative Table of Probability</w:t>
      </w:r>
    </w:p>
    <w:p w14:paraId="546E20A5" w14:textId="10DF9890" w:rsidR="00D208A0" w:rsidRDefault="00D208A0" w:rsidP="006448E8">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can also be challenged for improvements; e.g., in the ‘Application’ section of this paper</w:t>
      </w:r>
      <w:r w:rsidR="006E5ED0">
        <w:t xml:space="preserve">: </w:t>
      </w:r>
    </w:p>
    <w:p w14:paraId="0EE1E360" w14:textId="21D24A67" w:rsidR="006E5ED0" w:rsidRDefault="006E5ED0">
      <w:pPr>
        <w:pStyle w:val="ListParagraph"/>
        <w:numPr>
          <w:ilvl w:val="0"/>
          <w:numId w:val="15"/>
        </w:numPr>
      </w:pPr>
      <w:r>
        <w:t xml:space="preserve">Two of the five categories in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briefly discuss ‘time’.  The section of this paper titled “</w:t>
      </w:r>
      <w:r w:rsidRPr="00424731">
        <w:rPr>
          <w:rFonts w:eastAsia="TimesNewRomanPSMT" w:cs="TimesNewRomanPSMT"/>
          <w:bCs/>
          <w:i/>
          <w:iCs/>
          <w:color w:val="000000"/>
          <w:szCs w:val="24"/>
        </w:rPr>
        <w:t>Accounting for Time-Varying Benefits and Risks</w:t>
      </w:r>
      <w:r>
        <w:t xml:space="preserve">” discusses an alternative way of accounting for the effect of ‘time’ on risk and may cause the references to ‘time’ in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to be changed. </w:t>
      </w:r>
    </w:p>
    <w:p w14:paraId="3ACCB1E6" w14:textId="6253F425" w:rsidR="006E5ED0" w:rsidRDefault="00DB2D27">
      <w:pPr>
        <w:pStyle w:val="ListParagraph"/>
        <w:numPr>
          <w:ilvl w:val="0"/>
          <w:numId w:val="15"/>
        </w:numPr>
      </w:pPr>
      <w:r>
        <w:t xml:space="preserve">When most people read the categories in </w:t>
      </w:r>
      <w:r>
        <w:fldChar w:fldCharType="begin"/>
      </w:r>
      <w:r>
        <w:instrText xml:space="preserve"> REF _Ref132959722 \h </w:instrText>
      </w:r>
      <w:r>
        <w:fldChar w:fldCharType="separate"/>
      </w:r>
      <w:r w:rsidR="001E41EA" w:rsidRPr="00F60A9B">
        <w:t xml:space="preserve">Table </w:t>
      </w:r>
      <w:r w:rsidR="001E41EA">
        <w:rPr>
          <w:noProof/>
        </w:rPr>
        <w:t>2</w:t>
      </w:r>
      <w:r>
        <w:fldChar w:fldCharType="end"/>
      </w:r>
      <w:r>
        <w:t xml:space="preserve">, they are thinking of physical harm to the patient.  However, some medical products are designed to mitigate mental or emotional harm to the patient; e.g., drugs to improve a patient’s mental state or surgeries for aesthetic reasons only </w:t>
      </w:r>
      <w:r>
        <w:lastRenderedPageBreak/>
        <w:t>to improve a patient’s sense of wellbeing.  The section of this paper titled</w:t>
      </w:r>
      <w:r w:rsidR="001A516B">
        <w:t xml:space="preserve"> “</w:t>
      </w:r>
      <w:r w:rsidRPr="00424731">
        <w:rPr>
          <w:color w:val="000000"/>
          <w:szCs w:val="24"/>
          <w:u w:val="single"/>
        </w:rPr>
        <w:t xml:space="preserve">Customizing Risk Metrics for </w:t>
      </w:r>
      <w:r>
        <w:rPr>
          <w:color w:val="000000"/>
          <w:szCs w:val="24"/>
          <w:u w:val="single"/>
        </w:rPr>
        <w:t xml:space="preserve">Risks </w:t>
      </w:r>
      <w:r w:rsidR="001A516B">
        <w:rPr>
          <w:color w:val="000000"/>
          <w:szCs w:val="24"/>
          <w:u w:val="single"/>
        </w:rPr>
        <w:t>for</w:t>
      </w:r>
      <w:r>
        <w:rPr>
          <w:color w:val="000000"/>
          <w:szCs w:val="24"/>
          <w:u w:val="single"/>
        </w:rPr>
        <w:t xml:space="preserve"> Emotion</w:t>
      </w:r>
      <w:r w:rsidR="00082E8D">
        <w:t xml:space="preserve">” </w:t>
      </w:r>
      <w:r w:rsidR="00F16976">
        <w:t xml:space="preserve">discusses a possible process to change </w:t>
      </w:r>
      <w:r w:rsidR="00F16976">
        <w:fldChar w:fldCharType="begin"/>
      </w:r>
      <w:r w:rsidR="00F16976">
        <w:instrText xml:space="preserve"> REF _Ref132959722 \h </w:instrText>
      </w:r>
      <w:r w:rsidR="00F16976">
        <w:fldChar w:fldCharType="separate"/>
      </w:r>
      <w:r w:rsidR="001E41EA" w:rsidRPr="00F60A9B">
        <w:t xml:space="preserve">Table </w:t>
      </w:r>
      <w:r w:rsidR="001E41EA">
        <w:rPr>
          <w:noProof/>
        </w:rPr>
        <w:t>2</w:t>
      </w:r>
      <w:r w:rsidR="00F16976">
        <w:fldChar w:fldCharType="end"/>
      </w:r>
      <w:r w:rsidR="00F16976">
        <w:t xml:space="preserve"> to account for these factors. </w:t>
      </w:r>
    </w:p>
    <w:p w14:paraId="3FB3EA1E" w14:textId="47B891EE" w:rsidR="00775B4A" w:rsidRPr="00F60A9B" w:rsidRDefault="00F77691" w:rsidP="00775B4A">
      <w:r>
        <w:t xml:space="preserve">Despite the opportunity to create many other metrics, in </w:t>
      </w:r>
      <w:r w:rsidR="00F16976">
        <w:t xml:space="preserve">this paper, we will use </w:t>
      </w:r>
      <w:r w:rsidR="00F16976">
        <w:fldChar w:fldCharType="begin"/>
      </w:r>
      <w:r w:rsidR="00F16976">
        <w:instrText xml:space="preserve"> REF _Ref132959722 \h </w:instrText>
      </w:r>
      <w:r w:rsidR="00F16976">
        <w:fldChar w:fldCharType="separate"/>
      </w:r>
      <w:r w:rsidR="001E41EA" w:rsidRPr="00F60A9B">
        <w:t xml:space="preserve">Table </w:t>
      </w:r>
      <w:r w:rsidR="001E41EA">
        <w:rPr>
          <w:noProof/>
        </w:rPr>
        <w:t>2</w:t>
      </w:r>
      <w:r w:rsidR="00F16976">
        <w:fldChar w:fldCharType="end"/>
      </w:r>
      <w:r w:rsidR="00F16976">
        <w:t xml:space="preserve"> to measure the severity of risk and </w:t>
      </w:r>
      <w:r w:rsidR="00F16976">
        <w:fldChar w:fldCharType="begin"/>
      </w:r>
      <w:r w:rsidR="00F16976">
        <w:instrText xml:space="preserve"> REF _Ref146694551 \h </w:instrText>
      </w:r>
      <w:r w:rsidR="00F16976">
        <w:fldChar w:fldCharType="separate"/>
      </w:r>
      <w:r w:rsidR="001E41EA">
        <w:t xml:space="preserve">Table </w:t>
      </w:r>
      <w:r w:rsidR="001E41EA">
        <w:rPr>
          <w:noProof/>
        </w:rPr>
        <w:t>4</w:t>
      </w:r>
      <w:r w:rsidR="00F16976">
        <w:fldChar w:fldCharType="end"/>
      </w:r>
      <w:r w:rsidR="00F16976">
        <w:t xml:space="preserve"> to measure the probability of risk.  </w:t>
      </w:r>
    </w:p>
    <w:p w14:paraId="25202EF2" w14:textId="2734E263" w:rsidR="00F77691" w:rsidRPr="00F60A9B" w:rsidRDefault="00F77691" w:rsidP="00F77691">
      <w:r w:rsidRPr="00F60A9B">
        <w:t xml:space="preserve">Now that we’ve established that risk metrics </w:t>
      </w:r>
      <w:r>
        <w:t xml:space="preserve">that are suitable to measure </w:t>
      </w:r>
      <w:r w:rsidRPr="00F60A9B">
        <w:t xml:space="preserve">both the benefits and risks of a medical treatment, we will </w:t>
      </w:r>
      <w:r>
        <w:t xml:space="preserve">now </w:t>
      </w:r>
      <w:r w:rsidRPr="00F60A9B">
        <w:t xml:space="preserve">discuss how to </w:t>
      </w:r>
      <w:r>
        <w:t xml:space="preserve">organize </w:t>
      </w:r>
      <w:r w:rsidRPr="00F60A9B">
        <w:t xml:space="preserve">all of the 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F60A9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or </w:t>
      </w:r>
      <m:oMath>
        <m:r>
          <w:rPr>
            <w:rFonts w:ascii="Cambria Math" w:hAnsi="Cambria Math"/>
          </w:rPr>
          <m:t>R</m:t>
        </m:r>
      </m:oMath>
      <w:r w:rsidRPr="00F60A9B">
        <w:rPr>
          <w:rFonts w:eastAsiaTheme="minorEastAsia"/>
        </w:rPr>
        <w:t xml:space="preserve"> </w:t>
      </w:r>
      <w:r>
        <w:rPr>
          <w:rFonts w:eastAsiaTheme="minorEastAsia"/>
        </w:rPr>
        <w:t xml:space="preserve">so that simplifying </w:t>
      </w:r>
      <w:r w:rsidRPr="00F60A9B">
        <w:fldChar w:fldCharType="begin"/>
      </w:r>
      <w:r w:rsidRPr="00F60A9B">
        <w:instrText xml:space="preserve"> REF _Ref132953418 \h </w:instrText>
      </w:r>
      <w:r w:rsidRPr="00F60A9B">
        <w:fldChar w:fldCharType="separate"/>
      </w:r>
      <w:r w:rsidR="001E41EA" w:rsidRPr="00F60A9B">
        <w:t xml:space="preserve">Equation </w:t>
      </w:r>
      <w:r w:rsidR="001E41EA">
        <w:rPr>
          <w:noProof/>
        </w:rPr>
        <w:t>1</w:t>
      </w:r>
      <w:r w:rsidRPr="00F60A9B">
        <w:fldChar w:fldCharType="end"/>
      </w:r>
      <w:r w:rsidRPr="00F60A9B">
        <w:t xml:space="preserve"> </w:t>
      </w:r>
      <w:r>
        <w:t>becomes straightforward</w:t>
      </w:r>
      <w:r w:rsidRPr="00F60A9B">
        <w:rPr>
          <w:rFonts w:eastAsiaTheme="minorEastAsia"/>
        </w:rPr>
        <w:t xml:space="preserve">.  </w:t>
      </w:r>
    </w:p>
    <w:p w14:paraId="5EB5B601" w14:textId="77777777" w:rsidR="00F77691" w:rsidRPr="00F60A9B" w:rsidRDefault="00F77691" w:rsidP="00AA2310">
      <w:pPr>
        <w:spacing w:after="0" w:line="240" w:lineRule="auto"/>
      </w:pPr>
    </w:p>
    <w:p w14:paraId="7C143820" w14:textId="6B0BA658" w:rsidR="00F77691" w:rsidRPr="00F60A9B" w:rsidRDefault="00F77691" w:rsidP="008A21B4">
      <w:pPr>
        <w:pStyle w:val="Heading2"/>
      </w:pPr>
      <w:bookmarkStart w:id="32" w:name="_Toc156728643"/>
      <w:r w:rsidRPr="004A66A3">
        <w:rPr>
          <w:b/>
          <w:bCs/>
          <w:u w:val="single"/>
        </w:rPr>
        <w:t xml:space="preserve">Moving to a Future State – </w:t>
      </w:r>
      <w:r w:rsidR="00054ACC">
        <w:rPr>
          <w:b/>
          <w:bCs/>
          <w:u w:val="single"/>
        </w:rPr>
        <w:t>Organizing Risks</w:t>
      </w:r>
      <w:bookmarkEnd w:id="32"/>
    </w:p>
    <w:p w14:paraId="2EBA15D1" w14:textId="5571BC2C" w:rsidR="00F77691" w:rsidRPr="00F60A9B" w:rsidRDefault="00F77691" w:rsidP="00F77691">
      <w:pPr>
        <w:rPr>
          <w:rFonts w:eastAsiaTheme="minorEastAsia"/>
        </w:rPr>
      </w:pPr>
      <w:r>
        <w:t>I</w:t>
      </w:r>
      <w:r w:rsidRPr="00F60A9B">
        <w:t xml:space="preserve">f we use </w:t>
      </w:r>
      <w:r w:rsidRPr="00F60A9B">
        <w:fldChar w:fldCharType="begin"/>
      </w:r>
      <w:r w:rsidRPr="00F60A9B">
        <w:instrText xml:space="preserve"> REF _Ref132953407 \h </w:instrText>
      </w:r>
      <w:r w:rsidRPr="00F60A9B">
        <w:fldChar w:fldCharType="separate"/>
      </w:r>
      <w:r w:rsidR="001E41EA" w:rsidRPr="00F60A9B">
        <w:t xml:space="preserve">Equation </w:t>
      </w:r>
      <w:r w:rsidR="001E41EA">
        <w:rPr>
          <w:noProof/>
        </w:rPr>
        <w:t>2</w:t>
      </w:r>
      <w:r w:rsidRPr="00F60A9B">
        <w:fldChar w:fldCharType="end"/>
      </w:r>
      <w:r w:rsidRPr="00F60A9B">
        <w:t xml:space="preserve"> to substitute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F60A9B">
        <w:rPr>
          <w:rFonts w:eastAsiaTheme="minorEastAsia"/>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into </w:t>
      </w:r>
      <w:r w:rsidRPr="00F60A9B">
        <w:rPr>
          <w:rFonts w:eastAsiaTheme="minorEastAsia"/>
        </w:rPr>
        <w:fldChar w:fldCharType="begin"/>
      </w:r>
      <w:r w:rsidRPr="00F60A9B">
        <w:rPr>
          <w:rFonts w:eastAsiaTheme="minorEastAsia"/>
        </w:rPr>
        <w:instrText xml:space="preserve"> REF _Ref132953418 \h </w:instrText>
      </w:r>
      <w:r w:rsidRPr="00F60A9B">
        <w:rPr>
          <w:rFonts w:eastAsiaTheme="minorEastAsia"/>
        </w:rPr>
      </w:r>
      <w:r w:rsidRPr="00F60A9B">
        <w:rPr>
          <w:rFonts w:eastAsiaTheme="minorEastAsia"/>
        </w:rPr>
        <w:fldChar w:fldCharType="separate"/>
      </w:r>
      <w:r w:rsidR="001E41EA" w:rsidRPr="00F60A9B">
        <w:t xml:space="preserve">Equation </w:t>
      </w:r>
      <w:r w:rsidR="001E41EA">
        <w:rPr>
          <w:noProof/>
        </w:rPr>
        <w:t>1</w:t>
      </w:r>
      <w:r w:rsidRPr="00F60A9B">
        <w:rPr>
          <w:rFonts w:eastAsiaTheme="minorEastAsia"/>
        </w:rPr>
        <w:fldChar w:fldCharType="end"/>
      </w:r>
      <w:r w:rsidRPr="00F60A9B">
        <w:rPr>
          <w:rFonts w:eastAsiaTheme="minorEastAsia"/>
        </w:rPr>
        <w:t xml:space="preserve">, and </w:t>
      </w:r>
      <w:r>
        <w:rPr>
          <w:rFonts w:eastAsiaTheme="minorEastAsia"/>
        </w:rPr>
        <w:t xml:space="preserve">if we </w:t>
      </w:r>
      <w:r w:rsidRPr="00F60A9B">
        <w:rPr>
          <w:rFonts w:eastAsiaTheme="minorEastAsia"/>
        </w:rPr>
        <w:t xml:space="preserve">add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to each side of the equation, then we get a particularly useful equation: </w:t>
      </w:r>
    </w:p>
    <w:bookmarkStart w:id="33" w:name="_Hlk141189347"/>
    <w:p w14:paraId="33E3C5DF" w14:textId="77777777" w:rsidR="00F77691" w:rsidRPr="00F60A9B" w:rsidRDefault="00000000" w:rsidP="00F77691">
      <w:pPr>
        <w:keepNext/>
        <w:keepLines/>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eastAsiaTheme="minorEastAsia" w:hAnsi="Cambria Math"/>
            </w:rPr>
            <m:t xml:space="preserve">&gt;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+R</m:t>
          </m:r>
        </m:oMath>
      </m:oMathPara>
    </w:p>
    <w:p w14:paraId="442AD8C6" w14:textId="14F11705" w:rsidR="00F77691" w:rsidRPr="00F60A9B" w:rsidRDefault="00F77691" w:rsidP="00F77691">
      <w:pPr>
        <w:pStyle w:val="Caption"/>
        <w:keepNext/>
        <w:keepLines/>
        <w:jc w:val="right"/>
        <w:rPr>
          <w:color w:val="auto"/>
        </w:rPr>
      </w:pPr>
      <w:bookmarkStart w:id="34" w:name="_Ref132964494"/>
      <w:r w:rsidRPr="00F60A9B">
        <w:rPr>
          <w:color w:val="auto"/>
        </w:rPr>
        <w:t xml:space="preserve">Equation </w:t>
      </w:r>
      <w:r w:rsidRPr="00F60A9B">
        <w:rPr>
          <w:color w:val="auto"/>
        </w:rPr>
        <w:fldChar w:fldCharType="begin"/>
      </w:r>
      <w:r w:rsidRPr="00F60A9B">
        <w:rPr>
          <w:color w:val="auto"/>
        </w:rPr>
        <w:instrText xml:space="preserve"> SEQ Equation \* ARABIC </w:instrText>
      </w:r>
      <w:r w:rsidRPr="00F60A9B">
        <w:rPr>
          <w:color w:val="auto"/>
        </w:rPr>
        <w:fldChar w:fldCharType="separate"/>
      </w:r>
      <w:r w:rsidR="003468AE">
        <w:rPr>
          <w:noProof/>
          <w:color w:val="auto"/>
        </w:rPr>
        <w:t>4</w:t>
      </w:r>
      <w:r w:rsidRPr="00F60A9B">
        <w:rPr>
          <w:noProof/>
          <w:color w:val="auto"/>
        </w:rPr>
        <w:fldChar w:fldCharType="end"/>
      </w:r>
      <w:bookmarkEnd w:id="34"/>
    </w:p>
    <w:bookmarkEnd w:id="33"/>
    <w:p w14:paraId="3ACAF8D3" w14:textId="77777777" w:rsidR="00F77691" w:rsidRDefault="00F77691" w:rsidP="00F77691">
      <w:pPr>
        <w:spacing w:line="240" w:lineRule="auto"/>
      </w:pPr>
      <w:r>
        <w:t xml:space="preserve">Please note that: </w:t>
      </w:r>
    </w:p>
    <w:p w14:paraId="17B888C7" w14:textId="2C24DFDC" w:rsidR="00F77691" w:rsidRDefault="00F77691">
      <w:pPr>
        <w:pStyle w:val="ListParagraph"/>
        <w:numPr>
          <w:ilvl w:val="0"/>
          <w:numId w:val="4"/>
        </w:numPr>
        <w:spacing w:line="240" w:lineRule="auto"/>
        <w:contextualSpacing w:val="0"/>
      </w:pPr>
      <w:r>
        <w:t xml:space="preserve">the left-hand side of </w:t>
      </w:r>
      <w:r>
        <w:fldChar w:fldCharType="begin"/>
      </w:r>
      <w:r>
        <w:instrText xml:space="preserve"> REF _Ref132964494 \h </w:instrText>
      </w:r>
      <w:r>
        <w:fldChar w:fldCharType="separate"/>
      </w:r>
      <w:r w:rsidR="001E41EA" w:rsidRPr="00F60A9B">
        <w:t xml:space="preserve">Equation </w:t>
      </w:r>
      <w:r w:rsidR="001E41EA">
        <w:rPr>
          <w:noProof/>
        </w:rPr>
        <w:t>4</w:t>
      </w:r>
      <w:r>
        <w:fldChar w:fldCharType="end"/>
      </w:r>
      <w:r>
        <w:t xml:space="preserve"> represents the patient’s risk total </w:t>
      </w:r>
      <w:r w:rsidRPr="00A5304A">
        <w:rPr>
          <w:i/>
          <w:iCs/>
        </w:rPr>
        <w:t>before</w:t>
      </w:r>
      <w:r>
        <w:t xml:space="preserve"> a medical device is used to treat their health condition, and </w:t>
      </w:r>
    </w:p>
    <w:p w14:paraId="1D63F0C5" w14:textId="324CF3BB" w:rsidR="00F77691" w:rsidRDefault="00F77691">
      <w:pPr>
        <w:pStyle w:val="ListParagraph"/>
        <w:numPr>
          <w:ilvl w:val="0"/>
          <w:numId w:val="4"/>
        </w:numPr>
        <w:spacing w:line="240" w:lineRule="auto"/>
        <w:contextualSpacing w:val="0"/>
      </w:pPr>
      <w:r>
        <w:t xml:space="preserve">the right-hand side of  </w:t>
      </w:r>
      <w:r>
        <w:fldChar w:fldCharType="begin"/>
      </w:r>
      <w:r>
        <w:instrText xml:space="preserve"> REF _Ref132964494 \h </w:instrText>
      </w:r>
      <w:r>
        <w:fldChar w:fldCharType="separate"/>
      </w:r>
      <w:r w:rsidR="001E41EA" w:rsidRPr="00F60A9B">
        <w:t xml:space="preserve">Equation </w:t>
      </w:r>
      <w:r w:rsidR="001E41EA">
        <w:rPr>
          <w:noProof/>
        </w:rPr>
        <w:t>4</w:t>
      </w:r>
      <w:r>
        <w:fldChar w:fldCharType="end"/>
      </w:r>
      <w:r>
        <w:t xml:space="preserve"> represents the patient’s risk total </w:t>
      </w:r>
      <w:r w:rsidRPr="00A5304A">
        <w:rPr>
          <w:i/>
          <w:iCs/>
        </w:rPr>
        <w:t>after</w:t>
      </w:r>
      <w:r>
        <w:t xml:space="preserve"> a medical device is used to treat their health condition; i.e., the component of risk from the health situation that remains after the medical treatment and the component of risk from the medical treatment.  </w:t>
      </w:r>
    </w:p>
    <w:p w14:paraId="1E186B11" w14:textId="5F32EBB3" w:rsidR="00F77691" w:rsidRDefault="00F77691" w:rsidP="00F77691">
      <w:pPr>
        <w:spacing w:line="240" w:lineRule="auto"/>
      </w:pPr>
      <w:r>
        <w:t xml:space="preserve">Therefore, </w:t>
      </w:r>
      <w:r>
        <w:fldChar w:fldCharType="begin"/>
      </w:r>
      <w:r>
        <w:instrText xml:space="preserve"> REF _Ref132964494 \h </w:instrText>
      </w:r>
      <w:r>
        <w:fldChar w:fldCharType="separate"/>
      </w:r>
      <w:r w:rsidR="001E41EA" w:rsidRPr="00F60A9B">
        <w:t xml:space="preserve">Equation </w:t>
      </w:r>
      <w:r w:rsidR="001E41EA">
        <w:rPr>
          <w:noProof/>
        </w:rPr>
        <w:t>4</w:t>
      </w:r>
      <w:r>
        <w:fldChar w:fldCharType="end"/>
      </w:r>
      <w:r>
        <w:t xml:space="preserve"> states that the patient risk before a medical device is used to treat their health condition must be greater than the patient risk after that medical device is used to treat their health condition.  </w:t>
      </w:r>
    </w:p>
    <w:p w14:paraId="29D0392E" w14:textId="236654A2" w:rsidR="00F77691" w:rsidRDefault="00F77691" w:rsidP="00F77691">
      <w:pPr>
        <w:spacing w:line="240" w:lineRule="auto"/>
      </w:pPr>
      <w:r>
        <w:t xml:space="preserve">While </w:t>
      </w:r>
      <w:r>
        <w:fldChar w:fldCharType="begin"/>
      </w:r>
      <w:r>
        <w:instrText xml:space="preserve"> REF _Ref132964494 \h </w:instrText>
      </w:r>
      <w:r>
        <w:fldChar w:fldCharType="separate"/>
      </w:r>
      <w:r w:rsidR="001E41EA" w:rsidRPr="00F60A9B">
        <w:t xml:space="preserve">Equation </w:t>
      </w:r>
      <w:r w:rsidR="001E41EA">
        <w:rPr>
          <w:noProof/>
        </w:rPr>
        <w:t>4</w:t>
      </w:r>
      <w:r>
        <w:fldChar w:fldCharType="end"/>
      </w:r>
      <w:r>
        <w:t xml:space="preserve"> looks familiar to anyone who uses inequalities with real numbers, the three variables in </w:t>
      </w:r>
      <w:r>
        <w:fldChar w:fldCharType="begin"/>
      </w:r>
      <w:r>
        <w:instrText xml:space="preserve"> REF _Ref132964494 \h </w:instrText>
      </w:r>
      <w:r>
        <w:fldChar w:fldCharType="separate"/>
      </w:r>
      <w:r w:rsidR="001E41EA" w:rsidRPr="00F60A9B">
        <w:t xml:space="preserve">Equation </w:t>
      </w:r>
      <w:r w:rsidR="001E41EA">
        <w:rPr>
          <w:noProof/>
        </w:rPr>
        <w:t>4</w:t>
      </w:r>
      <w:r>
        <w:fldChar w:fldCharType="end"/>
      </w:r>
      <w:r>
        <w:t>,</w:t>
      </w:r>
      <w:r w:rsidRPr="00F60A9B">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F60A9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w:t>
      </w:r>
      <w:r>
        <w:rPr>
          <w:rFonts w:eastAsiaTheme="minorEastAsia"/>
        </w:rPr>
        <w:t>and</w:t>
      </w:r>
      <w:r w:rsidRPr="00F60A9B">
        <w:rPr>
          <w:rFonts w:eastAsiaTheme="minorEastAsia"/>
        </w:rPr>
        <w:t xml:space="preserve"> </w:t>
      </w:r>
      <m:oMath>
        <m:r>
          <w:rPr>
            <w:rFonts w:ascii="Cambria Math" w:hAnsi="Cambria Math"/>
          </w:rPr>
          <m:t>R</m:t>
        </m:r>
      </m:oMath>
      <w:r>
        <w:t xml:space="preserve">, represent ‘sets of risks’ and not ‘real </w:t>
      </w:r>
      <w:proofErr w:type="gramStart"/>
      <w:r>
        <w:t>numbers’</w:t>
      </w:r>
      <w:proofErr w:type="gramEnd"/>
      <w:r>
        <w:t xml:space="preserve">.  While the following substitutions will look reasonable to many readers, those readers who are familiar with abstract algebra can verify the technical correctness of the substitutions: </w:t>
      </w:r>
    </w:p>
    <w:p w14:paraId="342E508F" w14:textId="77777777" w:rsidR="00F77691" w:rsidRPr="002B4B46" w:rsidRDefault="00F77691">
      <w:pPr>
        <w:pStyle w:val="ListParagraph"/>
        <w:numPr>
          <w:ilvl w:val="0"/>
          <w:numId w:val="5"/>
        </w:numPr>
        <w:rPr>
          <w:rFonts w:eastAsiaTheme="minorEastAsia"/>
        </w:rPr>
      </w:pPr>
      <w:r>
        <w:t>The ‘</w:t>
      </w:r>
      <w:r w:rsidRPr="00F60A9B">
        <w:t xml:space="preserve">addition </w:t>
      </w:r>
      <w:r>
        <w:t xml:space="preserve">sign’, ‘+’, </w:t>
      </w:r>
      <w:r w:rsidRPr="00F60A9B">
        <w:t xml:space="preserve">for real numbers </w:t>
      </w:r>
      <w:r>
        <w:t>is replace by the ‘</w:t>
      </w:r>
      <w:r w:rsidRPr="00F60A9B">
        <w:t xml:space="preserve">union </w:t>
      </w:r>
      <w:r>
        <w:t>sign’, ‘</w:t>
      </w:r>
      <m:oMath>
        <m:r>
          <w:rPr>
            <w:rFonts w:ascii="Cambria Math" w:eastAsiaTheme="minorEastAsia" w:hAnsi="Cambria Math"/>
          </w:rPr>
          <m:t>⋃</m:t>
        </m:r>
      </m:oMath>
      <w:r>
        <w:t xml:space="preserve">’, </w:t>
      </w:r>
      <w:r w:rsidRPr="00F60A9B">
        <w:t xml:space="preserve">for sets, </w:t>
      </w:r>
      <w:r>
        <w:t xml:space="preserve">and </w:t>
      </w:r>
    </w:p>
    <w:p w14:paraId="6FD55649" w14:textId="77777777" w:rsidR="00F77691" w:rsidRDefault="00F77691">
      <w:pPr>
        <w:pStyle w:val="ListParagraph"/>
        <w:numPr>
          <w:ilvl w:val="0"/>
          <w:numId w:val="5"/>
        </w:numPr>
        <w:rPr>
          <w:rFonts w:eastAsiaTheme="minorEastAsia"/>
        </w:rPr>
      </w:pPr>
      <w:r>
        <w:rPr>
          <w:rFonts w:eastAsiaTheme="minorEastAsia"/>
        </w:rPr>
        <w:t>The greater than sign, ‘</w:t>
      </w:r>
      <m:oMath>
        <m:r>
          <w:rPr>
            <w:rFonts w:ascii="Cambria Math" w:eastAsiaTheme="minorEastAsia" w:hAnsi="Cambria Math"/>
          </w:rPr>
          <m:t>&gt;</m:t>
        </m:r>
      </m:oMath>
      <w:r>
        <w:rPr>
          <w:rFonts w:eastAsiaTheme="minorEastAsia"/>
        </w:rPr>
        <w:t>’, for real numbers is replaced by a ‘greater risk sign’, ‘</w:t>
      </w:r>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w:r>
        <w:rPr>
          <w:rFonts w:eastAsiaTheme="minorEastAsia"/>
        </w:rPr>
        <w:t>’, for sets of risks.  Just like ‘</w:t>
      </w:r>
      <m:oMath>
        <m:r>
          <w:rPr>
            <w:rFonts w:ascii="Cambria Math" w:eastAsiaTheme="minorEastAsia" w:hAnsi="Cambria Math"/>
          </w:rPr>
          <m:t>&gt;</m:t>
        </m:r>
      </m:oMath>
      <w:r>
        <w:rPr>
          <w:rFonts w:eastAsiaTheme="minorEastAsia"/>
        </w:rPr>
        <w:t>’ indicates that the number on the left-hand side of the inequality is larger than the number on the right-hand side of the inequality, ‘</w:t>
      </w:r>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w:r>
        <w:rPr>
          <w:rFonts w:eastAsiaTheme="minorEastAsia"/>
        </w:rPr>
        <w:t xml:space="preserve">’ indicates that the total amount of risk on the left side of the inequality is greater than the total amount of risk the right side of the inequality.  </w:t>
      </w:r>
    </w:p>
    <w:p w14:paraId="665C34A4" w14:textId="649ABCAC" w:rsidR="00F77691" w:rsidRDefault="00F77691" w:rsidP="00F77691">
      <w:pPr>
        <w:rPr>
          <w:rFonts w:eastAsiaTheme="minorEastAsia"/>
        </w:rPr>
      </w:pPr>
      <w:r>
        <w:rPr>
          <w:rFonts w:eastAsiaTheme="minorEastAsia"/>
        </w:rPr>
        <w:t xml:space="preserve">With these substitutions, </w:t>
      </w:r>
      <w:r>
        <w:rPr>
          <w:rFonts w:eastAsiaTheme="minorEastAsia"/>
        </w:rPr>
        <w:fldChar w:fldCharType="begin"/>
      </w:r>
      <w:r>
        <w:rPr>
          <w:rFonts w:eastAsiaTheme="minorEastAsia"/>
        </w:rPr>
        <w:instrText xml:space="preserve"> REF _Ref132964494 \h </w:instrText>
      </w:r>
      <w:r>
        <w:rPr>
          <w:rFonts w:eastAsiaTheme="minorEastAsia"/>
        </w:rPr>
      </w:r>
      <w:r>
        <w:rPr>
          <w:rFonts w:eastAsiaTheme="minorEastAsia"/>
        </w:rPr>
        <w:fldChar w:fldCharType="separate"/>
      </w:r>
      <w:r w:rsidR="001E41EA" w:rsidRPr="00F60A9B">
        <w:t xml:space="preserve">Equation </w:t>
      </w:r>
      <w:r w:rsidR="001E41EA">
        <w:rPr>
          <w:noProof/>
        </w:rPr>
        <w:t>4</w:t>
      </w:r>
      <w:r>
        <w:rPr>
          <w:rFonts w:eastAsiaTheme="minorEastAsia"/>
        </w:rPr>
        <w:fldChar w:fldCharType="end"/>
      </w:r>
      <w:r>
        <w:rPr>
          <w:rFonts w:eastAsiaTheme="minorEastAsia"/>
        </w:rPr>
        <w:t xml:space="preserve"> becomes: </w:t>
      </w:r>
    </w:p>
    <w:p w14:paraId="7A5C56CF" w14:textId="77777777" w:rsidR="00F77691" w:rsidRPr="00F60A9B" w:rsidRDefault="00000000" w:rsidP="00F77691">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oMath>
      </m:oMathPara>
    </w:p>
    <w:p w14:paraId="437B3E3B" w14:textId="3BA9EDA0" w:rsidR="00F77691" w:rsidRPr="00F60A9B" w:rsidRDefault="00F77691" w:rsidP="00F77691">
      <w:pPr>
        <w:pStyle w:val="Caption"/>
        <w:jc w:val="right"/>
        <w:rPr>
          <w:color w:val="auto"/>
        </w:rPr>
      </w:pPr>
      <w:bookmarkStart w:id="35" w:name="_Ref141189516"/>
      <w:r w:rsidRPr="00F60A9B">
        <w:rPr>
          <w:color w:val="auto"/>
        </w:rPr>
        <w:t xml:space="preserve">Equation </w:t>
      </w:r>
      <w:r w:rsidRPr="00F60A9B">
        <w:rPr>
          <w:color w:val="auto"/>
        </w:rPr>
        <w:fldChar w:fldCharType="begin"/>
      </w:r>
      <w:r w:rsidRPr="00F60A9B">
        <w:rPr>
          <w:color w:val="auto"/>
        </w:rPr>
        <w:instrText xml:space="preserve"> SEQ Equation \* ARABIC </w:instrText>
      </w:r>
      <w:r w:rsidRPr="00F60A9B">
        <w:rPr>
          <w:color w:val="auto"/>
        </w:rPr>
        <w:fldChar w:fldCharType="separate"/>
      </w:r>
      <w:r w:rsidR="003468AE">
        <w:rPr>
          <w:noProof/>
          <w:color w:val="auto"/>
        </w:rPr>
        <w:t>5</w:t>
      </w:r>
      <w:r w:rsidRPr="00F60A9B">
        <w:rPr>
          <w:noProof/>
          <w:color w:val="auto"/>
        </w:rPr>
        <w:fldChar w:fldCharType="end"/>
      </w:r>
      <w:bookmarkEnd w:id="35"/>
    </w:p>
    <w:p w14:paraId="6A0F4129" w14:textId="05118CD8" w:rsidR="00F77691" w:rsidRPr="00F60A9B" w:rsidRDefault="00F77691" w:rsidP="00F77691">
      <w:r>
        <w:lastRenderedPageBreak/>
        <w:t xml:space="preserve">The three terms in </w:t>
      </w:r>
      <w:r>
        <w:fldChar w:fldCharType="begin"/>
      </w:r>
      <w:r>
        <w:instrText xml:space="preserve"> REF _Ref141189516 \h </w:instrText>
      </w:r>
      <w:r>
        <w:fldChar w:fldCharType="separate"/>
      </w:r>
      <w:r w:rsidR="001E41EA" w:rsidRPr="00F60A9B">
        <w:t xml:space="preserve">Equation </w:t>
      </w:r>
      <w:r w:rsidR="001E41EA">
        <w:rPr>
          <w:noProof/>
        </w:rPr>
        <w:t>5</w:t>
      </w:r>
      <w:r>
        <w:fldChar w:fldCharType="end"/>
      </w:r>
      <w:r>
        <w:t xml:space="preserve"> each represent a set of risks, where, per </w:t>
      </w:r>
      <w:r>
        <w:fldChar w:fldCharType="begin"/>
      </w:r>
      <w:r>
        <w:instrText xml:space="preserve"> REF _Ref141191908 \h </w:instrText>
      </w:r>
      <w:r>
        <w:fldChar w:fldCharType="separate"/>
      </w:r>
      <w:r w:rsidR="001E41EA">
        <w:t xml:space="preserve">Equation </w:t>
      </w:r>
      <w:r w:rsidR="001E41EA">
        <w:rPr>
          <w:noProof/>
        </w:rPr>
        <w:t>3</w:t>
      </w:r>
      <w:r>
        <w:fldChar w:fldCharType="end"/>
      </w:r>
      <w:r>
        <w:t xml:space="preserve">,  each risk is represented by an ordered pair whose abscissa is the probability of harm and the ordinate is the severity of harm.  </w:t>
      </w:r>
    </w:p>
    <w:p w14:paraId="4F1E3A67" w14:textId="77777777" w:rsidR="00F77691" w:rsidRPr="00F60A9B" w:rsidRDefault="00F77691" w:rsidP="00F77691"/>
    <w:p w14:paraId="18E3B440" w14:textId="1BC8C476" w:rsidR="00054ACC" w:rsidRPr="00F60A9B" w:rsidRDefault="00F77691" w:rsidP="00054ACC">
      <w:r w:rsidRPr="00F60A9B">
        <w:t>We</w:t>
      </w:r>
      <w:r>
        <w:t xml:space="preserve"> will now </w:t>
      </w:r>
      <w:r w:rsidR="00054ACC">
        <w:t xml:space="preserve">use </w:t>
      </w:r>
      <w:r w:rsidR="008846E8">
        <w:fldChar w:fldCharType="begin"/>
      </w:r>
      <w:r w:rsidR="008846E8">
        <w:instrText xml:space="preserve"> REF _Ref141189516 \h </w:instrText>
      </w:r>
      <w:r w:rsidR="008846E8">
        <w:fldChar w:fldCharType="separate"/>
      </w:r>
      <w:r w:rsidR="001E41EA" w:rsidRPr="00F60A9B">
        <w:t xml:space="preserve">Equation </w:t>
      </w:r>
      <w:r w:rsidR="001E41EA">
        <w:rPr>
          <w:noProof/>
        </w:rPr>
        <w:t>5</w:t>
      </w:r>
      <w:r w:rsidR="008846E8">
        <w:fldChar w:fldCharType="end"/>
      </w:r>
      <w:r w:rsidR="008846E8">
        <w:t xml:space="preserve"> to </w:t>
      </w:r>
      <w:r>
        <w:t>describe a useful and, for many, a familiar way</w:t>
      </w:r>
      <w:r w:rsidRPr="00F60A9B">
        <w:t xml:space="preserve"> to </w:t>
      </w:r>
      <w:r>
        <w:t xml:space="preserve">organize risks:  </w:t>
      </w:r>
      <w:r w:rsidR="008846E8">
        <w:br/>
      </w:r>
      <w:r w:rsidR="00054ACC">
        <w:t xml:space="preserve">Figure 4 of TR 24971 presents the following table to </w:t>
      </w:r>
      <w:r w:rsidR="008846E8">
        <w:t>organize</w:t>
      </w:r>
      <w:r w:rsidR="00054ACC">
        <w:t xml:space="preserve"> the risks to a patient from the medical treatment: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54ACC" w:rsidRPr="00F60A9B" w14:paraId="5FAD4A94" w14:textId="77777777" w:rsidTr="000E1E7C">
        <w:trPr>
          <w:tblHeader/>
        </w:trPr>
        <w:tc>
          <w:tcPr>
            <w:tcW w:w="1335" w:type="dxa"/>
            <w:tcBorders>
              <w:top w:val="nil"/>
              <w:left w:val="nil"/>
              <w:bottom w:val="nil"/>
              <w:right w:val="nil"/>
            </w:tcBorders>
          </w:tcPr>
          <w:p w14:paraId="7286B0BF" w14:textId="77777777" w:rsidR="00054ACC" w:rsidRPr="00F60A9B" w:rsidRDefault="00054ACC" w:rsidP="000E1E7C"/>
        </w:tc>
        <w:tc>
          <w:tcPr>
            <w:tcW w:w="1335" w:type="dxa"/>
            <w:tcBorders>
              <w:top w:val="nil"/>
              <w:left w:val="nil"/>
              <w:bottom w:val="nil"/>
              <w:right w:val="nil"/>
            </w:tcBorders>
          </w:tcPr>
          <w:p w14:paraId="343783C0" w14:textId="77777777" w:rsidR="00054ACC" w:rsidRPr="00F60A9B" w:rsidRDefault="00054ACC" w:rsidP="000E1E7C"/>
        </w:tc>
        <w:tc>
          <w:tcPr>
            <w:tcW w:w="6680" w:type="dxa"/>
            <w:gridSpan w:val="5"/>
            <w:tcBorders>
              <w:top w:val="nil"/>
              <w:left w:val="nil"/>
              <w:bottom w:val="nil"/>
              <w:right w:val="nil"/>
            </w:tcBorders>
          </w:tcPr>
          <w:p w14:paraId="50C63A09" w14:textId="77777777" w:rsidR="00054ACC" w:rsidRPr="00F60A9B" w:rsidRDefault="00054ACC" w:rsidP="000E1E7C">
            <w:pPr>
              <w:jc w:val="center"/>
            </w:pPr>
            <w:r w:rsidRPr="00F60A9B">
              <w:t xml:space="preserve">Qualitative </w:t>
            </w:r>
            <w:r w:rsidRPr="00F60A9B">
              <w:rPr>
                <w:b/>
                <w:bCs/>
              </w:rPr>
              <w:t>severity</w:t>
            </w:r>
            <w:r w:rsidRPr="00F60A9B">
              <w:t xml:space="preserve"> levels</w:t>
            </w:r>
          </w:p>
        </w:tc>
      </w:tr>
      <w:tr w:rsidR="00054ACC" w:rsidRPr="00F60A9B" w14:paraId="302D39A5" w14:textId="77777777" w:rsidTr="000E1E7C">
        <w:trPr>
          <w:tblHeader/>
        </w:trPr>
        <w:tc>
          <w:tcPr>
            <w:tcW w:w="1335" w:type="dxa"/>
            <w:tcBorders>
              <w:top w:val="nil"/>
              <w:left w:val="nil"/>
              <w:bottom w:val="nil"/>
              <w:right w:val="nil"/>
            </w:tcBorders>
          </w:tcPr>
          <w:p w14:paraId="1612EB68" w14:textId="77777777" w:rsidR="00054ACC" w:rsidRPr="00F60A9B" w:rsidRDefault="00054ACC" w:rsidP="000E1E7C"/>
        </w:tc>
        <w:tc>
          <w:tcPr>
            <w:tcW w:w="1335" w:type="dxa"/>
            <w:tcBorders>
              <w:top w:val="nil"/>
              <w:left w:val="nil"/>
              <w:bottom w:val="single" w:sz="4" w:space="0" w:color="auto"/>
            </w:tcBorders>
            <w:vAlign w:val="center"/>
          </w:tcPr>
          <w:p w14:paraId="6EDDADE0" w14:textId="77777777" w:rsidR="00054ACC" w:rsidRPr="00F60A9B" w:rsidRDefault="00054ACC" w:rsidP="000E1E7C">
            <m:oMathPara>
              <m:oMath>
                <m:r>
                  <w:rPr>
                    <w:rFonts w:ascii="Cambria Math" w:eastAsiaTheme="minorEastAsia" w:hAnsi="Cambria Math"/>
                  </w:rPr>
                  <m:t>R</m:t>
                </m:r>
              </m:oMath>
            </m:oMathPara>
          </w:p>
        </w:tc>
        <w:tc>
          <w:tcPr>
            <w:tcW w:w="1336" w:type="dxa"/>
            <w:tcBorders>
              <w:top w:val="single" w:sz="4" w:space="0" w:color="auto"/>
              <w:bottom w:val="single" w:sz="12" w:space="0" w:color="auto"/>
            </w:tcBorders>
            <w:vAlign w:val="center"/>
          </w:tcPr>
          <w:p w14:paraId="496453F3" w14:textId="77777777" w:rsidR="00054ACC" w:rsidRPr="00F60A9B" w:rsidRDefault="00054ACC" w:rsidP="000E1E7C">
            <w:pPr>
              <w:jc w:val="center"/>
            </w:pPr>
            <w:r w:rsidRPr="00F60A9B">
              <w:t>Negligible</w:t>
            </w:r>
          </w:p>
        </w:tc>
        <w:tc>
          <w:tcPr>
            <w:tcW w:w="1336" w:type="dxa"/>
            <w:tcBorders>
              <w:top w:val="single" w:sz="4" w:space="0" w:color="auto"/>
              <w:bottom w:val="single" w:sz="12" w:space="0" w:color="auto"/>
            </w:tcBorders>
            <w:vAlign w:val="center"/>
          </w:tcPr>
          <w:p w14:paraId="28F56892" w14:textId="77777777" w:rsidR="00054ACC" w:rsidRPr="00F60A9B" w:rsidRDefault="00054ACC" w:rsidP="000E1E7C">
            <w:pPr>
              <w:jc w:val="center"/>
            </w:pPr>
            <w:r w:rsidRPr="00F60A9B">
              <w:t>Minor</w:t>
            </w:r>
          </w:p>
        </w:tc>
        <w:tc>
          <w:tcPr>
            <w:tcW w:w="1336" w:type="dxa"/>
            <w:tcBorders>
              <w:top w:val="single" w:sz="4" w:space="0" w:color="auto"/>
              <w:bottom w:val="single" w:sz="12" w:space="0" w:color="auto"/>
            </w:tcBorders>
            <w:vAlign w:val="center"/>
          </w:tcPr>
          <w:p w14:paraId="69B973F7" w14:textId="77777777" w:rsidR="00054ACC" w:rsidRPr="00F60A9B" w:rsidRDefault="00054ACC" w:rsidP="000E1E7C">
            <w:pPr>
              <w:jc w:val="center"/>
            </w:pPr>
            <w:r w:rsidRPr="00F60A9B">
              <w:t>Serious / Major</w:t>
            </w:r>
          </w:p>
        </w:tc>
        <w:tc>
          <w:tcPr>
            <w:tcW w:w="1336" w:type="dxa"/>
            <w:tcBorders>
              <w:top w:val="single" w:sz="4" w:space="0" w:color="auto"/>
              <w:bottom w:val="single" w:sz="12" w:space="0" w:color="auto"/>
            </w:tcBorders>
            <w:vAlign w:val="center"/>
          </w:tcPr>
          <w:p w14:paraId="0AA2BD26" w14:textId="77777777" w:rsidR="00054ACC" w:rsidRPr="00F60A9B" w:rsidRDefault="00054ACC" w:rsidP="000E1E7C">
            <w:pPr>
              <w:jc w:val="center"/>
            </w:pPr>
            <w:r w:rsidRPr="00F60A9B">
              <w:t>Critical</w:t>
            </w:r>
          </w:p>
        </w:tc>
        <w:tc>
          <w:tcPr>
            <w:tcW w:w="1336" w:type="dxa"/>
            <w:tcBorders>
              <w:top w:val="single" w:sz="4" w:space="0" w:color="auto"/>
              <w:bottom w:val="single" w:sz="12" w:space="0" w:color="auto"/>
            </w:tcBorders>
            <w:vAlign w:val="center"/>
          </w:tcPr>
          <w:p w14:paraId="203F1C4B" w14:textId="77777777" w:rsidR="00054ACC" w:rsidRPr="00F60A9B" w:rsidRDefault="00054ACC" w:rsidP="000E1E7C">
            <w:pPr>
              <w:jc w:val="center"/>
            </w:pPr>
            <w:r w:rsidRPr="00F60A9B">
              <w:t>Catastrophic / Fatal</w:t>
            </w:r>
          </w:p>
        </w:tc>
      </w:tr>
      <w:tr w:rsidR="00054ACC" w:rsidRPr="00F60A9B" w14:paraId="3638B5DE" w14:textId="77777777" w:rsidTr="000E1E7C">
        <w:tc>
          <w:tcPr>
            <w:tcW w:w="1335" w:type="dxa"/>
            <w:vMerge w:val="restart"/>
            <w:tcBorders>
              <w:top w:val="nil"/>
              <w:left w:val="nil"/>
              <w:bottom w:val="nil"/>
            </w:tcBorders>
            <w:vAlign w:val="center"/>
          </w:tcPr>
          <w:p w14:paraId="520944F5" w14:textId="77777777" w:rsidR="00054ACC" w:rsidRPr="00F60A9B" w:rsidRDefault="00054ACC" w:rsidP="000E1E7C">
            <w:pPr>
              <w:jc w:val="center"/>
            </w:pPr>
            <w:r w:rsidRPr="00F60A9B">
              <w:t>Semi-quantitative</w:t>
            </w:r>
          </w:p>
          <w:p w14:paraId="48A758EC" w14:textId="77777777" w:rsidR="00054ACC" w:rsidRPr="00F60A9B" w:rsidRDefault="00054ACC" w:rsidP="000E1E7C">
            <w:pPr>
              <w:jc w:val="center"/>
              <w:rPr>
                <w:b/>
                <w:bCs/>
              </w:rPr>
            </w:pPr>
            <w:r w:rsidRPr="00F60A9B">
              <w:rPr>
                <w:b/>
                <w:bCs/>
              </w:rPr>
              <w:t>probability</w:t>
            </w:r>
          </w:p>
          <w:p w14:paraId="570B417B" w14:textId="77777777" w:rsidR="00054ACC" w:rsidRPr="00F60A9B" w:rsidRDefault="00054ACC" w:rsidP="000E1E7C">
            <w:pPr>
              <w:jc w:val="center"/>
            </w:pPr>
            <w:r w:rsidRPr="00F60A9B">
              <w:t>levels</w:t>
            </w:r>
          </w:p>
        </w:tc>
        <w:tc>
          <w:tcPr>
            <w:tcW w:w="1335" w:type="dxa"/>
            <w:tcBorders>
              <w:top w:val="single" w:sz="4" w:space="0" w:color="auto"/>
              <w:right w:val="single" w:sz="12" w:space="0" w:color="auto"/>
            </w:tcBorders>
          </w:tcPr>
          <w:p w14:paraId="65DBED2A" w14:textId="77777777" w:rsidR="00054ACC" w:rsidRPr="00F60A9B" w:rsidRDefault="00054ACC" w:rsidP="000E1E7C">
            <w:r w:rsidRPr="00F60A9B">
              <w:t>Frequent</w:t>
            </w:r>
          </w:p>
        </w:tc>
        <w:tc>
          <w:tcPr>
            <w:tcW w:w="1336" w:type="dxa"/>
            <w:tcBorders>
              <w:top w:val="single" w:sz="12" w:space="0" w:color="auto"/>
              <w:left w:val="single" w:sz="12" w:space="0" w:color="auto"/>
            </w:tcBorders>
          </w:tcPr>
          <w:p w14:paraId="41264A29" w14:textId="77777777" w:rsidR="00054ACC" w:rsidRPr="00F60A9B" w:rsidRDefault="00054ACC" w:rsidP="000E1E7C">
            <w:pPr>
              <w:jc w:val="center"/>
            </w:pPr>
          </w:p>
        </w:tc>
        <w:tc>
          <w:tcPr>
            <w:tcW w:w="1336" w:type="dxa"/>
            <w:tcBorders>
              <w:top w:val="single" w:sz="12" w:space="0" w:color="auto"/>
            </w:tcBorders>
          </w:tcPr>
          <w:p w14:paraId="74F7E1EE" w14:textId="77777777" w:rsidR="00054ACC" w:rsidRPr="00F60A9B" w:rsidRDefault="00054ACC" w:rsidP="000E1E7C">
            <w:pPr>
              <w:jc w:val="center"/>
            </w:pPr>
          </w:p>
        </w:tc>
        <w:tc>
          <w:tcPr>
            <w:tcW w:w="1336" w:type="dxa"/>
            <w:tcBorders>
              <w:top w:val="single" w:sz="12" w:space="0" w:color="auto"/>
            </w:tcBorders>
          </w:tcPr>
          <w:p w14:paraId="64A35BE6" w14:textId="77777777" w:rsidR="00054ACC" w:rsidRPr="00F60A9B" w:rsidRDefault="00054ACC" w:rsidP="000E1E7C">
            <w:pPr>
              <w:jc w:val="center"/>
            </w:pPr>
          </w:p>
        </w:tc>
        <w:tc>
          <w:tcPr>
            <w:tcW w:w="1336" w:type="dxa"/>
            <w:tcBorders>
              <w:top w:val="single" w:sz="12" w:space="0" w:color="auto"/>
            </w:tcBorders>
          </w:tcPr>
          <w:p w14:paraId="6A096AE2" w14:textId="77777777" w:rsidR="00054ACC" w:rsidRPr="00F60A9B" w:rsidRDefault="00054ACC" w:rsidP="000E1E7C">
            <w:pPr>
              <w:jc w:val="center"/>
            </w:pPr>
          </w:p>
        </w:tc>
        <w:tc>
          <w:tcPr>
            <w:tcW w:w="1336" w:type="dxa"/>
            <w:tcBorders>
              <w:top w:val="single" w:sz="12" w:space="0" w:color="auto"/>
            </w:tcBorders>
          </w:tcPr>
          <w:p w14:paraId="06564243" w14:textId="77777777" w:rsidR="00054ACC" w:rsidRPr="00F60A9B" w:rsidRDefault="00054ACC" w:rsidP="000E1E7C">
            <w:pPr>
              <w:jc w:val="center"/>
            </w:pPr>
          </w:p>
        </w:tc>
      </w:tr>
      <w:tr w:rsidR="00054ACC" w:rsidRPr="00F60A9B" w14:paraId="20086020" w14:textId="77777777" w:rsidTr="000E1E7C">
        <w:tc>
          <w:tcPr>
            <w:tcW w:w="1335" w:type="dxa"/>
            <w:vMerge/>
            <w:tcBorders>
              <w:left w:val="nil"/>
              <w:bottom w:val="nil"/>
            </w:tcBorders>
          </w:tcPr>
          <w:p w14:paraId="38A5E1F6" w14:textId="77777777" w:rsidR="00054ACC" w:rsidRPr="00F60A9B" w:rsidRDefault="00054ACC" w:rsidP="000E1E7C"/>
        </w:tc>
        <w:tc>
          <w:tcPr>
            <w:tcW w:w="1335" w:type="dxa"/>
            <w:tcBorders>
              <w:right w:val="single" w:sz="12" w:space="0" w:color="auto"/>
            </w:tcBorders>
          </w:tcPr>
          <w:p w14:paraId="4EDA6BD0" w14:textId="77777777" w:rsidR="00054ACC" w:rsidRPr="00F60A9B" w:rsidRDefault="00054ACC" w:rsidP="000E1E7C">
            <w:r w:rsidRPr="00F60A9B">
              <w:t>Probable</w:t>
            </w:r>
          </w:p>
        </w:tc>
        <w:tc>
          <w:tcPr>
            <w:tcW w:w="1336" w:type="dxa"/>
            <w:tcBorders>
              <w:left w:val="single" w:sz="12" w:space="0" w:color="auto"/>
            </w:tcBorders>
          </w:tcPr>
          <w:p w14:paraId="2C66F569" w14:textId="41952B50"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oMath>
            </m:oMathPara>
          </w:p>
        </w:tc>
        <w:tc>
          <w:tcPr>
            <w:tcW w:w="1336" w:type="dxa"/>
          </w:tcPr>
          <w:p w14:paraId="04E197BD" w14:textId="37D8324F"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oMath>
            </m:oMathPara>
          </w:p>
        </w:tc>
        <w:tc>
          <w:tcPr>
            <w:tcW w:w="1336" w:type="dxa"/>
          </w:tcPr>
          <w:p w14:paraId="5D86D1ED" w14:textId="77777777" w:rsidR="00054ACC" w:rsidRPr="00F60A9B" w:rsidRDefault="00054ACC" w:rsidP="000E1E7C">
            <w:pPr>
              <w:jc w:val="center"/>
            </w:pPr>
          </w:p>
        </w:tc>
        <w:tc>
          <w:tcPr>
            <w:tcW w:w="1336" w:type="dxa"/>
          </w:tcPr>
          <w:p w14:paraId="183047A5" w14:textId="77777777" w:rsidR="00054ACC" w:rsidRPr="00F60A9B" w:rsidRDefault="00054ACC" w:rsidP="000E1E7C">
            <w:pPr>
              <w:jc w:val="center"/>
            </w:pPr>
          </w:p>
        </w:tc>
        <w:tc>
          <w:tcPr>
            <w:tcW w:w="1336" w:type="dxa"/>
          </w:tcPr>
          <w:p w14:paraId="0F39308E" w14:textId="77777777" w:rsidR="00054ACC" w:rsidRPr="00F60A9B" w:rsidRDefault="00054ACC" w:rsidP="000E1E7C">
            <w:pPr>
              <w:jc w:val="center"/>
            </w:pPr>
          </w:p>
        </w:tc>
      </w:tr>
      <w:tr w:rsidR="00054ACC" w:rsidRPr="00F60A9B" w14:paraId="32E2F4D8" w14:textId="77777777" w:rsidTr="000E1E7C">
        <w:tc>
          <w:tcPr>
            <w:tcW w:w="1335" w:type="dxa"/>
            <w:vMerge/>
            <w:tcBorders>
              <w:left w:val="nil"/>
              <w:bottom w:val="nil"/>
            </w:tcBorders>
          </w:tcPr>
          <w:p w14:paraId="7C5C695D" w14:textId="77777777" w:rsidR="00054ACC" w:rsidRPr="00F60A9B" w:rsidRDefault="00054ACC" w:rsidP="000E1E7C"/>
        </w:tc>
        <w:tc>
          <w:tcPr>
            <w:tcW w:w="1335" w:type="dxa"/>
            <w:tcBorders>
              <w:right w:val="single" w:sz="12" w:space="0" w:color="auto"/>
            </w:tcBorders>
          </w:tcPr>
          <w:p w14:paraId="00430867" w14:textId="77777777" w:rsidR="00054ACC" w:rsidRPr="00F60A9B" w:rsidRDefault="00054ACC" w:rsidP="000E1E7C">
            <w:r w:rsidRPr="00F60A9B">
              <w:t>Occasional</w:t>
            </w:r>
          </w:p>
        </w:tc>
        <w:tc>
          <w:tcPr>
            <w:tcW w:w="1336" w:type="dxa"/>
            <w:tcBorders>
              <w:left w:val="single" w:sz="12" w:space="0" w:color="auto"/>
            </w:tcBorders>
          </w:tcPr>
          <w:p w14:paraId="26A61563" w14:textId="77777777" w:rsidR="00054ACC" w:rsidRPr="00F60A9B" w:rsidRDefault="00054ACC" w:rsidP="000E1E7C">
            <w:pPr>
              <w:jc w:val="center"/>
            </w:pPr>
          </w:p>
        </w:tc>
        <w:tc>
          <w:tcPr>
            <w:tcW w:w="1336" w:type="dxa"/>
          </w:tcPr>
          <w:p w14:paraId="4C8F32C2" w14:textId="352BD4E3"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m:t>
                    </m:r>
                  </m:sub>
                </m:sSub>
              </m:oMath>
            </m:oMathPara>
          </w:p>
        </w:tc>
        <w:tc>
          <w:tcPr>
            <w:tcW w:w="1336" w:type="dxa"/>
          </w:tcPr>
          <w:p w14:paraId="2C9B22C1" w14:textId="77777777" w:rsidR="00054ACC" w:rsidRPr="00F60A9B" w:rsidRDefault="00054ACC" w:rsidP="000E1E7C">
            <w:pPr>
              <w:jc w:val="center"/>
            </w:pPr>
          </w:p>
        </w:tc>
        <w:tc>
          <w:tcPr>
            <w:tcW w:w="1336" w:type="dxa"/>
          </w:tcPr>
          <w:p w14:paraId="56911DA1" w14:textId="23C98E6B"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5</m:t>
                    </m:r>
                  </m:sub>
                </m:sSub>
              </m:oMath>
            </m:oMathPara>
          </w:p>
        </w:tc>
        <w:tc>
          <w:tcPr>
            <w:tcW w:w="1336" w:type="dxa"/>
          </w:tcPr>
          <w:p w14:paraId="182A8953" w14:textId="72BC314C"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6</m:t>
                    </m:r>
                  </m:sub>
                </m:sSub>
              </m:oMath>
            </m:oMathPara>
          </w:p>
        </w:tc>
      </w:tr>
      <w:tr w:rsidR="00054ACC" w:rsidRPr="00F60A9B" w14:paraId="4BBEDB21" w14:textId="77777777" w:rsidTr="000E1E7C">
        <w:tc>
          <w:tcPr>
            <w:tcW w:w="1335" w:type="dxa"/>
            <w:vMerge/>
            <w:tcBorders>
              <w:left w:val="nil"/>
              <w:bottom w:val="nil"/>
            </w:tcBorders>
          </w:tcPr>
          <w:p w14:paraId="47D7C514" w14:textId="77777777" w:rsidR="00054ACC" w:rsidRPr="00F60A9B" w:rsidRDefault="00054ACC" w:rsidP="000E1E7C"/>
        </w:tc>
        <w:tc>
          <w:tcPr>
            <w:tcW w:w="1335" w:type="dxa"/>
            <w:tcBorders>
              <w:right w:val="single" w:sz="12" w:space="0" w:color="auto"/>
            </w:tcBorders>
          </w:tcPr>
          <w:p w14:paraId="3BB07C76" w14:textId="77777777" w:rsidR="00054ACC" w:rsidRPr="00F60A9B" w:rsidRDefault="00054ACC" w:rsidP="000E1E7C">
            <w:r w:rsidRPr="00F60A9B">
              <w:t>Remote</w:t>
            </w:r>
          </w:p>
        </w:tc>
        <w:tc>
          <w:tcPr>
            <w:tcW w:w="1336" w:type="dxa"/>
            <w:tcBorders>
              <w:left w:val="single" w:sz="12" w:space="0" w:color="auto"/>
            </w:tcBorders>
          </w:tcPr>
          <w:p w14:paraId="7CA39FCB" w14:textId="77777777" w:rsidR="00054ACC" w:rsidRPr="00F60A9B" w:rsidRDefault="00054ACC" w:rsidP="000E1E7C">
            <w:pPr>
              <w:jc w:val="center"/>
            </w:pPr>
          </w:p>
        </w:tc>
        <w:tc>
          <w:tcPr>
            <w:tcW w:w="1336" w:type="dxa"/>
          </w:tcPr>
          <w:p w14:paraId="2C362249" w14:textId="77777777" w:rsidR="00054ACC" w:rsidRPr="00F60A9B" w:rsidRDefault="00054ACC" w:rsidP="000E1E7C">
            <w:pPr>
              <w:jc w:val="center"/>
            </w:pPr>
          </w:p>
        </w:tc>
        <w:tc>
          <w:tcPr>
            <w:tcW w:w="1336" w:type="dxa"/>
          </w:tcPr>
          <w:p w14:paraId="33CE27F5" w14:textId="77777777" w:rsidR="00054ACC" w:rsidRPr="00F60A9B" w:rsidRDefault="00054ACC" w:rsidP="000E1E7C">
            <w:pPr>
              <w:jc w:val="center"/>
            </w:pPr>
          </w:p>
        </w:tc>
        <w:tc>
          <w:tcPr>
            <w:tcW w:w="1336" w:type="dxa"/>
          </w:tcPr>
          <w:p w14:paraId="06DFA8E4" w14:textId="77777777" w:rsidR="00054ACC" w:rsidRPr="00F60A9B" w:rsidRDefault="00054ACC" w:rsidP="000E1E7C">
            <w:pPr>
              <w:jc w:val="center"/>
            </w:pPr>
          </w:p>
        </w:tc>
        <w:tc>
          <w:tcPr>
            <w:tcW w:w="1336" w:type="dxa"/>
          </w:tcPr>
          <w:p w14:paraId="4D5EDFDC" w14:textId="77777777" w:rsidR="00054ACC" w:rsidRPr="00F60A9B" w:rsidRDefault="00054ACC" w:rsidP="000E1E7C">
            <w:pPr>
              <w:jc w:val="center"/>
            </w:pPr>
          </w:p>
        </w:tc>
      </w:tr>
      <w:tr w:rsidR="00054ACC" w:rsidRPr="00F60A9B" w14:paraId="05D258C7" w14:textId="77777777" w:rsidTr="000E1E7C">
        <w:tc>
          <w:tcPr>
            <w:tcW w:w="1335" w:type="dxa"/>
            <w:vMerge/>
            <w:tcBorders>
              <w:left w:val="nil"/>
              <w:bottom w:val="nil"/>
            </w:tcBorders>
          </w:tcPr>
          <w:p w14:paraId="73E96384" w14:textId="77777777" w:rsidR="00054ACC" w:rsidRPr="00F60A9B" w:rsidRDefault="00054ACC" w:rsidP="000E1E7C"/>
        </w:tc>
        <w:tc>
          <w:tcPr>
            <w:tcW w:w="1335" w:type="dxa"/>
            <w:tcBorders>
              <w:right w:val="single" w:sz="12" w:space="0" w:color="auto"/>
            </w:tcBorders>
          </w:tcPr>
          <w:p w14:paraId="5B9BB9AF" w14:textId="77777777" w:rsidR="00054ACC" w:rsidRPr="00F60A9B" w:rsidRDefault="00054ACC" w:rsidP="000E1E7C">
            <w:r w:rsidRPr="00F60A9B">
              <w:t>Improbable</w:t>
            </w:r>
          </w:p>
        </w:tc>
        <w:tc>
          <w:tcPr>
            <w:tcW w:w="1336" w:type="dxa"/>
            <w:tcBorders>
              <w:left w:val="single" w:sz="12" w:space="0" w:color="auto"/>
            </w:tcBorders>
          </w:tcPr>
          <w:p w14:paraId="002F5CCC" w14:textId="77777777" w:rsidR="00054ACC" w:rsidRPr="00F60A9B" w:rsidRDefault="00054ACC" w:rsidP="000E1E7C">
            <w:pPr>
              <w:jc w:val="center"/>
            </w:pPr>
          </w:p>
        </w:tc>
        <w:tc>
          <w:tcPr>
            <w:tcW w:w="1336" w:type="dxa"/>
          </w:tcPr>
          <w:p w14:paraId="3407B901" w14:textId="77777777" w:rsidR="00054ACC" w:rsidRPr="00F60A9B" w:rsidRDefault="00054ACC" w:rsidP="000E1E7C">
            <w:pPr>
              <w:jc w:val="center"/>
            </w:pPr>
          </w:p>
        </w:tc>
        <w:tc>
          <w:tcPr>
            <w:tcW w:w="1336" w:type="dxa"/>
          </w:tcPr>
          <w:p w14:paraId="27512C5D" w14:textId="1562E5A6" w:rsidR="00054ACC" w:rsidRPr="00F60A9B" w:rsidRDefault="00000000" w:rsidP="000E1E7C">
            <w:pPr>
              <w:jc w:val="cente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oMath>
            </m:oMathPara>
          </w:p>
        </w:tc>
        <w:tc>
          <w:tcPr>
            <w:tcW w:w="1336" w:type="dxa"/>
          </w:tcPr>
          <w:p w14:paraId="701FBB35" w14:textId="77777777" w:rsidR="00054ACC" w:rsidRPr="00F60A9B" w:rsidRDefault="00054ACC" w:rsidP="000E1E7C">
            <w:pPr>
              <w:jc w:val="center"/>
            </w:pPr>
          </w:p>
        </w:tc>
        <w:tc>
          <w:tcPr>
            <w:tcW w:w="1336" w:type="dxa"/>
          </w:tcPr>
          <w:p w14:paraId="0C5DCEC7" w14:textId="77777777" w:rsidR="00054ACC" w:rsidRPr="00F60A9B" w:rsidRDefault="00054ACC" w:rsidP="000E1E7C">
            <w:pPr>
              <w:keepNext/>
              <w:jc w:val="center"/>
            </w:pPr>
          </w:p>
        </w:tc>
      </w:tr>
    </w:tbl>
    <w:p w14:paraId="71A46B69" w14:textId="0BD66586" w:rsidR="00054ACC" w:rsidRPr="00F60A9B" w:rsidRDefault="00054ACC" w:rsidP="00054ACC">
      <w:pPr>
        <w:pStyle w:val="Caption"/>
        <w:spacing w:before="60"/>
        <w:jc w:val="center"/>
        <w:rPr>
          <w:color w:val="auto"/>
        </w:rPr>
      </w:pPr>
      <w:bookmarkStart w:id="36" w:name="_Ref139180623"/>
      <w:bookmarkStart w:id="37" w:name="_Ref145003844"/>
      <w:r w:rsidRPr="00F60A9B">
        <w:rPr>
          <w:color w:val="auto"/>
        </w:rPr>
        <w:t xml:space="preserve">Table </w:t>
      </w:r>
      <w:r w:rsidRPr="00F60A9B">
        <w:rPr>
          <w:color w:val="auto"/>
        </w:rPr>
        <w:fldChar w:fldCharType="begin"/>
      </w:r>
      <w:r w:rsidRPr="00F60A9B">
        <w:rPr>
          <w:color w:val="auto"/>
        </w:rPr>
        <w:instrText xml:space="preserve"> SEQ Table \* ARABIC </w:instrText>
      </w:r>
      <w:r w:rsidRPr="00F60A9B">
        <w:rPr>
          <w:color w:val="auto"/>
        </w:rPr>
        <w:fldChar w:fldCharType="separate"/>
      </w:r>
      <w:r w:rsidR="001E41EA">
        <w:rPr>
          <w:noProof/>
          <w:color w:val="auto"/>
        </w:rPr>
        <w:t>5</w:t>
      </w:r>
      <w:r w:rsidRPr="00F60A9B">
        <w:rPr>
          <w:noProof/>
          <w:color w:val="auto"/>
        </w:rPr>
        <w:fldChar w:fldCharType="end"/>
      </w:r>
      <w:bookmarkEnd w:id="36"/>
      <w:r w:rsidRPr="00F60A9B">
        <w:rPr>
          <w:color w:val="auto"/>
        </w:rPr>
        <w:t xml:space="preserve"> - Example of</w:t>
      </w:r>
      <w:bookmarkStart w:id="38" w:name="_Hlk146116693"/>
      <w:r w:rsidRPr="00F60A9B">
        <w:rPr>
          <w:color w:val="auto"/>
        </w:rPr>
        <w:t xml:space="preserve"> a semi-quantitative 5 x 5 risk matrix</w:t>
      </w:r>
      <w:bookmarkEnd w:id="37"/>
      <w:bookmarkEnd w:id="38"/>
    </w:p>
    <w:p w14:paraId="4BB97FEC" w14:textId="44631DD6" w:rsidR="00054ACC" w:rsidRPr="00F60A9B" w:rsidRDefault="00054ACC" w:rsidP="00054ACC">
      <w:r>
        <w:t>Since the previous table is based on the five probability categories in table 5 from TR 24971, and since</w:t>
      </w:r>
      <w:r w:rsidR="00C943A6">
        <w:t xml:space="preserve">, for </w:t>
      </w:r>
      <w:r w:rsidR="00EC42E0">
        <w:t>Benefit-Risk</w:t>
      </w:r>
      <w:r w:rsidR="00C943A6">
        <w:t xml:space="preserve"> Analysis,</w:t>
      </w:r>
      <w:r>
        <w:t xml:space="preserve"> we will use the seven probability categories in </w:t>
      </w:r>
      <w:r>
        <w:fldChar w:fldCharType="begin"/>
      </w:r>
      <w:r>
        <w:instrText xml:space="preserve"> REF _Ref146694551 \h </w:instrText>
      </w:r>
      <w:r>
        <w:fldChar w:fldCharType="separate"/>
      </w:r>
      <w:r w:rsidR="001E41EA">
        <w:t xml:space="preserve">Table </w:t>
      </w:r>
      <w:r w:rsidR="001E41EA">
        <w:rPr>
          <w:noProof/>
        </w:rPr>
        <w:t>4</w:t>
      </w:r>
      <w:r>
        <w:fldChar w:fldCharType="end"/>
      </w:r>
      <w:r>
        <w:t xml:space="preserve"> from this paper to measure the probability component of patient risk, we will extend table 5 from TR 24971 by adding two more probability categories.  </w:t>
      </w:r>
      <w:r w:rsidR="00C943A6">
        <w:t>T</w:t>
      </w:r>
      <w:r w:rsidR="003E5718">
        <w:t xml:space="preserve">he result is </w:t>
      </w:r>
      <w:r>
        <w:t>the following table</w:t>
      </w:r>
      <w:r w:rsidR="003E5718">
        <w:t>, which we shall use</w:t>
      </w:r>
      <w:r>
        <w:t xml:space="preserve"> </w:t>
      </w:r>
      <w:r w:rsidR="00985407">
        <w:t xml:space="preserve">extensively in </w:t>
      </w:r>
      <w:r>
        <w:t xml:space="preserve">this paper: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54ACC" w:rsidRPr="00F60A9B" w14:paraId="19555883" w14:textId="77777777" w:rsidTr="000E1E7C">
        <w:trPr>
          <w:tblHeader/>
        </w:trPr>
        <w:tc>
          <w:tcPr>
            <w:tcW w:w="1335" w:type="dxa"/>
            <w:tcBorders>
              <w:top w:val="nil"/>
              <w:left w:val="nil"/>
              <w:bottom w:val="nil"/>
              <w:right w:val="nil"/>
            </w:tcBorders>
          </w:tcPr>
          <w:p w14:paraId="266D666A" w14:textId="77777777" w:rsidR="00054ACC" w:rsidRPr="00F60A9B" w:rsidRDefault="00054ACC" w:rsidP="000E1E7C"/>
        </w:tc>
        <w:tc>
          <w:tcPr>
            <w:tcW w:w="1335" w:type="dxa"/>
            <w:tcBorders>
              <w:top w:val="nil"/>
              <w:left w:val="nil"/>
              <w:bottom w:val="nil"/>
              <w:right w:val="nil"/>
            </w:tcBorders>
          </w:tcPr>
          <w:p w14:paraId="4DFEB6A4" w14:textId="77777777" w:rsidR="00054ACC" w:rsidRPr="00F60A9B" w:rsidRDefault="00054ACC" w:rsidP="000E1E7C"/>
        </w:tc>
        <w:tc>
          <w:tcPr>
            <w:tcW w:w="6680" w:type="dxa"/>
            <w:gridSpan w:val="5"/>
            <w:tcBorders>
              <w:top w:val="nil"/>
              <w:left w:val="nil"/>
              <w:bottom w:val="nil"/>
              <w:right w:val="nil"/>
            </w:tcBorders>
          </w:tcPr>
          <w:p w14:paraId="3FB18C04" w14:textId="77777777" w:rsidR="00054ACC" w:rsidRPr="00F60A9B" w:rsidRDefault="00054ACC" w:rsidP="000E1E7C">
            <w:pPr>
              <w:jc w:val="center"/>
            </w:pPr>
            <w:r w:rsidRPr="00F60A9B">
              <w:t xml:space="preserve">Qualitative </w:t>
            </w:r>
            <w:r w:rsidRPr="00F60A9B">
              <w:rPr>
                <w:b/>
                <w:bCs/>
              </w:rPr>
              <w:t>severity</w:t>
            </w:r>
            <w:r w:rsidRPr="00F60A9B">
              <w:t xml:space="preserve"> levels</w:t>
            </w:r>
          </w:p>
        </w:tc>
      </w:tr>
      <w:tr w:rsidR="00054ACC" w:rsidRPr="00F60A9B" w14:paraId="38E6F422" w14:textId="77777777" w:rsidTr="000E1E7C">
        <w:trPr>
          <w:tblHeader/>
        </w:trPr>
        <w:tc>
          <w:tcPr>
            <w:tcW w:w="1335" w:type="dxa"/>
            <w:tcBorders>
              <w:top w:val="nil"/>
              <w:left w:val="nil"/>
              <w:bottom w:val="nil"/>
              <w:right w:val="nil"/>
            </w:tcBorders>
          </w:tcPr>
          <w:p w14:paraId="7A315202" w14:textId="77777777" w:rsidR="00054ACC" w:rsidRPr="00F60A9B" w:rsidRDefault="00054ACC" w:rsidP="000E1E7C"/>
        </w:tc>
        <w:tc>
          <w:tcPr>
            <w:tcW w:w="1335" w:type="dxa"/>
            <w:tcBorders>
              <w:top w:val="nil"/>
              <w:left w:val="nil"/>
              <w:bottom w:val="single" w:sz="4" w:space="0" w:color="auto"/>
            </w:tcBorders>
            <w:vAlign w:val="center"/>
          </w:tcPr>
          <w:p w14:paraId="51240E50" w14:textId="77777777" w:rsidR="00054ACC" w:rsidRPr="00F60A9B" w:rsidRDefault="00054ACC" w:rsidP="000E1E7C">
            <m:oMathPara>
              <m:oMath>
                <m:r>
                  <w:rPr>
                    <w:rFonts w:ascii="Cambria Math" w:eastAsiaTheme="minorEastAsia" w:hAnsi="Cambria Math"/>
                  </w:rPr>
                  <m:t>R</m:t>
                </m:r>
              </m:oMath>
            </m:oMathPara>
          </w:p>
        </w:tc>
        <w:tc>
          <w:tcPr>
            <w:tcW w:w="1336" w:type="dxa"/>
            <w:tcBorders>
              <w:top w:val="single" w:sz="4" w:space="0" w:color="auto"/>
              <w:bottom w:val="single" w:sz="12" w:space="0" w:color="auto"/>
            </w:tcBorders>
            <w:vAlign w:val="center"/>
          </w:tcPr>
          <w:p w14:paraId="6F45E901" w14:textId="77777777" w:rsidR="00054ACC" w:rsidRPr="00F60A9B" w:rsidRDefault="00054ACC" w:rsidP="000E1E7C">
            <w:pPr>
              <w:jc w:val="center"/>
            </w:pPr>
            <w:r w:rsidRPr="00F60A9B">
              <w:t>Negligible</w:t>
            </w:r>
          </w:p>
        </w:tc>
        <w:tc>
          <w:tcPr>
            <w:tcW w:w="1336" w:type="dxa"/>
            <w:tcBorders>
              <w:top w:val="single" w:sz="4" w:space="0" w:color="auto"/>
              <w:bottom w:val="single" w:sz="12" w:space="0" w:color="auto"/>
            </w:tcBorders>
            <w:vAlign w:val="center"/>
          </w:tcPr>
          <w:p w14:paraId="6808B250" w14:textId="77777777" w:rsidR="00054ACC" w:rsidRPr="00F60A9B" w:rsidRDefault="00054ACC" w:rsidP="000E1E7C">
            <w:pPr>
              <w:jc w:val="center"/>
            </w:pPr>
            <w:r w:rsidRPr="00F60A9B">
              <w:t>Minor</w:t>
            </w:r>
          </w:p>
        </w:tc>
        <w:tc>
          <w:tcPr>
            <w:tcW w:w="1336" w:type="dxa"/>
            <w:tcBorders>
              <w:top w:val="single" w:sz="4" w:space="0" w:color="auto"/>
              <w:bottom w:val="single" w:sz="12" w:space="0" w:color="auto"/>
            </w:tcBorders>
            <w:vAlign w:val="center"/>
          </w:tcPr>
          <w:p w14:paraId="30AD9715" w14:textId="77777777" w:rsidR="00054ACC" w:rsidRPr="00F60A9B" w:rsidRDefault="00054ACC" w:rsidP="000E1E7C">
            <w:pPr>
              <w:jc w:val="center"/>
            </w:pPr>
            <w:r w:rsidRPr="00F60A9B">
              <w:t>Serious / Major</w:t>
            </w:r>
          </w:p>
        </w:tc>
        <w:tc>
          <w:tcPr>
            <w:tcW w:w="1336" w:type="dxa"/>
            <w:tcBorders>
              <w:top w:val="single" w:sz="4" w:space="0" w:color="auto"/>
              <w:bottom w:val="single" w:sz="12" w:space="0" w:color="auto"/>
            </w:tcBorders>
            <w:vAlign w:val="center"/>
          </w:tcPr>
          <w:p w14:paraId="0E89C950" w14:textId="77777777" w:rsidR="00054ACC" w:rsidRPr="00F60A9B" w:rsidRDefault="00054ACC" w:rsidP="000E1E7C">
            <w:pPr>
              <w:jc w:val="center"/>
            </w:pPr>
            <w:r w:rsidRPr="00F60A9B">
              <w:t>Critical</w:t>
            </w:r>
          </w:p>
        </w:tc>
        <w:tc>
          <w:tcPr>
            <w:tcW w:w="1336" w:type="dxa"/>
            <w:tcBorders>
              <w:top w:val="single" w:sz="4" w:space="0" w:color="auto"/>
              <w:bottom w:val="single" w:sz="12" w:space="0" w:color="auto"/>
            </w:tcBorders>
            <w:vAlign w:val="center"/>
          </w:tcPr>
          <w:p w14:paraId="56FCBCE1" w14:textId="77777777" w:rsidR="00054ACC" w:rsidRPr="00F60A9B" w:rsidRDefault="00054ACC" w:rsidP="000E1E7C">
            <w:pPr>
              <w:jc w:val="center"/>
            </w:pPr>
            <w:r w:rsidRPr="00F60A9B">
              <w:t>Catastrophic / Fatal</w:t>
            </w:r>
          </w:p>
        </w:tc>
      </w:tr>
      <w:tr w:rsidR="00054ACC" w:rsidRPr="00F60A9B" w14:paraId="4AE76664" w14:textId="77777777" w:rsidTr="000E1E7C">
        <w:tc>
          <w:tcPr>
            <w:tcW w:w="1335" w:type="dxa"/>
            <w:vMerge w:val="restart"/>
            <w:tcBorders>
              <w:top w:val="nil"/>
              <w:left w:val="nil"/>
              <w:bottom w:val="nil"/>
            </w:tcBorders>
            <w:vAlign w:val="center"/>
          </w:tcPr>
          <w:p w14:paraId="0F308184" w14:textId="77777777" w:rsidR="00054ACC" w:rsidRPr="00F60A9B" w:rsidRDefault="00054ACC" w:rsidP="000E1E7C">
            <w:pPr>
              <w:jc w:val="center"/>
            </w:pPr>
            <w:r w:rsidRPr="00F60A9B">
              <w:t>Semi-quantitative</w:t>
            </w:r>
          </w:p>
          <w:p w14:paraId="52E54B2A" w14:textId="77777777" w:rsidR="00054ACC" w:rsidRPr="00F60A9B" w:rsidRDefault="00054ACC" w:rsidP="000E1E7C">
            <w:pPr>
              <w:jc w:val="center"/>
              <w:rPr>
                <w:b/>
                <w:bCs/>
              </w:rPr>
            </w:pPr>
            <w:r w:rsidRPr="00F60A9B">
              <w:rPr>
                <w:b/>
                <w:bCs/>
              </w:rPr>
              <w:t>probability</w:t>
            </w:r>
          </w:p>
          <w:p w14:paraId="41817C86" w14:textId="77777777" w:rsidR="00054ACC" w:rsidRPr="00F60A9B" w:rsidRDefault="00054ACC" w:rsidP="000E1E7C">
            <w:pPr>
              <w:jc w:val="center"/>
            </w:pPr>
            <w:r w:rsidRPr="00F60A9B">
              <w:t>levels</w:t>
            </w:r>
          </w:p>
        </w:tc>
        <w:tc>
          <w:tcPr>
            <w:tcW w:w="1335" w:type="dxa"/>
            <w:tcBorders>
              <w:top w:val="single" w:sz="4" w:space="0" w:color="auto"/>
              <w:right w:val="single" w:sz="12" w:space="0" w:color="auto"/>
            </w:tcBorders>
          </w:tcPr>
          <w:p w14:paraId="1F92FA99" w14:textId="77777777" w:rsidR="00054ACC" w:rsidRPr="00F60A9B" w:rsidRDefault="00054ACC" w:rsidP="000E1E7C">
            <w:r>
              <w:t>Expected</w:t>
            </w:r>
          </w:p>
        </w:tc>
        <w:tc>
          <w:tcPr>
            <w:tcW w:w="1336" w:type="dxa"/>
            <w:tcBorders>
              <w:top w:val="single" w:sz="12" w:space="0" w:color="auto"/>
              <w:left w:val="single" w:sz="12" w:space="0" w:color="auto"/>
            </w:tcBorders>
          </w:tcPr>
          <w:p w14:paraId="64A471DB" w14:textId="77777777" w:rsidR="00054ACC" w:rsidRPr="00F60A9B" w:rsidRDefault="00054ACC" w:rsidP="000E1E7C">
            <w:pPr>
              <w:jc w:val="center"/>
            </w:pPr>
          </w:p>
        </w:tc>
        <w:tc>
          <w:tcPr>
            <w:tcW w:w="1336" w:type="dxa"/>
            <w:tcBorders>
              <w:top w:val="single" w:sz="12" w:space="0" w:color="auto"/>
            </w:tcBorders>
          </w:tcPr>
          <w:p w14:paraId="13B0DA31" w14:textId="77777777" w:rsidR="00054ACC" w:rsidRPr="00F60A9B" w:rsidRDefault="00054ACC" w:rsidP="000E1E7C">
            <w:pPr>
              <w:jc w:val="center"/>
            </w:pPr>
          </w:p>
        </w:tc>
        <w:tc>
          <w:tcPr>
            <w:tcW w:w="1336" w:type="dxa"/>
            <w:tcBorders>
              <w:top w:val="single" w:sz="12" w:space="0" w:color="auto"/>
            </w:tcBorders>
          </w:tcPr>
          <w:p w14:paraId="02AF5868" w14:textId="77777777" w:rsidR="00054ACC" w:rsidRPr="00F60A9B" w:rsidRDefault="00054ACC" w:rsidP="000E1E7C">
            <w:pPr>
              <w:jc w:val="center"/>
            </w:pPr>
          </w:p>
        </w:tc>
        <w:tc>
          <w:tcPr>
            <w:tcW w:w="1336" w:type="dxa"/>
            <w:tcBorders>
              <w:top w:val="single" w:sz="12" w:space="0" w:color="auto"/>
            </w:tcBorders>
          </w:tcPr>
          <w:p w14:paraId="1BDF2FA7" w14:textId="77777777" w:rsidR="00054ACC" w:rsidRPr="00F60A9B" w:rsidRDefault="00054ACC" w:rsidP="000E1E7C">
            <w:pPr>
              <w:jc w:val="center"/>
            </w:pPr>
          </w:p>
        </w:tc>
        <w:tc>
          <w:tcPr>
            <w:tcW w:w="1336" w:type="dxa"/>
            <w:tcBorders>
              <w:top w:val="single" w:sz="12" w:space="0" w:color="auto"/>
            </w:tcBorders>
          </w:tcPr>
          <w:p w14:paraId="5C33D10A" w14:textId="77777777" w:rsidR="00054ACC" w:rsidRPr="00F60A9B" w:rsidRDefault="00054ACC" w:rsidP="000E1E7C">
            <w:pPr>
              <w:jc w:val="center"/>
            </w:pPr>
          </w:p>
        </w:tc>
      </w:tr>
      <w:tr w:rsidR="00054ACC" w:rsidRPr="00F60A9B" w14:paraId="5E9B9465" w14:textId="77777777" w:rsidTr="000E1E7C">
        <w:tc>
          <w:tcPr>
            <w:tcW w:w="1335" w:type="dxa"/>
            <w:vMerge/>
            <w:tcBorders>
              <w:left w:val="nil"/>
              <w:bottom w:val="nil"/>
            </w:tcBorders>
          </w:tcPr>
          <w:p w14:paraId="2A4FEA8A" w14:textId="77777777" w:rsidR="00054ACC" w:rsidRPr="00F60A9B" w:rsidRDefault="00054ACC" w:rsidP="000E1E7C"/>
        </w:tc>
        <w:tc>
          <w:tcPr>
            <w:tcW w:w="1335" w:type="dxa"/>
            <w:tcBorders>
              <w:right w:val="single" w:sz="12" w:space="0" w:color="auto"/>
            </w:tcBorders>
          </w:tcPr>
          <w:p w14:paraId="56E56C4D" w14:textId="77777777" w:rsidR="00054ACC" w:rsidRPr="00F60A9B" w:rsidRDefault="00054ACC" w:rsidP="000E1E7C">
            <w:r>
              <w:t>Often</w:t>
            </w:r>
          </w:p>
        </w:tc>
        <w:tc>
          <w:tcPr>
            <w:tcW w:w="1336" w:type="dxa"/>
            <w:tcBorders>
              <w:left w:val="single" w:sz="12" w:space="0" w:color="auto"/>
            </w:tcBorders>
          </w:tcPr>
          <w:p w14:paraId="3A789A58" w14:textId="77777777" w:rsidR="00054ACC" w:rsidRPr="00F60A9B" w:rsidRDefault="00054ACC" w:rsidP="000E1E7C">
            <w:pPr>
              <w:jc w:val="center"/>
            </w:pPr>
          </w:p>
        </w:tc>
        <w:tc>
          <w:tcPr>
            <w:tcW w:w="1336" w:type="dxa"/>
          </w:tcPr>
          <w:p w14:paraId="3FC5E9AD" w14:textId="77777777" w:rsidR="00054ACC" w:rsidRPr="00F60A9B" w:rsidRDefault="00054ACC" w:rsidP="000E1E7C">
            <w:pPr>
              <w:jc w:val="center"/>
            </w:pPr>
          </w:p>
        </w:tc>
        <w:tc>
          <w:tcPr>
            <w:tcW w:w="1336" w:type="dxa"/>
          </w:tcPr>
          <w:p w14:paraId="26A2652B" w14:textId="77777777" w:rsidR="00054ACC" w:rsidRPr="00F60A9B" w:rsidRDefault="00054ACC" w:rsidP="000E1E7C">
            <w:pPr>
              <w:jc w:val="center"/>
            </w:pPr>
          </w:p>
        </w:tc>
        <w:tc>
          <w:tcPr>
            <w:tcW w:w="1336" w:type="dxa"/>
          </w:tcPr>
          <w:p w14:paraId="3F0FFBDC" w14:textId="77777777" w:rsidR="00054ACC" w:rsidRPr="00F60A9B" w:rsidRDefault="00054ACC" w:rsidP="000E1E7C">
            <w:pPr>
              <w:jc w:val="center"/>
            </w:pPr>
          </w:p>
        </w:tc>
        <w:tc>
          <w:tcPr>
            <w:tcW w:w="1336" w:type="dxa"/>
          </w:tcPr>
          <w:p w14:paraId="633E0D92" w14:textId="77777777" w:rsidR="00054ACC" w:rsidRPr="00F60A9B" w:rsidRDefault="00054ACC" w:rsidP="000E1E7C">
            <w:pPr>
              <w:jc w:val="center"/>
            </w:pPr>
          </w:p>
        </w:tc>
      </w:tr>
      <w:tr w:rsidR="00054ACC" w:rsidRPr="00F60A9B" w14:paraId="6D4B112F" w14:textId="77777777" w:rsidTr="000E1E7C">
        <w:tc>
          <w:tcPr>
            <w:tcW w:w="1335" w:type="dxa"/>
            <w:vMerge/>
            <w:tcBorders>
              <w:left w:val="nil"/>
              <w:bottom w:val="nil"/>
            </w:tcBorders>
          </w:tcPr>
          <w:p w14:paraId="1198D849" w14:textId="77777777" w:rsidR="00054ACC" w:rsidRPr="00F60A9B" w:rsidRDefault="00054ACC" w:rsidP="000E1E7C"/>
        </w:tc>
        <w:tc>
          <w:tcPr>
            <w:tcW w:w="1335" w:type="dxa"/>
            <w:tcBorders>
              <w:right w:val="single" w:sz="12" w:space="0" w:color="auto"/>
            </w:tcBorders>
          </w:tcPr>
          <w:p w14:paraId="2FAE2A15" w14:textId="77777777" w:rsidR="00054ACC" w:rsidRPr="00F60A9B" w:rsidRDefault="00054ACC" w:rsidP="000E1E7C">
            <w:r w:rsidRPr="00F60A9B">
              <w:t>Frequent</w:t>
            </w:r>
          </w:p>
        </w:tc>
        <w:tc>
          <w:tcPr>
            <w:tcW w:w="1336" w:type="dxa"/>
            <w:tcBorders>
              <w:left w:val="single" w:sz="12" w:space="0" w:color="auto"/>
            </w:tcBorders>
          </w:tcPr>
          <w:p w14:paraId="47913EFF" w14:textId="77777777" w:rsidR="00054ACC" w:rsidRPr="00F60A9B" w:rsidRDefault="00054ACC" w:rsidP="000E1E7C">
            <w:pPr>
              <w:jc w:val="center"/>
            </w:pPr>
          </w:p>
        </w:tc>
        <w:tc>
          <w:tcPr>
            <w:tcW w:w="1336" w:type="dxa"/>
          </w:tcPr>
          <w:p w14:paraId="2A2A8E89" w14:textId="77777777" w:rsidR="00054ACC" w:rsidRPr="00F60A9B" w:rsidRDefault="00054ACC" w:rsidP="000E1E7C">
            <w:pPr>
              <w:jc w:val="center"/>
            </w:pPr>
          </w:p>
        </w:tc>
        <w:tc>
          <w:tcPr>
            <w:tcW w:w="1336" w:type="dxa"/>
          </w:tcPr>
          <w:p w14:paraId="3DAAE5B3" w14:textId="77777777" w:rsidR="00054ACC" w:rsidRPr="00F60A9B" w:rsidRDefault="00054ACC" w:rsidP="000E1E7C">
            <w:pPr>
              <w:jc w:val="center"/>
            </w:pPr>
          </w:p>
        </w:tc>
        <w:tc>
          <w:tcPr>
            <w:tcW w:w="1336" w:type="dxa"/>
          </w:tcPr>
          <w:p w14:paraId="603AEC40" w14:textId="77777777" w:rsidR="00054ACC" w:rsidRPr="00F60A9B" w:rsidRDefault="00054ACC" w:rsidP="000E1E7C">
            <w:pPr>
              <w:jc w:val="center"/>
            </w:pPr>
          </w:p>
        </w:tc>
        <w:tc>
          <w:tcPr>
            <w:tcW w:w="1336" w:type="dxa"/>
          </w:tcPr>
          <w:p w14:paraId="4F86467D" w14:textId="77777777" w:rsidR="00054ACC" w:rsidRPr="00F60A9B" w:rsidRDefault="00054ACC" w:rsidP="000E1E7C">
            <w:pPr>
              <w:jc w:val="center"/>
            </w:pPr>
          </w:p>
        </w:tc>
      </w:tr>
      <w:tr w:rsidR="00054ACC" w:rsidRPr="00F60A9B" w14:paraId="521B090D" w14:textId="77777777" w:rsidTr="000E1E7C">
        <w:tc>
          <w:tcPr>
            <w:tcW w:w="1335" w:type="dxa"/>
            <w:vMerge/>
            <w:tcBorders>
              <w:left w:val="nil"/>
              <w:bottom w:val="nil"/>
            </w:tcBorders>
          </w:tcPr>
          <w:p w14:paraId="73DF27DD" w14:textId="77777777" w:rsidR="00054ACC" w:rsidRPr="00F60A9B" w:rsidRDefault="00054ACC" w:rsidP="000E1E7C"/>
        </w:tc>
        <w:tc>
          <w:tcPr>
            <w:tcW w:w="1335" w:type="dxa"/>
            <w:tcBorders>
              <w:right w:val="single" w:sz="12" w:space="0" w:color="auto"/>
            </w:tcBorders>
          </w:tcPr>
          <w:p w14:paraId="530949C9" w14:textId="77777777" w:rsidR="00054ACC" w:rsidRPr="00F60A9B" w:rsidRDefault="00054ACC" w:rsidP="000E1E7C">
            <w:r w:rsidRPr="00F60A9B">
              <w:t>Probable</w:t>
            </w:r>
          </w:p>
        </w:tc>
        <w:tc>
          <w:tcPr>
            <w:tcW w:w="1336" w:type="dxa"/>
            <w:tcBorders>
              <w:left w:val="single" w:sz="12" w:space="0" w:color="auto"/>
            </w:tcBorders>
          </w:tcPr>
          <w:p w14:paraId="266091A4" w14:textId="77777777" w:rsidR="00054ACC" w:rsidRPr="00F60A9B" w:rsidRDefault="00054ACC" w:rsidP="000E1E7C">
            <w:pPr>
              <w:jc w:val="center"/>
            </w:pPr>
          </w:p>
        </w:tc>
        <w:tc>
          <w:tcPr>
            <w:tcW w:w="1336" w:type="dxa"/>
          </w:tcPr>
          <w:p w14:paraId="61C01073" w14:textId="77777777" w:rsidR="00054ACC" w:rsidRPr="00F60A9B" w:rsidRDefault="00054ACC" w:rsidP="000E1E7C">
            <w:pPr>
              <w:jc w:val="center"/>
            </w:pPr>
          </w:p>
        </w:tc>
        <w:tc>
          <w:tcPr>
            <w:tcW w:w="1336" w:type="dxa"/>
          </w:tcPr>
          <w:p w14:paraId="2043FDBF" w14:textId="77777777" w:rsidR="00054ACC" w:rsidRPr="00F60A9B" w:rsidRDefault="00054ACC" w:rsidP="000E1E7C">
            <w:pPr>
              <w:jc w:val="center"/>
            </w:pPr>
          </w:p>
        </w:tc>
        <w:tc>
          <w:tcPr>
            <w:tcW w:w="1336" w:type="dxa"/>
          </w:tcPr>
          <w:p w14:paraId="6B6A466D" w14:textId="77777777" w:rsidR="00054ACC" w:rsidRPr="00F60A9B" w:rsidRDefault="00054ACC" w:rsidP="000E1E7C">
            <w:pPr>
              <w:jc w:val="center"/>
            </w:pPr>
          </w:p>
        </w:tc>
        <w:tc>
          <w:tcPr>
            <w:tcW w:w="1336" w:type="dxa"/>
          </w:tcPr>
          <w:p w14:paraId="671CACB8" w14:textId="77777777" w:rsidR="00054ACC" w:rsidRPr="00F60A9B" w:rsidRDefault="00054ACC" w:rsidP="000E1E7C">
            <w:pPr>
              <w:jc w:val="center"/>
            </w:pPr>
          </w:p>
        </w:tc>
      </w:tr>
      <w:tr w:rsidR="00054ACC" w:rsidRPr="00F60A9B" w14:paraId="42039A44" w14:textId="77777777" w:rsidTr="000E1E7C">
        <w:tc>
          <w:tcPr>
            <w:tcW w:w="1335" w:type="dxa"/>
            <w:vMerge/>
            <w:tcBorders>
              <w:left w:val="nil"/>
              <w:bottom w:val="nil"/>
            </w:tcBorders>
          </w:tcPr>
          <w:p w14:paraId="72371B60" w14:textId="77777777" w:rsidR="00054ACC" w:rsidRPr="00F60A9B" w:rsidRDefault="00054ACC" w:rsidP="000E1E7C"/>
        </w:tc>
        <w:tc>
          <w:tcPr>
            <w:tcW w:w="1335" w:type="dxa"/>
            <w:tcBorders>
              <w:right w:val="single" w:sz="12" w:space="0" w:color="auto"/>
            </w:tcBorders>
          </w:tcPr>
          <w:p w14:paraId="4722220B" w14:textId="77777777" w:rsidR="00054ACC" w:rsidRPr="00F60A9B" w:rsidRDefault="00054ACC" w:rsidP="000E1E7C">
            <w:r w:rsidRPr="00F60A9B">
              <w:t>Occasional</w:t>
            </w:r>
          </w:p>
        </w:tc>
        <w:tc>
          <w:tcPr>
            <w:tcW w:w="1336" w:type="dxa"/>
            <w:tcBorders>
              <w:left w:val="single" w:sz="12" w:space="0" w:color="auto"/>
            </w:tcBorders>
          </w:tcPr>
          <w:p w14:paraId="0380D6B1" w14:textId="77777777" w:rsidR="00054ACC" w:rsidRPr="00F60A9B" w:rsidRDefault="00054ACC" w:rsidP="000E1E7C">
            <w:pPr>
              <w:jc w:val="center"/>
            </w:pPr>
          </w:p>
        </w:tc>
        <w:tc>
          <w:tcPr>
            <w:tcW w:w="1336" w:type="dxa"/>
          </w:tcPr>
          <w:p w14:paraId="00B8FDDA" w14:textId="77777777" w:rsidR="00054ACC" w:rsidRPr="00F60A9B" w:rsidRDefault="00054ACC" w:rsidP="000E1E7C">
            <w:pPr>
              <w:jc w:val="center"/>
            </w:pPr>
          </w:p>
        </w:tc>
        <w:tc>
          <w:tcPr>
            <w:tcW w:w="1336" w:type="dxa"/>
          </w:tcPr>
          <w:p w14:paraId="53EF347D" w14:textId="77777777" w:rsidR="00054ACC" w:rsidRPr="00F60A9B" w:rsidRDefault="00054ACC" w:rsidP="000E1E7C">
            <w:pPr>
              <w:jc w:val="center"/>
            </w:pPr>
          </w:p>
        </w:tc>
        <w:tc>
          <w:tcPr>
            <w:tcW w:w="1336" w:type="dxa"/>
          </w:tcPr>
          <w:p w14:paraId="1ABD8444" w14:textId="77777777" w:rsidR="00054ACC" w:rsidRPr="00F60A9B" w:rsidRDefault="00054ACC" w:rsidP="000E1E7C">
            <w:pPr>
              <w:jc w:val="center"/>
            </w:pPr>
          </w:p>
        </w:tc>
        <w:tc>
          <w:tcPr>
            <w:tcW w:w="1336" w:type="dxa"/>
          </w:tcPr>
          <w:p w14:paraId="7387F65F" w14:textId="77777777" w:rsidR="00054ACC" w:rsidRPr="00F60A9B" w:rsidRDefault="00054ACC" w:rsidP="000E1E7C">
            <w:pPr>
              <w:jc w:val="center"/>
            </w:pPr>
          </w:p>
        </w:tc>
      </w:tr>
      <w:tr w:rsidR="00054ACC" w:rsidRPr="00F60A9B" w14:paraId="285AC3A7" w14:textId="77777777" w:rsidTr="000E1E7C">
        <w:tc>
          <w:tcPr>
            <w:tcW w:w="1335" w:type="dxa"/>
            <w:vMerge/>
            <w:tcBorders>
              <w:left w:val="nil"/>
              <w:bottom w:val="nil"/>
            </w:tcBorders>
          </w:tcPr>
          <w:p w14:paraId="1F41F101" w14:textId="77777777" w:rsidR="00054ACC" w:rsidRPr="00F60A9B" w:rsidRDefault="00054ACC" w:rsidP="000E1E7C"/>
        </w:tc>
        <w:tc>
          <w:tcPr>
            <w:tcW w:w="1335" w:type="dxa"/>
            <w:tcBorders>
              <w:right w:val="single" w:sz="12" w:space="0" w:color="auto"/>
            </w:tcBorders>
          </w:tcPr>
          <w:p w14:paraId="3FC78616" w14:textId="77777777" w:rsidR="00054ACC" w:rsidRPr="00F60A9B" w:rsidRDefault="00054ACC" w:rsidP="000E1E7C">
            <w:r w:rsidRPr="00F60A9B">
              <w:t>Remote</w:t>
            </w:r>
          </w:p>
        </w:tc>
        <w:tc>
          <w:tcPr>
            <w:tcW w:w="1336" w:type="dxa"/>
            <w:tcBorders>
              <w:left w:val="single" w:sz="12" w:space="0" w:color="auto"/>
            </w:tcBorders>
          </w:tcPr>
          <w:p w14:paraId="646FC1D9" w14:textId="77777777" w:rsidR="00054ACC" w:rsidRPr="00F60A9B" w:rsidRDefault="00054ACC" w:rsidP="000E1E7C">
            <w:pPr>
              <w:jc w:val="center"/>
            </w:pPr>
          </w:p>
        </w:tc>
        <w:tc>
          <w:tcPr>
            <w:tcW w:w="1336" w:type="dxa"/>
          </w:tcPr>
          <w:p w14:paraId="2E6C8317" w14:textId="77777777" w:rsidR="00054ACC" w:rsidRPr="00F60A9B" w:rsidRDefault="00054ACC" w:rsidP="000E1E7C">
            <w:pPr>
              <w:jc w:val="center"/>
            </w:pPr>
          </w:p>
        </w:tc>
        <w:tc>
          <w:tcPr>
            <w:tcW w:w="1336" w:type="dxa"/>
          </w:tcPr>
          <w:p w14:paraId="13EDDA5B" w14:textId="77777777" w:rsidR="00054ACC" w:rsidRPr="00F60A9B" w:rsidRDefault="00054ACC" w:rsidP="000E1E7C">
            <w:pPr>
              <w:jc w:val="center"/>
            </w:pPr>
          </w:p>
        </w:tc>
        <w:tc>
          <w:tcPr>
            <w:tcW w:w="1336" w:type="dxa"/>
          </w:tcPr>
          <w:p w14:paraId="26DE9619" w14:textId="77777777" w:rsidR="00054ACC" w:rsidRPr="00F60A9B" w:rsidRDefault="00054ACC" w:rsidP="000E1E7C">
            <w:pPr>
              <w:jc w:val="center"/>
            </w:pPr>
          </w:p>
        </w:tc>
        <w:tc>
          <w:tcPr>
            <w:tcW w:w="1336" w:type="dxa"/>
          </w:tcPr>
          <w:p w14:paraId="44310A09" w14:textId="77777777" w:rsidR="00054ACC" w:rsidRPr="00F60A9B" w:rsidRDefault="00054ACC" w:rsidP="000E1E7C">
            <w:pPr>
              <w:jc w:val="center"/>
            </w:pPr>
          </w:p>
        </w:tc>
      </w:tr>
      <w:tr w:rsidR="00054ACC" w:rsidRPr="00F60A9B" w14:paraId="41294437" w14:textId="77777777" w:rsidTr="000E1E7C">
        <w:tc>
          <w:tcPr>
            <w:tcW w:w="1335" w:type="dxa"/>
            <w:vMerge/>
            <w:tcBorders>
              <w:left w:val="nil"/>
              <w:bottom w:val="nil"/>
            </w:tcBorders>
          </w:tcPr>
          <w:p w14:paraId="3D10A2FA" w14:textId="77777777" w:rsidR="00054ACC" w:rsidRPr="00F60A9B" w:rsidRDefault="00054ACC" w:rsidP="000E1E7C"/>
        </w:tc>
        <w:tc>
          <w:tcPr>
            <w:tcW w:w="1335" w:type="dxa"/>
            <w:tcBorders>
              <w:right w:val="single" w:sz="12" w:space="0" w:color="auto"/>
            </w:tcBorders>
          </w:tcPr>
          <w:p w14:paraId="42492B55" w14:textId="77777777" w:rsidR="00054ACC" w:rsidRPr="00F60A9B" w:rsidRDefault="00054ACC" w:rsidP="000E1E7C">
            <w:r w:rsidRPr="00F60A9B">
              <w:t>Improbable</w:t>
            </w:r>
          </w:p>
        </w:tc>
        <w:tc>
          <w:tcPr>
            <w:tcW w:w="1336" w:type="dxa"/>
            <w:tcBorders>
              <w:left w:val="single" w:sz="12" w:space="0" w:color="auto"/>
            </w:tcBorders>
          </w:tcPr>
          <w:p w14:paraId="0C1045E8" w14:textId="77777777" w:rsidR="00054ACC" w:rsidRPr="00F60A9B" w:rsidRDefault="00054ACC" w:rsidP="000E1E7C">
            <w:pPr>
              <w:jc w:val="center"/>
            </w:pPr>
          </w:p>
        </w:tc>
        <w:tc>
          <w:tcPr>
            <w:tcW w:w="1336" w:type="dxa"/>
          </w:tcPr>
          <w:p w14:paraId="67568994" w14:textId="77777777" w:rsidR="00054ACC" w:rsidRPr="00F60A9B" w:rsidRDefault="00054ACC" w:rsidP="000E1E7C">
            <w:pPr>
              <w:jc w:val="center"/>
            </w:pPr>
          </w:p>
        </w:tc>
        <w:tc>
          <w:tcPr>
            <w:tcW w:w="1336" w:type="dxa"/>
          </w:tcPr>
          <w:p w14:paraId="7DE8EAB9" w14:textId="77777777" w:rsidR="00054ACC" w:rsidRPr="00F60A9B" w:rsidRDefault="00054ACC" w:rsidP="000E1E7C">
            <w:pPr>
              <w:jc w:val="center"/>
            </w:pPr>
          </w:p>
        </w:tc>
        <w:tc>
          <w:tcPr>
            <w:tcW w:w="1336" w:type="dxa"/>
          </w:tcPr>
          <w:p w14:paraId="6B81B3FD" w14:textId="77777777" w:rsidR="00054ACC" w:rsidRPr="00F60A9B" w:rsidRDefault="00054ACC" w:rsidP="000E1E7C">
            <w:pPr>
              <w:jc w:val="center"/>
            </w:pPr>
          </w:p>
        </w:tc>
        <w:tc>
          <w:tcPr>
            <w:tcW w:w="1336" w:type="dxa"/>
          </w:tcPr>
          <w:p w14:paraId="69E2E99E" w14:textId="77777777" w:rsidR="00054ACC" w:rsidRPr="00F60A9B" w:rsidRDefault="00054ACC" w:rsidP="000E1E7C">
            <w:pPr>
              <w:keepNext/>
              <w:jc w:val="center"/>
            </w:pPr>
          </w:p>
        </w:tc>
      </w:tr>
    </w:tbl>
    <w:p w14:paraId="672AC872" w14:textId="0299006B" w:rsidR="00054ACC" w:rsidRPr="00F60A9B" w:rsidRDefault="00054ACC" w:rsidP="00054ACC">
      <w:pPr>
        <w:pStyle w:val="Caption"/>
        <w:spacing w:before="60"/>
        <w:jc w:val="center"/>
        <w:rPr>
          <w:color w:val="auto"/>
        </w:rPr>
      </w:pPr>
      <w:bookmarkStart w:id="39" w:name="_Ref146702767"/>
      <w:bookmarkStart w:id="40" w:name="_Ref146702791"/>
      <w:r w:rsidRPr="00F60A9B">
        <w:rPr>
          <w:color w:val="auto"/>
        </w:rPr>
        <w:t xml:space="preserve">Table </w:t>
      </w:r>
      <w:r w:rsidRPr="00F60A9B">
        <w:rPr>
          <w:color w:val="auto"/>
        </w:rPr>
        <w:fldChar w:fldCharType="begin"/>
      </w:r>
      <w:r w:rsidRPr="00F60A9B">
        <w:rPr>
          <w:color w:val="auto"/>
        </w:rPr>
        <w:instrText xml:space="preserve"> SEQ Table \* ARABIC </w:instrText>
      </w:r>
      <w:r w:rsidRPr="00F60A9B">
        <w:rPr>
          <w:color w:val="auto"/>
        </w:rPr>
        <w:fldChar w:fldCharType="separate"/>
      </w:r>
      <w:r w:rsidR="001E41EA">
        <w:rPr>
          <w:noProof/>
          <w:color w:val="auto"/>
        </w:rPr>
        <w:t>6</w:t>
      </w:r>
      <w:r w:rsidRPr="00F60A9B">
        <w:rPr>
          <w:noProof/>
          <w:color w:val="auto"/>
        </w:rPr>
        <w:fldChar w:fldCharType="end"/>
      </w:r>
      <w:bookmarkEnd w:id="39"/>
      <w:r w:rsidRPr="00F60A9B">
        <w:rPr>
          <w:color w:val="auto"/>
        </w:rPr>
        <w:t xml:space="preserve"> - Example of a semi-quantitative </w:t>
      </w:r>
      <w:r w:rsidRPr="00270C67">
        <w:rPr>
          <w:b/>
          <w:bCs/>
          <w:color w:val="auto"/>
          <w:u w:val="single"/>
        </w:rPr>
        <w:t>7 x 5</w:t>
      </w:r>
      <w:r w:rsidRPr="00F60A9B">
        <w:rPr>
          <w:color w:val="auto"/>
        </w:rPr>
        <w:t xml:space="preserve"> risk matrix</w:t>
      </w:r>
      <w:bookmarkEnd w:id="40"/>
    </w:p>
    <w:p w14:paraId="55B35ABB" w14:textId="2335757D" w:rsidR="00F77691" w:rsidRDefault="00F77691" w:rsidP="00F77691">
      <w:pPr>
        <w:rPr>
          <w:rFonts w:eastAsiaTheme="minorEastAsia"/>
        </w:rPr>
      </w:pPr>
      <w:r>
        <w:t xml:space="preserve">Per the definition of </w:t>
      </w:r>
      <m:oMath>
        <m:r>
          <w:rPr>
            <w:rFonts w:ascii="Cambria Math" w:hAnsi="Cambria Math"/>
          </w:rPr>
          <m:t>R</m:t>
        </m:r>
      </m:oMath>
      <w:r>
        <w:rPr>
          <w:rFonts w:eastAsiaTheme="minorEastAsia"/>
        </w:rPr>
        <w:t xml:space="preserve"> (right before </w:t>
      </w:r>
      <w:r>
        <w:rPr>
          <w:rFonts w:eastAsiaTheme="minorEastAsia"/>
        </w:rPr>
        <w:fldChar w:fldCharType="begin"/>
      </w:r>
      <w:r>
        <w:rPr>
          <w:rFonts w:eastAsiaTheme="minorEastAsia"/>
        </w:rPr>
        <w:instrText xml:space="preserve"> REF _Ref132953418 \h </w:instrText>
      </w:r>
      <w:r>
        <w:rPr>
          <w:rFonts w:eastAsiaTheme="minorEastAsia"/>
        </w:rPr>
      </w:r>
      <w:r>
        <w:rPr>
          <w:rFonts w:eastAsiaTheme="minorEastAsia"/>
        </w:rPr>
        <w:fldChar w:fldCharType="separate"/>
      </w:r>
      <w:r w:rsidR="001E41EA" w:rsidRPr="00F60A9B">
        <w:t xml:space="preserve">Equation </w:t>
      </w:r>
      <w:r w:rsidR="001E41EA">
        <w:rPr>
          <w:noProof/>
        </w:rPr>
        <w:t>1</w:t>
      </w:r>
      <w:r>
        <w:rPr>
          <w:rFonts w:eastAsiaTheme="minorEastAsia"/>
        </w:rPr>
        <w:fldChar w:fldCharType="end"/>
      </w:r>
      <w:r>
        <w:rPr>
          <w:rFonts w:eastAsiaTheme="minorEastAsia"/>
        </w:rPr>
        <w:t xml:space="preserve">) and the right-most two columns of </w:t>
      </w:r>
      <w:r>
        <w:rPr>
          <w:rFonts w:eastAsiaTheme="minorEastAsia"/>
        </w:rPr>
        <w:fldChar w:fldCharType="begin"/>
      </w:r>
      <w:r>
        <w:rPr>
          <w:rFonts w:eastAsiaTheme="minorEastAsia"/>
        </w:rPr>
        <w:instrText xml:space="preserve"> REF _Ref146107064 \h </w:instrText>
      </w:r>
      <w:r>
        <w:rPr>
          <w:rFonts w:eastAsiaTheme="minorEastAsia"/>
        </w:rPr>
      </w:r>
      <w:r>
        <w:rPr>
          <w:rFonts w:eastAsiaTheme="minorEastAsia"/>
        </w:rPr>
        <w:fldChar w:fldCharType="separate"/>
      </w:r>
      <w:r w:rsidR="001E41EA">
        <w:t xml:space="preserve">Table </w:t>
      </w:r>
      <w:r w:rsidR="001E41EA">
        <w:rPr>
          <w:noProof/>
        </w:rPr>
        <w:t>1</w:t>
      </w:r>
      <w:r>
        <w:rPr>
          <w:rFonts w:eastAsiaTheme="minorEastAsia"/>
        </w:rPr>
        <w:fldChar w:fldCharType="end"/>
      </w:r>
      <w:r>
        <w:rPr>
          <w:rFonts w:eastAsiaTheme="minorEastAsia"/>
        </w:rPr>
        <w:t xml:space="preserve">, </w:t>
      </w:r>
      <m:oMath>
        <m:r>
          <w:rPr>
            <w:rFonts w:ascii="Cambria Math" w:hAnsi="Cambria Math"/>
          </w:rPr>
          <m:t>R</m:t>
        </m:r>
      </m:oMath>
      <w:r>
        <w:t xml:space="preserve"> represents the residual risks, as discussed in ISO 14971.   I</w:t>
      </w:r>
      <w:r>
        <w:rPr>
          <w:rFonts w:eastAsiaTheme="minorEastAsia"/>
        </w:rPr>
        <w:t>f we say the</w:t>
      </w:r>
      <w:r w:rsidRPr="00F60A9B">
        <w:rPr>
          <w:rFonts w:eastAsiaTheme="minorEastAsia"/>
        </w:rPr>
        <w:t xml:space="preserve"> medical device </w:t>
      </w:r>
      <w:r>
        <w:rPr>
          <w:rFonts w:eastAsiaTheme="minorEastAsia"/>
        </w:rPr>
        <w:t xml:space="preserve">will </w:t>
      </w:r>
      <w:r w:rsidRPr="00F60A9B">
        <w:rPr>
          <w:rFonts w:eastAsiaTheme="minorEastAsia"/>
        </w:rPr>
        <w:t xml:space="preserve">present </w:t>
      </w:r>
      <m:oMath>
        <m:r>
          <w:rPr>
            <w:rFonts w:ascii="Cambria Math" w:eastAsiaTheme="minorEastAsia" w:hAnsi="Cambria Math"/>
          </w:rPr>
          <m:t>n</m:t>
        </m:r>
      </m:oMath>
      <w:r w:rsidRPr="00F60A9B">
        <w:rPr>
          <w:rFonts w:eastAsiaTheme="minorEastAsia"/>
        </w:rPr>
        <w:t xml:space="preserve"> risks to the patient</w:t>
      </w:r>
      <w:r>
        <w:rPr>
          <w:rFonts w:eastAsiaTheme="minorEastAsia"/>
        </w:rPr>
        <w:t xml:space="preserve"> (where </w:t>
      </w:r>
      <m:oMath>
        <m:r>
          <w:rPr>
            <w:rFonts w:ascii="Cambria Math" w:eastAsiaTheme="minorEastAsia" w:hAnsi="Cambria Math"/>
          </w:rPr>
          <m:t>n</m:t>
        </m:r>
      </m:oMath>
      <w:r w:rsidRPr="00F60A9B">
        <w:rPr>
          <w:rFonts w:eastAsiaTheme="minorEastAsia"/>
        </w:rPr>
        <w:t xml:space="preserve"> </w:t>
      </w:r>
      <w:r>
        <w:rPr>
          <w:rFonts w:eastAsiaTheme="minorEastAsia"/>
        </w:rPr>
        <w:t>can represent any integer greater than zero</w:t>
      </w:r>
      <w:r w:rsidRPr="001E17A3">
        <w:rPr>
          <w:rFonts w:eastAsiaTheme="minorEastAsia"/>
          <w:vertAlign w:val="superscript"/>
        </w:rPr>
        <w:fldChar w:fldCharType="begin"/>
      </w:r>
      <w:r w:rsidRPr="001E17A3">
        <w:rPr>
          <w:rFonts w:eastAsiaTheme="minorEastAsia"/>
          <w:vertAlign w:val="superscript"/>
        </w:rPr>
        <w:instrText xml:space="preserve"> NOTEREF _Ref141250698 \h  \* MERGEFORMAT </w:instrText>
      </w:r>
      <w:r w:rsidRPr="001E17A3">
        <w:rPr>
          <w:rFonts w:eastAsiaTheme="minorEastAsia"/>
          <w:vertAlign w:val="superscript"/>
        </w:rPr>
      </w:r>
      <w:r w:rsidRPr="001E17A3">
        <w:rPr>
          <w:rFonts w:eastAsiaTheme="minorEastAsia"/>
          <w:vertAlign w:val="superscript"/>
        </w:rPr>
        <w:fldChar w:fldCharType="separate"/>
      </w:r>
      <w:r w:rsidR="001E41EA">
        <w:rPr>
          <w:rFonts w:eastAsiaTheme="minorEastAsia"/>
          <w:vertAlign w:val="superscript"/>
        </w:rPr>
        <w:t>2</w:t>
      </w:r>
      <w:r w:rsidRPr="001E17A3">
        <w:rPr>
          <w:rFonts w:eastAsiaTheme="minorEastAsia"/>
          <w:vertAlign w:val="superscript"/>
        </w:rPr>
        <w:fldChar w:fldCharType="end"/>
      </w:r>
      <w:r>
        <w:rPr>
          <w:rFonts w:eastAsiaTheme="minorEastAsia"/>
        </w:rPr>
        <w:t>)</w:t>
      </w:r>
      <w:r w:rsidRPr="00F60A9B">
        <w:rPr>
          <w:rFonts w:eastAsiaTheme="minorEastAsia"/>
        </w:rPr>
        <w:t xml:space="preserve">, </w:t>
      </w:r>
      <w:r>
        <w:rPr>
          <w:rFonts w:eastAsiaTheme="minorEastAsia"/>
        </w:rPr>
        <w:t xml:space="preserve">then </w:t>
      </w:r>
      <w:r w:rsidRPr="00F60A9B">
        <w:rPr>
          <w:rFonts w:eastAsiaTheme="minorEastAsia"/>
        </w:rPr>
        <w:t>we can represen</w:t>
      </w:r>
      <w:r>
        <w:rPr>
          <w:rFonts w:eastAsiaTheme="minorEastAsia"/>
        </w:rPr>
        <w:t>t the set of risks in</w:t>
      </w:r>
      <w:r w:rsidRPr="00F60A9B">
        <w:rPr>
          <w:rFonts w:eastAsiaTheme="minorEastAsia"/>
        </w:rPr>
        <w:t xml:space="preserve"> </w:t>
      </w:r>
      <m:oMath>
        <m:r>
          <w:rPr>
            <w:rFonts w:ascii="Cambria Math" w:eastAsiaTheme="minorEastAsia" w:hAnsi="Cambria Math"/>
          </w:rPr>
          <m:t>R</m:t>
        </m:r>
      </m:oMath>
      <w:r w:rsidRPr="00F60A9B">
        <w:rPr>
          <w:rFonts w:eastAsiaTheme="minorEastAsia"/>
        </w:rPr>
        <w:t xml:space="preserve"> </w:t>
      </w:r>
      <w:r>
        <w:rPr>
          <w:rFonts w:eastAsiaTheme="minorEastAsia"/>
        </w:rPr>
        <w:t xml:space="preserve">any of three ways: </w:t>
      </w:r>
    </w:p>
    <w:p w14:paraId="5CACA58D" w14:textId="26CC45F2" w:rsidR="00F77691" w:rsidRDefault="00F77691">
      <w:pPr>
        <w:pStyle w:val="ListParagraph"/>
        <w:numPr>
          <w:ilvl w:val="0"/>
          <w:numId w:val="6"/>
        </w:numPr>
        <w:rPr>
          <w:rFonts w:eastAsiaTheme="minorEastAsia"/>
        </w:rPr>
      </w:pPr>
      <w:r>
        <w:rPr>
          <w:rFonts w:eastAsiaTheme="minorEastAsia"/>
          <w:iCs/>
        </w:rPr>
        <w:t xml:space="preserve">Using </w:t>
      </w:r>
      <m:oMath>
        <m:r>
          <w:rPr>
            <w:rFonts w:ascii="Cambria Math" w:eastAsiaTheme="minorEastAsia" w:hAnsi="Cambria Math"/>
          </w:rPr>
          <m:t>n</m:t>
        </m:r>
      </m:oMath>
      <w:r w:rsidRPr="00F60A9B">
        <w:rPr>
          <w:rFonts w:eastAsiaTheme="minorEastAsia"/>
        </w:rPr>
        <w:t xml:space="preserve"> </w:t>
      </w:r>
      <w:r>
        <w:rPr>
          <w:rFonts w:eastAsiaTheme="minorEastAsia"/>
          <w:iCs/>
        </w:rPr>
        <w:t xml:space="preserve">discrete risks, we can represent </w:t>
      </w:r>
      <m:oMath>
        <m:r>
          <w:rPr>
            <w:rFonts w:ascii="Cambria Math" w:eastAsiaTheme="minorEastAsia" w:hAnsi="Cambria Math"/>
          </w:rPr>
          <m:t>R</m:t>
        </m:r>
      </m:oMath>
      <w:r>
        <w:rPr>
          <w:rFonts w:eastAsiaTheme="minorEastAsia"/>
        </w:rPr>
        <w:t xml:space="preserve"> as</w:t>
      </w:r>
      <w:r>
        <w:rPr>
          <w:rFonts w:eastAsiaTheme="minorEastAsia"/>
          <w:iCs/>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 xml:space="preserve">, . . . ,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e>
        </m:d>
      </m:oMath>
      <w:r w:rsidR="00B668F2">
        <w:rPr>
          <w:rFonts w:eastAsiaTheme="minorEastAsia"/>
        </w:rPr>
        <w:t xml:space="preserve"> (as was done in Figure 2 of TR 24971)</w:t>
      </w:r>
      <w:r>
        <w:rPr>
          <w:rFonts w:eastAsiaTheme="minorEastAsia"/>
        </w:rPr>
        <w:t xml:space="preserve">.  </w:t>
      </w:r>
      <w:r w:rsidRPr="001C208C">
        <w:rPr>
          <w:rFonts w:eastAsiaTheme="minorEastAsia"/>
        </w:rPr>
        <w:t xml:space="preserve"> </w:t>
      </w:r>
    </w:p>
    <w:p w14:paraId="66580875" w14:textId="0736ADCD" w:rsidR="00F77691" w:rsidRDefault="00B668F2">
      <w:pPr>
        <w:pStyle w:val="ListParagraph"/>
        <w:numPr>
          <w:ilvl w:val="0"/>
          <w:numId w:val="6"/>
        </w:numPr>
        <w:rPr>
          <w:rFonts w:eastAsiaTheme="minorEastAsia"/>
        </w:rPr>
      </w:pPr>
      <w:r>
        <w:rPr>
          <w:rFonts w:eastAsiaTheme="minorEastAsia"/>
          <w:iCs/>
        </w:rPr>
        <w:t xml:space="preserve">Starting with </w:t>
      </w:r>
      <m:oMath>
        <m:r>
          <w:rPr>
            <w:rFonts w:ascii="Cambria Math" w:eastAsiaTheme="minorEastAsia" w:hAnsi="Cambria Math"/>
          </w:rPr>
          <m:t>n</m:t>
        </m:r>
      </m:oMath>
      <w:r w:rsidRPr="00F60A9B">
        <w:rPr>
          <w:rFonts w:eastAsiaTheme="minorEastAsia"/>
        </w:rPr>
        <w:t xml:space="preserve"> </w:t>
      </w:r>
      <w:r>
        <w:rPr>
          <w:rFonts w:eastAsiaTheme="minorEastAsia"/>
          <w:iCs/>
        </w:rPr>
        <w:t xml:space="preserve">discrete risks, we can use </w:t>
      </w:r>
      <w:r w:rsidR="00F77691">
        <w:rPr>
          <w:rFonts w:eastAsiaTheme="minorEastAsia"/>
        </w:rPr>
        <w:fldChar w:fldCharType="begin"/>
      </w:r>
      <w:r w:rsidR="00F77691">
        <w:rPr>
          <w:rFonts w:eastAsiaTheme="minorEastAsia"/>
        </w:rPr>
        <w:instrText xml:space="preserve"> REF _Ref141191908 \h </w:instrText>
      </w:r>
      <w:r w:rsidR="00F77691">
        <w:rPr>
          <w:rFonts w:eastAsiaTheme="minorEastAsia"/>
        </w:rPr>
      </w:r>
      <w:r w:rsidR="00F77691">
        <w:rPr>
          <w:rFonts w:eastAsiaTheme="minorEastAsia"/>
        </w:rPr>
        <w:fldChar w:fldCharType="separate"/>
      </w:r>
      <w:r w:rsidR="001E41EA">
        <w:t xml:space="preserve">Equation </w:t>
      </w:r>
      <w:r w:rsidR="001E41EA">
        <w:rPr>
          <w:noProof/>
        </w:rPr>
        <w:t>3</w:t>
      </w:r>
      <w:r w:rsidR="00F77691">
        <w:rPr>
          <w:rFonts w:eastAsiaTheme="minorEastAsia"/>
        </w:rPr>
        <w:fldChar w:fldCharType="end"/>
      </w:r>
      <w:r w:rsidR="00F77691">
        <w:rPr>
          <w:rFonts w:eastAsiaTheme="minorEastAsia"/>
        </w:rPr>
        <w:t xml:space="preserve"> </w:t>
      </w:r>
      <w:r>
        <w:rPr>
          <w:rFonts w:eastAsiaTheme="minorEastAsia"/>
        </w:rPr>
        <w:t xml:space="preserve">to expand how we represent the set of </w:t>
      </w:r>
      <m:oMath>
        <m:r>
          <w:rPr>
            <w:rFonts w:ascii="Cambria Math" w:eastAsiaTheme="minorEastAsia" w:hAnsi="Cambria Math"/>
          </w:rPr>
          <m:t>n</m:t>
        </m:r>
      </m:oMath>
      <w:r w:rsidRPr="00F60A9B">
        <w:rPr>
          <w:rFonts w:eastAsiaTheme="minorEastAsia"/>
        </w:rPr>
        <w:t xml:space="preserve"> </w:t>
      </w:r>
      <w:r>
        <w:rPr>
          <w:rFonts w:eastAsiaTheme="minorEastAsia"/>
          <w:iCs/>
        </w:rPr>
        <w:t xml:space="preserve">discrete risks in </w:t>
      </w:r>
      <m:oMath>
        <m:r>
          <w:rPr>
            <w:rFonts w:ascii="Cambria Math" w:eastAsiaTheme="minorEastAsia" w:hAnsi="Cambria Math"/>
          </w:rPr>
          <m:t>R</m:t>
        </m:r>
      </m:oMath>
      <w:r>
        <w:rPr>
          <w:rFonts w:eastAsiaTheme="minorEastAsia"/>
        </w:rPr>
        <w:t xml:space="preserve"> </w:t>
      </w:r>
      <w:r>
        <w:rPr>
          <w:rFonts w:eastAsiaTheme="minorEastAsia"/>
          <w:iCs/>
        </w:rPr>
        <w:t xml:space="preserve">from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3</m:t>
                </m:r>
              </m:sub>
            </m:sSub>
            <m:r>
              <w:rPr>
                <w:rFonts w:ascii="Cambria Math" w:eastAsiaTheme="minorEastAsia" w:hAnsi="Cambria Math"/>
              </w:rPr>
              <m:t xml:space="preserve">, . . . ,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n</m:t>
                </m:r>
              </m:sub>
            </m:sSub>
          </m:e>
        </m:d>
      </m:oMath>
      <w:r>
        <w:rPr>
          <w:rFonts w:eastAsiaTheme="minorEastAsia"/>
        </w:rPr>
        <w:t xml:space="preserve"> to </w:t>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e>
            </m:d>
            <m:r>
              <w:rPr>
                <w:rFonts w:ascii="Cambria Math" w:eastAsiaTheme="minorEastAsia" w:hAnsi="Cambria Math"/>
              </w:rPr>
              <m:t xml:space="preserve">,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e>
            </m:d>
          </m:e>
        </m:d>
      </m:oMath>
      <w:r w:rsidR="00F77691">
        <w:rPr>
          <w:rFonts w:eastAsiaTheme="minorEastAsia"/>
        </w:rPr>
        <w:t xml:space="preserve">.  </w:t>
      </w:r>
    </w:p>
    <w:p w14:paraId="02740231" w14:textId="77777777" w:rsidR="00985407" w:rsidRDefault="00B668F2" w:rsidP="00985407">
      <w:pPr>
        <w:ind w:left="720"/>
        <w:rPr>
          <w:rFonts w:eastAsiaTheme="minorEastAsia"/>
        </w:rPr>
      </w:pPr>
      <w:r>
        <w:rPr>
          <w:rFonts w:eastAsiaTheme="minorEastAsia"/>
        </w:rPr>
        <w:t>For example, if we have a medical treatment that exposes the patient to six risks and</w:t>
      </w:r>
      <w:r w:rsidR="00985407">
        <w:rPr>
          <w:rFonts w:eastAsiaTheme="minorEastAsia"/>
        </w:rPr>
        <w:t xml:space="preserve"> if </w:t>
      </w:r>
    </w:p>
    <w:p w14:paraId="09999206" w14:textId="77777777" w:rsidR="00C76819" w:rsidRDefault="00985407" w:rsidP="00C76819">
      <w:pPr>
        <w:keepNext/>
      </w:pPr>
      <m:oMathPara>
        <m:oMath>
          <m:r>
            <w:rPr>
              <w:rFonts w:ascii="Cambria Math" w:eastAsiaTheme="minorEastAsia" w:hAnsi="Cambria Math"/>
            </w:rPr>
            <w:lastRenderedPageBreak/>
            <m:t>R=</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ctrlPr>
                        <w:rPr>
                          <w:rFonts w:ascii="Cambria Math" w:eastAsiaTheme="minorEastAsia" w:hAnsi="Cambria Math"/>
                          <w:i/>
                        </w:rPr>
                      </m:ctrlPr>
                    </m:dPr>
                    <m:e>
                      <m:r>
                        <w:rPr>
                          <w:rFonts w:ascii="Cambria Math" w:eastAsiaTheme="minorEastAsia" w:hAnsi="Cambria Math"/>
                        </w:rPr>
                        <m:t>Frequent, Minor</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Occassional, Critical</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Serious / Major, Improbable</m:t>
                      </m:r>
                    </m:e>
                  </m:d>
                  <m:r>
                    <w:rPr>
                      <w:rFonts w:ascii="Cambria Math" w:eastAsiaTheme="minorEastAsia" w:hAnsi="Cambria Math"/>
                    </w:rPr>
                    <m:t xml:space="preserve">, </m:t>
                  </m:r>
                </m:e>
                <m:e>
                  <m:d>
                    <m:dPr>
                      <m:ctrlPr>
                        <w:rPr>
                          <w:rFonts w:ascii="Cambria Math" w:eastAsiaTheme="minorEastAsia" w:hAnsi="Cambria Math"/>
                          <w:i/>
                        </w:rPr>
                      </m:ctrlPr>
                    </m:dPr>
                    <m:e>
                      <m:r>
                        <w:rPr>
                          <w:rFonts w:ascii="Cambria Math" w:eastAsiaTheme="minorEastAsia" w:hAnsi="Cambria Math"/>
                        </w:rPr>
                        <m:t>Occassional, Critical</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Remote, Catastrophic</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Probable, Negligible</m:t>
                      </m:r>
                    </m:e>
                  </m:d>
                </m:e>
              </m:eqArr>
            </m:e>
          </m:d>
        </m:oMath>
      </m:oMathPara>
    </w:p>
    <w:p w14:paraId="7E14E97F" w14:textId="2B797904" w:rsidR="00985407" w:rsidRDefault="00C76819" w:rsidP="00C76819">
      <w:pPr>
        <w:pStyle w:val="Caption"/>
        <w:keepNext/>
        <w:keepLines/>
        <w:jc w:val="right"/>
        <w:rPr>
          <w:rFonts w:eastAsiaTheme="minorEastAsia"/>
        </w:rPr>
      </w:pPr>
      <w:bookmarkStart w:id="41" w:name="_Ref147639445"/>
      <w:r>
        <w:t xml:space="preserve">Equation </w:t>
      </w:r>
      <w:r>
        <w:fldChar w:fldCharType="begin"/>
      </w:r>
      <w:r>
        <w:instrText xml:space="preserve"> SEQ Equation \* ARABIC </w:instrText>
      </w:r>
      <w:r>
        <w:fldChar w:fldCharType="separate"/>
      </w:r>
      <w:r w:rsidR="003468AE">
        <w:rPr>
          <w:noProof/>
        </w:rPr>
        <w:t>6</w:t>
      </w:r>
      <w:r>
        <w:rPr>
          <w:noProof/>
        </w:rPr>
        <w:fldChar w:fldCharType="end"/>
      </w:r>
      <w:bookmarkEnd w:id="41"/>
    </w:p>
    <w:p w14:paraId="397C14C3" w14:textId="570FAC13" w:rsidR="00F77691" w:rsidRPr="00AB2BAE" w:rsidRDefault="00B668F2" w:rsidP="00985407">
      <w:pPr>
        <w:ind w:left="720"/>
        <w:rPr>
          <w:rFonts w:eastAsiaTheme="minorEastAsia"/>
        </w:rPr>
      </w:pPr>
      <w:r>
        <w:rPr>
          <w:rFonts w:eastAsiaTheme="minorEastAsia"/>
        </w:rPr>
        <w:t xml:space="preserve">then populating </w:t>
      </w:r>
      <w:r w:rsidR="00AB2BAE">
        <w:rPr>
          <w:rFonts w:eastAsiaTheme="minorEastAsia"/>
        </w:rPr>
        <w:fldChar w:fldCharType="begin"/>
      </w:r>
      <w:r w:rsidR="00AB2BAE">
        <w:rPr>
          <w:rFonts w:eastAsiaTheme="minorEastAsia"/>
        </w:rPr>
        <w:instrText xml:space="preserve"> REF _Ref146702767 \h </w:instrText>
      </w:r>
      <w:r w:rsidR="00AB2BAE">
        <w:rPr>
          <w:rFonts w:eastAsiaTheme="minorEastAsia"/>
        </w:rPr>
      </w:r>
      <w:r w:rsidR="00AB2BAE">
        <w:rPr>
          <w:rFonts w:eastAsiaTheme="minorEastAsia"/>
        </w:rPr>
        <w:fldChar w:fldCharType="separate"/>
      </w:r>
      <w:r w:rsidR="001E41EA" w:rsidRPr="00F60A9B">
        <w:t xml:space="preserve">Table </w:t>
      </w:r>
      <w:r w:rsidR="001E41EA">
        <w:rPr>
          <w:noProof/>
        </w:rPr>
        <w:t>6</w:t>
      </w:r>
      <w:r w:rsidR="00AB2BAE">
        <w:rPr>
          <w:rFonts w:eastAsiaTheme="minorEastAsia"/>
        </w:rPr>
        <w:fldChar w:fldCharType="end"/>
      </w:r>
      <w:r w:rsidR="00AB2BAE">
        <w:rPr>
          <w:rFonts w:eastAsiaTheme="minorEastAsia"/>
        </w:rPr>
        <w:t xml:space="preserve"> </w:t>
      </w:r>
      <w:r>
        <w:rPr>
          <w:rFonts w:eastAsiaTheme="minorEastAsia"/>
        </w:rPr>
        <w:t xml:space="preserve">with </w:t>
      </w:r>
      <m:oMath>
        <m:r>
          <w:rPr>
            <w:rFonts w:ascii="Cambria Math" w:eastAsiaTheme="minorEastAsia" w:hAnsi="Cambria Math"/>
          </w:rPr>
          <m:t>R</m:t>
        </m:r>
      </m:oMath>
      <w:r>
        <w:rPr>
          <w:rFonts w:eastAsiaTheme="minorEastAsia"/>
        </w:rPr>
        <w:t xml:space="preserve"> results in:</w:t>
      </w:r>
      <w:r w:rsidR="00AB2BAE">
        <w:rPr>
          <w:rFonts w:eastAsiaTheme="minorEastAsia"/>
        </w:rPr>
        <w:t xml:space="preserve"> </w:t>
      </w:r>
      <w:r w:rsidR="00F77691" w:rsidRPr="00AB2BAE">
        <w:rPr>
          <w:rFonts w:eastAsiaTheme="minorEastAsia"/>
        </w:rPr>
        <w:t xml:space="preserve"> </w:t>
      </w:r>
    </w:p>
    <w:tbl>
      <w:tblPr>
        <w:tblStyle w:val="TableGrid"/>
        <w:tblW w:w="9374" w:type="dxa"/>
        <w:tblLayout w:type="fixed"/>
        <w:tblLook w:val="04A0" w:firstRow="1" w:lastRow="0" w:firstColumn="1" w:lastColumn="0" w:noHBand="0" w:noVBand="1"/>
      </w:tblPr>
      <w:tblGrid>
        <w:gridCol w:w="236"/>
        <w:gridCol w:w="1294"/>
        <w:gridCol w:w="1350"/>
        <w:gridCol w:w="1265"/>
        <w:gridCol w:w="1931"/>
        <w:gridCol w:w="1663"/>
        <w:gridCol w:w="1635"/>
      </w:tblGrid>
      <w:tr w:rsidR="00F77691" w:rsidRPr="00F60A9B" w14:paraId="41B65E7E" w14:textId="77777777" w:rsidTr="00792633">
        <w:trPr>
          <w:tblHeader/>
        </w:trPr>
        <w:tc>
          <w:tcPr>
            <w:tcW w:w="236" w:type="dxa"/>
            <w:tcBorders>
              <w:top w:val="nil"/>
              <w:left w:val="nil"/>
              <w:bottom w:val="nil"/>
              <w:right w:val="nil"/>
            </w:tcBorders>
          </w:tcPr>
          <w:p w14:paraId="0D9BEFDE" w14:textId="77777777" w:rsidR="00F77691" w:rsidRPr="00F60A9B" w:rsidRDefault="00F77691" w:rsidP="000E1E7C"/>
        </w:tc>
        <w:tc>
          <w:tcPr>
            <w:tcW w:w="1294" w:type="dxa"/>
            <w:tcBorders>
              <w:top w:val="nil"/>
              <w:left w:val="nil"/>
              <w:bottom w:val="single" w:sz="4" w:space="0" w:color="auto"/>
            </w:tcBorders>
            <w:vAlign w:val="center"/>
          </w:tcPr>
          <w:p w14:paraId="324DD0AC" w14:textId="77777777" w:rsidR="00F77691" w:rsidRPr="00F60A9B" w:rsidRDefault="00F77691" w:rsidP="000E1E7C">
            <m:oMathPara>
              <m:oMath>
                <m:r>
                  <w:rPr>
                    <w:rFonts w:ascii="Cambria Math" w:eastAsiaTheme="minorEastAsia" w:hAnsi="Cambria Math"/>
                  </w:rPr>
                  <m:t>R</m:t>
                </m:r>
              </m:oMath>
            </m:oMathPara>
          </w:p>
        </w:tc>
        <w:tc>
          <w:tcPr>
            <w:tcW w:w="1350" w:type="dxa"/>
            <w:tcBorders>
              <w:top w:val="single" w:sz="4" w:space="0" w:color="auto"/>
              <w:bottom w:val="single" w:sz="12" w:space="0" w:color="auto"/>
            </w:tcBorders>
            <w:vAlign w:val="center"/>
          </w:tcPr>
          <w:p w14:paraId="511A44E8" w14:textId="2394D4FD" w:rsidR="00F77691" w:rsidRPr="00F60A9B" w:rsidRDefault="00F77691" w:rsidP="00792633">
            <w:pPr>
              <w:jc w:val="center"/>
            </w:pPr>
            <w:r w:rsidRPr="00F60A9B">
              <w:t>Negligible</w:t>
            </w:r>
          </w:p>
        </w:tc>
        <w:tc>
          <w:tcPr>
            <w:tcW w:w="1265" w:type="dxa"/>
            <w:tcBorders>
              <w:top w:val="single" w:sz="4" w:space="0" w:color="auto"/>
              <w:bottom w:val="single" w:sz="12" w:space="0" w:color="auto"/>
            </w:tcBorders>
            <w:vAlign w:val="center"/>
          </w:tcPr>
          <w:p w14:paraId="77D2624D" w14:textId="77777777" w:rsidR="00F77691" w:rsidRPr="00F60A9B" w:rsidRDefault="00F77691" w:rsidP="000E1E7C">
            <w:pPr>
              <w:jc w:val="center"/>
            </w:pPr>
            <w:r w:rsidRPr="00F60A9B">
              <w:t>Minor</w:t>
            </w:r>
          </w:p>
        </w:tc>
        <w:tc>
          <w:tcPr>
            <w:tcW w:w="1931" w:type="dxa"/>
            <w:tcBorders>
              <w:top w:val="single" w:sz="4" w:space="0" w:color="auto"/>
              <w:bottom w:val="single" w:sz="12" w:space="0" w:color="auto"/>
            </w:tcBorders>
            <w:vAlign w:val="center"/>
          </w:tcPr>
          <w:p w14:paraId="5D1224FF" w14:textId="77777777" w:rsidR="00F77691" w:rsidRPr="00F60A9B" w:rsidRDefault="00F77691" w:rsidP="000E1E7C">
            <w:pPr>
              <w:jc w:val="center"/>
            </w:pPr>
            <w:r w:rsidRPr="00F60A9B">
              <w:t>Serious / Major</w:t>
            </w:r>
          </w:p>
        </w:tc>
        <w:tc>
          <w:tcPr>
            <w:tcW w:w="1663" w:type="dxa"/>
            <w:tcBorders>
              <w:top w:val="single" w:sz="4" w:space="0" w:color="auto"/>
              <w:bottom w:val="single" w:sz="12" w:space="0" w:color="auto"/>
            </w:tcBorders>
            <w:vAlign w:val="center"/>
          </w:tcPr>
          <w:p w14:paraId="1C2242C0" w14:textId="77777777" w:rsidR="00F77691" w:rsidRPr="00F60A9B" w:rsidRDefault="00F77691" w:rsidP="000E1E7C">
            <w:pPr>
              <w:jc w:val="center"/>
            </w:pPr>
            <w:r w:rsidRPr="00F60A9B">
              <w:t>Critical</w:t>
            </w:r>
          </w:p>
        </w:tc>
        <w:tc>
          <w:tcPr>
            <w:tcW w:w="1635" w:type="dxa"/>
            <w:tcBorders>
              <w:top w:val="single" w:sz="4" w:space="0" w:color="auto"/>
              <w:bottom w:val="single" w:sz="12" w:space="0" w:color="auto"/>
            </w:tcBorders>
            <w:vAlign w:val="center"/>
          </w:tcPr>
          <w:p w14:paraId="696779BE" w14:textId="77777777" w:rsidR="00F77691" w:rsidRPr="00F60A9B" w:rsidRDefault="00F77691" w:rsidP="000E1E7C">
            <w:pPr>
              <w:jc w:val="center"/>
            </w:pPr>
            <w:r w:rsidRPr="00F60A9B">
              <w:t>Catastrophic / Fatal</w:t>
            </w:r>
          </w:p>
        </w:tc>
      </w:tr>
      <w:tr w:rsidR="00F77691" w:rsidRPr="00F60A9B" w14:paraId="49334188" w14:textId="77777777" w:rsidTr="00792633">
        <w:trPr>
          <w:trHeight w:val="432"/>
        </w:trPr>
        <w:tc>
          <w:tcPr>
            <w:tcW w:w="236" w:type="dxa"/>
            <w:vMerge w:val="restart"/>
            <w:tcBorders>
              <w:top w:val="nil"/>
              <w:left w:val="nil"/>
              <w:bottom w:val="nil"/>
            </w:tcBorders>
          </w:tcPr>
          <w:p w14:paraId="0C53D3E7" w14:textId="77777777" w:rsidR="00F77691" w:rsidRPr="00F60A9B" w:rsidRDefault="00F77691" w:rsidP="000E1E7C">
            <w:pPr>
              <w:jc w:val="center"/>
            </w:pPr>
          </w:p>
        </w:tc>
        <w:tc>
          <w:tcPr>
            <w:tcW w:w="1294" w:type="dxa"/>
            <w:tcBorders>
              <w:top w:val="single" w:sz="4" w:space="0" w:color="auto"/>
              <w:right w:val="single" w:sz="12" w:space="0" w:color="auto"/>
            </w:tcBorders>
            <w:vAlign w:val="center"/>
          </w:tcPr>
          <w:p w14:paraId="06F50D61" w14:textId="77777777" w:rsidR="00F77691" w:rsidRPr="00F60A9B" w:rsidRDefault="00F77691" w:rsidP="000E1E7C">
            <w:r>
              <w:t>Expected</w:t>
            </w:r>
          </w:p>
        </w:tc>
        <w:tc>
          <w:tcPr>
            <w:tcW w:w="1350" w:type="dxa"/>
            <w:tcBorders>
              <w:top w:val="single" w:sz="12" w:space="0" w:color="auto"/>
              <w:left w:val="single" w:sz="12" w:space="0" w:color="auto"/>
            </w:tcBorders>
            <w:tcMar>
              <w:top w:w="29" w:type="dxa"/>
              <w:left w:w="86" w:type="dxa"/>
              <w:bottom w:w="43" w:type="dxa"/>
              <w:right w:w="144" w:type="dxa"/>
            </w:tcMar>
            <w:vAlign w:val="center"/>
          </w:tcPr>
          <w:p w14:paraId="020EE828" w14:textId="77777777" w:rsidR="00F77691" w:rsidRPr="00F60A9B" w:rsidRDefault="00F77691" w:rsidP="000E1E7C">
            <w:pPr>
              <w:jc w:val="center"/>
            </w:pPr>
          </w:p>
        </w:tc>
        <w:tc>
          <w:tcPr>
            <w:tcW w:w="1265" w:type="dxa"/>
            <w:tcBorders>
              <w:top w:val="single" w:sz="12" w:space="0" w:color="auto"/>
            </w:tcBorders>
            <w:tcMar>
              <w:top w:w="29" w:type="dxa"/>
              <w:left w:w="86" w:type="dxa"/>
              <w:bottom w:w="43" w:type="dxa"/>
              <w:right w:w="144" w:type="dxa"/>
            </w:tcMar>
            <w:vAlign w:val="center"/>
          </w:tcPr>
          <w:p w14:paraId="10ECF690" w14:textId="77777777" w:rsidR="00F77691" w:rsidRPr="00F60A9B" w:rsidRDefault="00F77691" w:rsidP="000E1E7C">
            <w:pPr>
              <w:jc w:val="center"/>
            </w:pPr>
          </w:p>
        </w:tc>
        <w:tc>
          <w:tcPr>
            <w:tcW w:w="1931" w:type="dxa"/>
            <w:tcBorders>
              <w:top w:val="single" w:sz="12" w:space="0" w:color="auto"/>
            </w:tcBorders>
            <w:tcMar>
              <w:top w:w="29" w:type="dxa"/>
              <w:left w:w="86" w:type="dxa"/>
              <w:bottom w:w="43" w:type="dxa"/>
              <w:right w:w="144" w:type="dxa"/>
            </w:tcMar>
            <w:vAlign w:val="center"/>
          </w:tcPr>
          <w:p w14:paraId="6DBBB659" w14:textId="77777777" w:rsidR="00F77691" w:rsidRPr="00F60A9B" w:rsidRDefault="00F77691" w:rsidP="000E1E7C">
            <w:pPr>
              <w:jc w:val="center"/>
            </w:pPr>
          </w:p>
        </w:tc>
        <w:tc>
          <w:tcPr>
            <w:tcW w:w="1663" w:type="dxa"/>
            <w:tcBorders>
              <w:top w:val="single" w:sz="12" w:space="0" w:color="auto"/>
            </w:tcBorders>
            <w:tcMar>
              <w:top w:w="29" w:type="dxa"/>
              <w:left w:w="86" w:type="dxa"/>
              <w:bottom w:w="43" w:type="dxa"/>
              <w:right w:w="144" w:type="dxa"/>
            </w:tcMar>
            <w:vAlign w:val="center"/>
          </w:tcPr>
          <w:p w14:paraId="554F627A" w14:textId="77777777" w:rsidR="00F77691" w:rsidRPr="00F60A9B" w:rsidRDefault="00F77691" w:rsidP="000E1E7C">
            <w:pPr>
              <w:jc w:val="center"/>
            </w:pPr>
          </w:p>
        </w:tc>
        <w:tc>
          <w:tcPr>
            <w:tcW w:w="1635" w:type="dxa"/>
            <w:tcBorders>
              <w:top w:val="single" w:sz="12" w:space="0" w:color="auto"/>
            </w:tcBorders>
            <w:tcMar>
              <w:top w:w="29" w:type="dxa"/>
              <w:left w:w="86" w:type="dxa"/>
              <w:bottom w:w="43" w:type="dxa"/>
              <w:right w:w="144" w:type="dxa"/>
            </w:tcMar>
            <w:vAlign w:val="center"/>
          </w:tcPr>
          <w:p w14:paraId="6181BCC2" w14:textId="77777777" w:rsidR="00F77691" w:rsidRPr="00F60A9B" w:rsidRDefault="00F77691" w:rsidP="000E1E7C">
            <w:pPr>
              <w:jc w:val="center"/>
            </w:pPr>
          </w:p>
        </w:tc>
      </w:tr>
      <w:tr w:rsidR="00F77691" w:rsidRPr="00F60A9B" w14:paraId="34D75A64" w14:textId="77777777" w:rsidTr="00792633">
        <w:trPr>
          <w:trHeight w:val="432"/>
        </w:trPr>
        <w:tc>
          <w:tcPr>
            <w:tcW w:w="236" w:type="dxa"/>
            <w:vMerge/>
            <w:tcBorders>
              <w:left w:val="nil"/>
              <w:bottom w:val="nil"/>
            </w:tcBorders>
          </w:tcPr>
          <w:p w14:paraId="4E65DD31" w14:textId="77777777" w:rsidR="00F77691" w:rsidRPr="00F60A9B" w:rsidRDefault="00F77691" w:rsidP="000E1E7C"/>
        </w:tc>
        <w:tc>
          <w:tcPr>
            <w:tcW w:w="1294" w:type="dxa"/>
            <w:tcBorders>
              <w:right w:val="single" w:sz="12" w:space="0" w:color="auto"/>
            </w:tcBorders>
            <w:vAlign w:val="center"/>
          </w:tcPr>
          <w:p w14:paraId="34E37206" w14:textId="77777777" w:rsidR="00F77691" w:rsidRPr="00F60A9B" w:rsidRDefault="00F77691" w:rsidP="000E1E7C">
            <w:r>
              <w:t>Often</w:t>
            </w:r>
          </w:p>
        </w:tc>
        <w:tc>
          <w:tcPr>
            <w:tcW w:w="1350" w:type="dxa"/>
            <w:tcBorders>
              <w:left w:val="single" w:sz="12" w:space="0" w:color="auto"/>
            </w:tcBorders>
            <w:tcMar>
              <w:top w:w="29" w:type="dxa"/>
              <w:left w:w="86" w:type="dxa"/>
              <w:bottom w:w="43" w:type="dxa"/>
              <w:right w:w="144" w:type="dxa"/>
            </w:tcMar>
            <w:vAlign w:val="center"/>
          </w:tcPr>
          <w:p w14:paraId="149A2620" w14:textId="77777777" w:rsidR="00F77691" w:rsidRDefault="00F77691" w:rsidP="000E1E7C">
            <w:pPr>
              <w:jc w:val="center"/>
              <w:rPr>
                <w:rFonts w:ascii="Calibri" w:eastAsia="Calibri" w:hAnsi="Calibri" w:cs="Times New Roman"/>
              </w:rPr>
            </w:pPr>
          </w:p>
        </w:tc>
        <w:tc>
          <w:tcPr>
            <w:tcW w:w="1265" w:type="dxa"/>
            <w:tcMar>
              <w:top w:w="29" w:type="dxa"/>
              <w:left w:w="86" w:type="dxa"/>
              <w:bottom w:w="43" w:type="dxa"/>
              <w:right w:w="144" w:type="dxa"/>
            </w:tcMar>
            <w:vAlign w:val="center"/>
          </w:tcPr>
          <w:p w14:paraId="78B55A36" w14:textId="77777777" w:rsidR="00F77691" w:rsidRPr="00F60A9B" w:rsidRDefault="00F77691" w:rsidP="000E1E7C">
            <w:pPr>
              <w:jc w:val="center"/>
            </w:pPr>
          </w:p>
        </w:tc>
        <w:tc>
          <w:tcPr>
            <w:tcW w:w="1931" w:type="dxa"/>
            <w:tcMar>
              <w:top w:w="29" w:type="dxa"/>
              <w:left w:w="86" w:type="dxa"/>
              <w:bottom w:w="43" w:type="dxa"/>
              <w:right w:w="144" w:type="dxa"/>
            </w:tcMar>
            <w:vAlign w:val="center"/>
          </w:tcPr>
          <w:p w14:paraId="6052B97C" w14:textId="77777777" w:rsidR="00F77691" w:rsidRPr="00F60A9B" w:rsidRDefault="00F77691" w:rsidP="000E1E7C">
            <w:pPr>
              <w:jc w:val="center"/>
            </w:pPr>
          </w:p>
        </w:tc>
        <w:tc>
          <w:tcPr>
            <w:tcW w:w="1663" w:type="dxa"/>
            <w:tcMar>
              <w:top w:w="29" w:type="dxa"/>
              <w:left w:w="86" w:type="dxa"/>
              <w:bottom w:w="43" w:type="dxa"/>
              <w:right w:w="144" w:type="dxa"/>
            </w:tcMar>
            <w:vAlign w:val="center"/>
          </w:tcPr>
          <w:p w14:paraId="60A2AB3A" w14:textId="77777777" w:rsidR="00F77691" w:rsidRPr="00F60A9B" w:rsidRDefault="00F77691" w:rsidP="000E1E7C">
            <w:pPr>
              <w:jc w:val="center"/>
            </w:pPr>
          </w:p>
        </w:tc>
        <w:tc>
          <w:tcPr>
            <w:tcW w:w="1635" w:type="dxa"/>
            <w:tcMar>
              <w:top w:w="29" w:type="dxa"/>
              <w:left w:w="86" w:type="dxa"/>
              <w:bottom w:w="43" w:type="dxa"/>
              <w:right w:w="144" w:type="dxa"/>
            </w:tcMar>
            <w:vAlign w:val="center"/>
          </w:tcPr>
          <w:p w14:paraId="5B8FC076" w14:textId="77777777" w:rsidR="00F77691" w:rsidRPr="00F60A9B" w:rsidRDefault="00F77691" w:rsidP="000E1E7C">
            <w:pPr>
              <w:jc w:val="center"/>
            </w:pPr>
          </w:p>
        </w:tc>
      </w:tr>
      <w:tr w:rsidR="00F77691" w:rsidRPr="00F60A9B" w14:paraId="34CA195D" w14:textId="77777777" w:rsidTr="00792633">
        <w:trPr>
          <w:trHeight w:val="432"/>
        </w:trPr>
        <w:tc>
          <w:tcPr>
            <w:tcW w:w="236" w:type="dxa"/>
            <w:vMerge/>
            <w:tcBorders>
              <w:left w:val="nil"/>
              <w:bottom w:val="nil"/>
            </w:tcBorders>
          </w:tcPr>
          <w:p w14:paraId="44B37AE8" w14:textId="77777777" w:rsidR="00F77691" w:rsidRPr="00F60A9B" w:rsidRDefault="00F77691" w:rsidP="000E1E7C"/>
        </w:tc>
        <w:tc>
          <w:tcPr>
            <w:tcW w:w="1294" w:type="dxa"/>
            <w:tcBorders>
              <w:right w:val="single" w:sz="12" w:space="0" w:color="auto"/>
            </w:tcBorders>
            <w:vAlign w:val="center"/>
          </w:tcPr>
          <w:p w14:paraId="347EE22F" w14:textId="77777777" w:rsidR="00F77691" w:rsidRPr="00F60A9B" w:rsidRDefault="00F77691" w:rsidP="000E1E7C">
            <w:r w:rsidRPr="00F60A9B">
              <w:t>Frequent</w:t>
            </w:r>
          </w:p>
        </w:tc>
        <w:tc>
          <w:tcPr>
            <w:tcW w:w="1350" w:type="dxa"/>
            <w:tcBorders>
              <w:left w:val="single" w:sz="12" w:space="0" w:color="auto"/>
            </w:tcBorders>
            <w:tcMar>
              <w:top w:w="29" w:type="dxa"/>
              <w:left w:w="86" w:type="dxa"/>
              <w:bottom w:w="43" w:type="dxa"/>
              <w:right w:w="144" w:type="dxa"/>
            </w:tcMar>
            <w:vAlign w:val="center"/>
          </w:tcPr>
          <w:p w14:paraId="02B7FEFE" w14:textId="77777777" w:rsidR="00F77691" w:rsidRDefault="00F77691" w:rsidP="000E1E7C">
            <w:pPr>
              <w:jc w:val="center"/>
              <w:rPr>
                <w:rFonts w:ascii="Calibri" w:eastAsia="Calibri" w:hAnsi="Calibri" w:cs="Times New Roman"/>
              </w:rPr>
            </w:pPr>
          </w:p>
        </w:tc>
        <w:tc>
          <w:tcPr>
            <w:tcW w:w="1265" w:type="dxa"/>
            <w:tcMar>
              <w:top w:w="29" w:type="dxa"/>
              <w:left w:w="86" w:type="dxa"/>
              <w:bottom w:w="43" w:type="dxa"/>
              <w:right w:w="144" w:type="dxa"/>
            </w:tcMar>
            <w:vAlign w:val="center"/>
          </w:tcPr>
          <w:p w14:paraId="67BE088C" w14:textId="77777777" w:rsidR="00F77691" w:rsidRPr="00F60A9B"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Frequent,</m:t>
                        </m:r>
                      </m:e>
                      <m:e>
                        <m:r>
                          <w:rPr>
                            <w:rFonts w:ascii="Cambria Math" w:eastAsiaTheme="minorEastAsia" w:hAnsi="Cambria Math"/>
                          </w:rPr>
                          <m:t xml:space="preserve"> Minor</m:t>
                        </m:r>
                      </m:e>
                    </m:eqArr>
                  </m:e>
                </m:d>
              </m:oMath>
            </m:oMathPara>
          </w:p>
        </w:tc>
        <w:tc>
          <w:tcPr>
            <w:tcW w:w="1931" w:type="dxa"/>
            <w:tcMar>
              <w:top w:w="29" w:type="dxa"/>
              <w:left w:w="86" w:type="dxa"/>
              <w:bottom w:w="43" w:type="dxa"/>
              <w:right w:w="144" w:type="dxa"/>
            </w:tcMar>
            <w:vAlign w:val="center"/>
          </w:tcPr>
          <w:p w14:paraId="005ADE7F" w14:textId="77777777" w:rsidR="00F77691" w:rsidRPr="00F60A9B" w:rsidRDefault="00F77691" w:rsidP="000E1E7C">
            <w:pPr>
              <w:jc w:val="center"/>
            </w:pPr>
          </w:p>
        </w:tc>
        <w:tc>
          <w:tcPr>
            <w:tcW w:w="1663" w:type="dxa"/>
            <w:tcMar>
              <w:top w:w="29" w:type="dxa"/>
              <w:left w:w="86" w:type="dxa"/>
              <w:bottom w:w="43" w:type="dxa"/>
              <w:right w:w="144" w:type="dxa"/>
            </w:tcMar>
            <w:vAlign w:val="center"/>
          </w:tcPr>
          <w:p w14:paraId="39166D60" w14:textId="77777777" w:rsidR="00F77691" w:rsidRPr="00F60A9B" w:rsidRDefault="00F77691" w:rsidP="000E1E7C">
            <w:pPr>
              <w:jc w:val="center"/>
            </w:pPr>
          </w:p>
        </w:tc>
        <w:tc>
          <w:tcPr>
            <w:tcW w:w="1635" w:type="dxa"/>
            <w:tcMar>
              <w:top w:w="29" w:type="dxa"/>
              <w:left w:w="86" w:type="dxa"/>
              <w:bottom w:w="43" w:type="dxa"/>
              <w:right w:w="144" w:type="dxa"/>
            </w:tcMar>
            <w:vAlign w:val="center"/>
          </w:tcPr>
          <w:p w14:paraId="2C6EE168" w14:textId="77777777" w:rsidR="00F77691" w:rsidRPr="00F60A9B" w:rsidRDefault="00F77691" w:rsidP="000E1E7C">
            <w:pPr>
              <w:jc w:val="center"/>
            </w:pPr>
          </w:p>
        </w:tc>
      </w:tr>
      <w:tr w:rsidR="00F77691" w:rsidRPr="00F60A9B" w14:paraId="05DB4A62" w14:textId="77777777" w:rsidTr="00792633">
        <w:trPr>
          <w:trHeight w:val="432"/>
        </w:trPr>
        <w:tc>
          <w:tcPr>
            <w:tcW w:w="236" w:type="dxa"/>
            <w:vMerge/>
            <w:tcBorders>
              <w:left w:val="nil"/>
              <w:bottom w:val="nil"/>
            </w:tcBorders>
          </w:tcPr>
          <w:p w14:paraId="483BE2AC" w14:textId="77777777" w:rsidR="00F77691" w:rsidRPr="00F60A9B" w:rsidRDefault="00F77691" w:rsidP="000E1E7C"/>
        </w:tc>
        <w:tc>
          <w:tcPr>
            <w:tcW w:w="1294" w:type="dxa"/>
            <w:tcBorders>
              <w:right w:val="single" w:sz="12" w:space="0" w:color="auto"/>
            </w:tcBorders>
            <w:vAlign w:val="center"/>
          </w:tcPr>
          <w:p w14:paraId="3C73AAD0" w14:textId="77777777" w:rsidR="00F77691" w:rsidRPr="00F60A9B" w:rsidRDefault="00F77691" w:rsidP="000E1E7C">
            <w:r w:rsidRPr="00F60A9B">
              <w:t>Probable</w:t>
            </w:r>
          </w:p>
        </w:tc>
        <w:tc>
          <w:tcPr>
            <w:tcW w:w="1350" w:type="dxa"/>
            <w:tcBorders>
              <w:left w:val="single" w:sz="12" w:space="0" w:color="auto"/>
            </w:tcBorders>
            <w:tcMar>
              <w:top w:w="29" w:type="dxa"/>
              <w:left w:w="86" w:type="dxa"/>
              <w:bottom w:w="43" w:type="dxa"/>
              <w:right w:w="144" w:type="dxa"/>
            </w:tcMar>
            <w:vAlign w:val="center"/>
          </w:tcPr>
          <w:p w14:paraId="3C6CCE98" w14:textId="77777777" w:rsidR="00F77691" w:rsidRPr="00F60A9B"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Probable, </m:t>
                        </m:r>
                      </m:e>
                      <m:e>
                        <m:r>
                          <w:rPr>
                            <w:rFonts w:ascii="Cambria Math" w:eastAsiaTheme="minorEastAsia" w:hAnsi="Cambria Math"/>
                          </w:rPr>
                          <m:t>Negligible</m:t>
                        </m:r>
                      </m:e>
                    </m:eqArr>
                  </m:e>
                </m:d>
              </m:oMath>
            </m:oMathPara>
          </w:p>
        </w:tc>
        <w:tc>
          <w:tcPr>
            <w:tcW w:w="1265" w:type="dxa"/>
            <w:tcMar>
              <w:top w:w="29" w:type="dxa"/>
              <w:left w:w="86" w:type="dxa"/>
              <w:bottom w:w="43" w:type="dxa"/>
              <w:right w:w="144" w:type="dxa"/>
            </w:tcMar>
            <w:vAlign w:val="center"/>
          </w:tcPr>
          <w:p w14:paraId="353E7FAD" w14:textId="77777777" w:rsidR="00F77691" w:rsidRPr="00F60A9B" w:rsidRDefault="00F77691" w:rsidP="000E1E7C">
            <w:pPr>
              <w:jc w:val="center"/>
            </w:pPr>
          </w:p>
        </w:tc>
        <w:tc>
          <w:tcPr>
            <w:tcW w:w="1931" w:type="dxa"/>
            <w:tcMar>
              <w:top w:w="29" w:type="dxa"/>
              <w:left w:w="86" w:type="dxa"/>
              <w:bottom w:w="43" w:type="dxa"/>
              <w:right w:w="144" w:type="dxa"/>
            </w:tcMar>
            <w:vAlign w:val="center"/>
          </w:tcPr>
          <w:p w14:paraId="39B4DD40" w14:textId="77777777" w:rsidR="00F77691" w:rsidRPr="00F60A9B" w:rsidRDefault="00F77691" w:rsidP="000E1E7C">
            <w:pPr>
              <w:jc w:val="center"/>
            </w:pPr>
          </w:p>
        </w:tc>
        <w:tc>
          <w:tcPr>
            <w:tcW w:w="1663" w:type="dxa"/>
            <w:tcMar>
              <w:top w:w="29" w:type="dxa"/>
              <w:left w:w="86" w:type="dxa"/>
              <w:bottom w:w="43" w:type="dxa"/>
              <w:right w:w="144" w:type="dxa"/>
            </w:tcMar>
            <w:vAlign w:val="center"/>
          </w:tcPr>
          <w:p w14:paraId="6A98AC13" w14:textId="77777777" w:rsidR="00F77691" w:rsidRPr="00F60A9B" w:rsidRDefault="00F77691" w:rsidP="000E1E7C">
            <w:pPr>
              <w:jc w:val="center"/>
            </w:pPr>
          </w:p>
        </w:tc>
        <w:tc>
          <w:tcPr>
            <w:tcW w:w="1635" w:type="dxa"/>
            <w:tcMar>
              <w:top w:w="29" w:type="dxa"/>
              <w:left w:w="86" w:type="dxa"/>
              <w:bottom w:w="43" w:type="dxa"/>
              <w:right w:w="144" w:type="dxa"/>
            </w:tcMar>
            <w:vAlign w:val="center"/>
          </w:tcPr>
          <w:p w14:paraId="7E0E4E35" w14:textId="77777777" w:rsidR="00F77691" w:rsidRPr="00F60A9B" w:rsidRDefault="00F77691" w:rsidP="000E1E7C">
            <w:pPr>
              <w:jc w:val="center"/>
            </w:pPr>
          </w:p>
        </w:tc>
      </w:tr>
      <w:tr w:rsidR="00F77691" w:rsidRPr="00F60A9B" w14:paraId="0F1ED132" w14:textId="77777777" w:rsidTr="00792633">
        <w:trPr>
          <w:trHeight w:val="432"/>
        </w:trPr>
        <w:tc>
          <w:tcPr>
            <w:tcW w:w="236" w:type="dxa"/>
            <w:vMerge/>
            <w:tcBorders>
              <w:left w:val="nil"/>
              <w:bottom w:val="nil"/>
            </w:tcBorders>
          </w:tcPr>
          <w:p w14:paraId="48C14048" w14:textId="77777777" w:rsidR="00F77691" w:rsidRPr="00F60A9B" w:rsidRDefault="00F77691" w:rsidP="000E1E7C"/>
        </w:tc>
        <w:tc>
          <w:tcPr>
            <w:tcW w:w="1294" w:type="dxa"/>
            <w:tcBorders>
              <w:right w:val="single" w:sz="12" w:space="0" w:color="auto"/>
            </w:tcBorders>
            <w:vAlign w:val="center"/>
          </w:tcPr>
          <w:p w14:paraId="38CBEA37" w14:textId="77777777" w:rsidR="00F77691" w:rsidRPr="00F60A9B" w:rsidRDefault="00F77691" w:rsidP="000E1E7C">
            <w:r w:rsidRPr="00F60A9B">
              <w:t>Occasional</w:t>
            </w:r>
          </w:p>
        </w:tc>
        <w:tc>
          <w:tcPr>
            <w:tcW w:w="1350" w:type="dxa"/>
            <w:tcBorders>
              <w:left w:val="single" w:sz="12" w:space="0" w:color="auto"/>
            </w:tcBorders>
            <w:tcMar>
              <w:top w:w="29" w:type="dxa"/>
              <w:left w:w="86" w:type="dxa"/>
              <w:bottom w:w="43" w:type="dxa"/>
              <w:right w:w="144" w:type="dxa"/>
            </w:tcMar>
            <w:vAlign w:val="center"/>
          </w:tcPr>
          <w:p w14:paraId="01E51494" w14:textId="77777777" w:rsidR="00F77691" w:rsidRPr="00F60A9B" w:rsidRDefault="00F77691" w:rsidP="000E1E7C">
            <w:pPr>
              <w:jc w:val="center"/>
            </w:pPr>
          </w:p>
        </w:tc>
        <w:tc>
          <w:tcPr>
            <w:tcW w:w="1265" w:type="dxa"/>
            <w:tcMar>
              <w:top w:w="29" w:type="dxa"/>
              <w:left w:w="86" w:type="dxa"/>
              <w:bottom w:w="43" w:type="dxa"/>
              <w:right w:w="144" w:type="dxa"/>
            </w:tcMar>
            <w:vAlign w:val="center"/>
          </w:tcPr>
          <w:p w14:paraId="4C532803" w14:textId="77777777" w:rsidR="00F77691" w:rsidRPr="00F60A9B" w:rsidRDefault="00F77691" w:rsidP="000E1E7C">
            <w:pPr>
              <w:jc w:val="center"/>
            </w:pPr>
          </w:p>
        </w:tc>
        <w:tc>
          <w:tcPr>
            <w:tcW w:w="1931" w:type="dxa"/>
            <w:tcMar>
              <w:top w:w="29" w:type="dxa"/>
              <w:left w:w="86" w:type="dxa"/>
              <w:bottom w:w="43" w:type="dxa"/>
              <w:right w:w="144" w:type="dxa"/>
            </w:tcMar>
            <w:vAlign w:val="center"/>
          </w:tcPr>
          <w:p w14:paraId="2D32E86A" w14:textId="77777777" w:rsidR="00F77691" w:rsidRPr="00F60A9B" w:rsidRDefault="00F77691" w:rsidP="000E1E7C">
            <w:pPr>
              <w:jc w:val="center"/>
            </w:pPr>
          </w:p>
        </w:tc>
        <w:tc>
          <w:tcPr>
            <w:tcW w:w="1663" w:type="dxa"/>
            <w:tcMar>
              <w:top w:w="29" w:type="dxa"/>
              <w:left w:w="86" w:type="dxa"/>
              <w:bottom w:w="43" w:type="dxa"/>
              <w:right w:w="144" w:type="dxa"/>
            </w:tcMar>
            <w:vAlign w:val="center"/>
          </w:tcPr>
          <w:p w14:paraId="150AF584" w14:textId="77777777" w:rsidR="00F77691" w:rsidRPr="00210DD1" w:rsidRDefault="00000000" w:rsidP="000E1E7C">
            <w:pPr>
              <w:jc w:val="center"/>
              <w:rPr>
                <w:rFonts w:eastAsiaTheme="minorEastAsia"/>
              </w:rP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Occassional, </m:t>
                        </m:r>
                      </m:e>
                      <m:e>
                        <m:r>
                          <w:rPr>
                            <w:rFonts w:ascii="Cambria Math" w:eastAsiaTheme="minorEastAsia" w:hAnsi="Cambria Math"/>
                          </w:rPr>
                          <m:t>Critical</m:t>
                        </m:r>
                      </m:e>
                    </m:eqArr>
                  </m:e>
                </m:d>
                <m:r>
                  <w:rPr>
                    <w:rFonts w:ascii="Cambria Math" w:eastAsiaTheme="minorEastAsia" w:hAnsi="Cambria Math"/>
                  </w:rPr>
                  <m:t xml:space="preserve">, </m:t>
                </m:r>
              </m:oMath>
            </m:oMathPara>
          </w:p>
          <w:p w14:paraId="6079759C" w14:textId="77777777" w:rsidR="00F77691" w:rsidRPr="00F60A9B"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Occassional, </m:t>
                        </m:r>
                      </m:e>
                      <m:e>
                        <m:r>
                          <w:rPr>
                            <w:rFonts w:ascii="Cambria Math" w:eastAsiaTheme="minorEastAsia" w:hAnsi="Cambria Math"/>
                          </w:rPr>
                          <m:t>Critical</m:t>
                        </m:r>
                      </m:e>
                    </m:eqArr>
                  </m:e>
                </m:d>
              </m:oMath>
            </m:oMathPara>
          </w:p>
        </w:tc>
        <w:tc>
          <w:tcPr>
            <w:tcW w:w="1635" w:type="dxa"/>
            <w:tcMar>
              <w:top w:w="29" w:type="dxa"/>
              <w:left w:w="86" w:type="dxa"/>
              <w:bottom w:w="43" w:type="dxa"/>
              <w:right w:w="144" w:type="dxa"/>
            </w:tcMar>
            <w:vAlign w:val="center"/>
          </w:tcPr>
          <w:p w14:paraId="2EA1C567" w14:textId="77777777" w:rsidR="00F77691" w:rsidRPr="00F60A9B" w:rsidRDefault="00F77691" w:rsidP="000E1E7C">
            <w:pPr>
              <w:jc w:val="center"/>
            </w:pPr>
          </w:p>
        </w:tc>
      </w:tr>
      <w:tr w:rsidR="00F77691" w:rsidRPr="00F60A9B" w14:paraId="5A43F1C3" w14:textId="77777777" w:rsidTr="00792633">
        <w:trPr>
          <w:trHeight w:val="432"/>
        </w:trPr>
        <w:tc>
          <w:tcPr>
            <w:tcW w:w="236" w:type="dxa"/>
            <w:vMerge/>
            <w:tcBorders>
              <w:left w:val="nil"/>
              <w:bottom w:val="nil"/>
            </w:tcBorders>
          </w:tcPr>
          <w:p w14:paraId="2C4C174C" w14:textId="77777777" w:rsidR="00F77691" w:rsidRPr="00F60A9B" w:rsidRDefault="00F77691" w:rsidP="000E1E7C"/>
        </w:tc>
        <w:tc>
          <w:tcPr>
            <w:tcW w:w="1294" w:type="dxa"/>
            <w:tcBorders>
              <w:right w:val="single" w:sz="12" w:space="0" w:color="auto"/>
            </w:tcBorders>
            <w:vAlign w:val="center"/>
          </w:tcPr>
          <w:p w14:paraId="7E2697EC" w14:textId="77777777" w:rsidR="00F77691" w:rsidRPr="00F60A9B" w:rsidRDefault="00F77691" w:rsidP="000E1E7C">
            <w:r w:rsidRPr="00F60A9B">
              <w:t>Remote</w:t>
            </w:r>
          </w:p>
        </w:tc>
        <w:tc>
          <w:tcPr>
            <w:tcW w:w="1350" w:type="dxa"/>
            <w:tcBorders>
              <w:left w:val="single" w:sz="12" w:space="0" w:color="auto"/>
            </w:tcBorders>
            <w:tcMar>
              <w:top w:w="29" w:type="dxa"/>
              <w:left w:w="86" w:type="dxa"/>
              <w:bottom w:w="43" w:type="dxa"/>
              <w:right w:w="144" w:type="dxa"/>
            </w:tcMar>
            <w:vAlign w:val="center"/>
          </w:tcPr>
          <w:p w14:paraId="299F265B" w14:textId="77777777" w:rsidR="00F77691" w:rsidRPr="00F60A9B" w:rsidRDefault="00F77691" w:rsidP="000E1E7C">
            <w:pPr>
              <w:jc w:val="center"/>
            </w:pPr>
          </w:p>
        </w:tc>
        <w:tc>
          <w:tcPr>
            <w:tcW w:w="1265" w:type="dxa"/>
            <w:tcMar>
              <w:top w:w="29" w:type="dxa"/>
              <w:left w:w="86" w:type="dxa"/>
              <w:bottom w:w="43" w:type="dxa"/>
              <w:right w:w="144" w:type="dxa"/>
            </w:tcMar>
            <w:vAlign w:val="center"/>
          </w:tcPr>
          <w:p w14:paraId="598F4101" w14:textId="77777777" w:rsidR="00F77691" w:rsidRPr="00F60A9B" w:rsidRDefault="00F77691" w:rsidP="000E1E7C">
            <w:pPr>
              <w:jc w:val="center"/>
            </w:pPr>
          </w:p>
        </w:tc>
        <w:tc>
          <w:tcPr>
            <w:tcW w:w="1931" w:type="dxa"/>
            <w:tcMar>
              <w:top w:w="29" w:type="dxa"/>
              <w:left w:w="86" w:type="dxa"/>
              <w:bottom w:w="43" w:type="dxa"/>
              <w:right w:w="144" w:type="dxa"/>
            </w:tcMar>
            <w:vAlign w:val="center"/>
          </w:tcPr>
          <w:p w14:paraId="67BDBC4C" w14:textId="77777777" w:rsidR="00F77691" w:rsidRPr="00F60A9B" w:rsidRDefault="00F77691" w:rsidP="000E1E7C">
            <w:pPr>
              <w:jc w:val="center"/>
            </w:pPr>
          </w:p>
        </w:tc>
        <w:tc>
          <w:tcPr>
            <w:tcW w:w="1663" w:type="dxa"/>
            <w:tcMar>
              <w:top w:w="29" w:type="dxa"/>
              <w:left w:w="86" w:type="dxa"/>
              <w:bottom w:w="43" w:type="dxa"/>
              <w:right w:w="144" w:type="dxa"/>
            </w:tcMar>
            <w:vAlign w:val="center"/>
          </w:tcPr>
          <w:p w14:paraId="74ED8FE4" w14:textId="77777777" w:rsidR="00F77691" w:rsidRPr="00F60A9B" w:rsidRDefault="00F77691" w:rsidP="000E1E7C">
            <w:pPr>
              <w:jc w:val="center"/>
            </w:pPr>
          </w:p>
        </w:tc>
        <w:tc>
          <w:tcPr>
            <w:tcW w:w="1635" w:type="dxa"/>
            <w:tcMar>
              <w:top w:w="29" w:type="dxa"/>
              <w:left w:w="86" w:type="dxa"/>
              <w:bottom w:w="43" w:type="dxa"/>
              <w:right w:w="144" w:type="dxa"/>
            </w:tcMar>
            <w:vAlign w:val="center"/>
          </w:tcPr>
          <w:p w14:paraId="58B60753" w14:textId="77777777" w:rsidR="00F77691" w:rsidRPr="00F60A9B" w:rsidRDefault="00000000" w:rsidP="000E1E7C">
            <w:pPr>
              <w:jc w:val="center"/>
            </w:pPr>
            <m:oMathPara>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Remote, </m:t>
                        </m:r>
                      </m:e>
                      <m:e>
                        <m:r>
                          <w:rPr>
                            <w:rFonts w:ascii="Cambria Math" w:eastAsiaTheme="minorEastAsia" w:hAnsi="Cambria Math"/>
                          </w:rPr>
                          <m:t>Catastrophic</m:t>
                        </m:r>
                      </m:e>
                    </m:eqArr>
                  </m:e>
                </m:d>
              </m:oMath>
            </m:oMathPara>
          </w:p>
        </w:tc>
      </w:tr>
      <w:tr w:rsidR="00F77691" w:rsidRPr="00F60A9B" w14:paraId="7EBD6754" w14:textId="77777777" w:rsidTr="00792633">
        <w:trPr>
          <w:trHeight w:val="432"/>
        </w:trPr>
        <w:tc>
          <w:tcPr>
            <w:tcW w:w="236" w:type="dxa"/>
            <w:vMerge/>
            <w:tcBorders>
              <w:left w:val="nil"/>
              <w:bottom w:val="nil"/>
            </w:tcBorders>
          </w:tcPr>
          <w:p w14:paraId="7B9EB448" w14:textId="77777777" w:rsidR="00F77691" w:rsidRPr="00F60A9B" w:rsidRDefault="00F77691" w:rsidP="000E1E7C"/>
        </w:tc>
        <w:tc>
          <w:tcPr>
            <w:tcW w:w="1294" w:type="dxa"/>
            <w:tcBorders>
              <w:right w:val="single" w:sz="12" w:space="0" w:color="auto"/>
            </w:tcBorders>
            <w:vAlign w:val="center"/>
          </w:tcPr>
          <w:p w14:paraId="12772452" w14:textId="77777777" w:rsidR="00F77691" w:rsidRPr="00F60A9B" w:rsidRDefault="00F77691" w:rsidP="000E1E7C">
            <w:r w:rsidRPr="00F60A9B">
              <w:t>Improbable</w:t>
            </w:r>
          </w:p>
        </w:tc>
        <w:tc>
          <w:tcPr>
            <w:tcW w:w="1350" w:type="dxa"/>
            <w:tcBorders>
              <w:left w:val="single" w:sz="12" w:space="0" w:color="auto"/>
            </w:tcBorders>
            <w:tcMar>
              <w:top w:w="29" w:type="dxa"/>
              <w:left w:w="86" w:type="dxa"/>
              <w:bottom w:w="43" w:type="dxa"/>
              <w:right w:w="144" w:type="dxa"/>
            </w:tcMar>
            <w:vAlign w:val="center"/>
          </w:tcPr>
          <w:p w14:paraId="7FB9227F" w14:textId="77777777" w:rsidR="00F77691" w:rsidRPr="00F60A9B" w:rsidRDefault="00F77691" w:rsidP="000E1E7C">
            <w:pPr>
              <w:jc w:val="center"/>
            </w:pPr>
          </w:p>
        </w:tc>
        <w:tc>
          <w:tcPr>
            <w:tcW w:w="1265" w:type="dxa"/>
            <w:tcMar>
              <w:top w:w="29" w:type="dxa"/>
              <w:left w:w="86" w:type="dxa"/>
              <w:bottom w:w="43" w:type="dxa"/>
              <w:right w:w="144" w:type="dxa"/>
            </w:tcMar>
            <w:vAlign w:val="center"/>
          </w:tcPr>
          <w:p w14:paraId="7C6D51A0" w14:textId="77777777" w:rsidR="00F77691" w:rsidRPr="00F60A9B" w:rsidRDefault="00F77691" w:rsidP="000E1E7C">
            <w:pPr>
              <w:jc w:val="center"/>
            </w:pPr>
          </w:p>
        </w:tc>
        <w:tc>
          <w:tcPr>
            <w:tcW w:w="1931" w:type="dxa"/>
            <w:tcMar>
              <w:top w:w="29" w:type="dxa"/>
              <w:left w:w="86" w:type="dxa"/>
              <w:bottom w:w="43" w:type="dxa"/>
              <w:right w:w="144" w:type="dxa"/>
            </w:tcMar>
            <w:vAlign w:val="center"/>
          </w:tcPr>
          <w:p w14:paraId="08E1721F" w14:textId="77777777" w:rsidR="00F77691" w:rsidRPr="001617D1" w:rsidRDefault="00000000" w:rsidP="000E1E7C">
            <w:pPr>
              <w:jc w:val="center"/>
              <w:rPr>
                <w:rFonts w:ascii="Cambria Math" w:eastAsiaTheme="minorEastAsia" w:hAnsi="Cambria Math"/>
                <w:oMath/>
              </w:rPr>
            </w:pPr>
            <m:oMathPara>
              <m:oMathParaPr>
                <m:jc m:val="center"/>
              </m:oMathParaPr>
              <m:oMath>
                <m:d>
                  <m:dPr>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Improbable, </m:t>
                        </m:r>
                      </m:e>
                      <m:e>
                        <m:r>
                          <w:rPr>
                            <w:rFonts w:ascii="Cambria Math" w:eastAsiaTheme="minorEastAsia" w:hAnsi="Cambria Math"/>
                          </w:rPr>
                          <m:t>Serious / Major</m:t>
                        </m:r>
                      </m:e>
                    </m:eqArr>
                  </m:e>
                </m:d>
              </m:oMath>
            </m:oMathPara>
          </w:p>
        </w:tc>
        <w:tc>
          <w:tcPr>
            <w:tcW w:w="1663" w:type="dxa"/>
            <w:tcMar>
              <w:top w:w="29" w:type="dxa"/>
              <w:left w:w="86" w:type="dxa"/>
              <w:bottom w:w="43" w:type="dxa"/>
              <w:right w:w="144" w:type="dxa"/>
            </w:tcMar>
            <w:vAlign w:val="center"/>
          </w:tcPr>
          <w:p w14:paraId="4BE3C0A4" w14:textId="77777777" w:rsidR="00F77691" w:rsidRPr="00F60A9B" w:rsidRDefault="00F77691" w:rsidP="000E1E7C">
            <w:pPr>
              <w:jc w:val="center"/>
            </w:pPr>
          </w:p>
        </w:tc>
        <w:tc>
          <w:tcPr>
            <w:tcW w:w="1635" w:type="dxa"/>
            <w:tcMar>
              <w:top w:w="29" w:type="dxa"/>
              <w:left w:w="86" w:type="dxa"/>
              <w:bottom w:w="43" w:type="dxa"/>
              <w:right w:w="144" w:type="dxa"/>
            </w:tcMar>
            <w:vAlign w:val="center"/>
          </w:tcPr>
          <w:p w14:paraId="7B6221F3" w14:textId="77777777" w:rsidR="00F77691" w:rsidRPr="00F60A9B" w:rsidRDefault="00F77691" w:rsidP="000E1E7C">
            <w:pPr>
              <w:keepNext/>
              <w:jc w:val="center"/>
            </w:pPr>
          </w:p>
        </w:tc>
      </w:tr>
    </w:tbl>
    <w:p w14:paraId="4331EBB0" w14:textId="08C95968" w:rsidR="00F77691" w:rsidRPr="00C60CFC" w:rsidRDefault="00F77691" w:rsidP="00F77691">
      <w:pPr>
        <w:pStyle w:val="Caption"/>
        <w:spacing w:before="80"/>
        <w:jc w:val="center"/>
        <w:rPr>
          <w:rFonts w:eastAsiaTheme="minorEastAsia"/>
        </w:rPr>
      </w:pPr>
      <w:bookmarkStart w:id="42" w:name="_Ref145004958"/>
      <w:r>
        <w:t xml:space="preserve">Table </w:t>
      </w:r>
      <w:r>
        <w:fldChar w:fldCharType="begin"/>
      </w:r>
      <w:r>
        <w:instrText xml:space="preserve"> SEQ Table \* ARABIC </w:instrText>
      </w:r>
      <w:r>
        <w:fldChar w:fldCharType="separate"/>
      </w:r>
      <w:r w:rsidR="001E41EA">
        <w:rPr>
          <w:noProof/>
        </w:rPr>
        <w:t>7</w:t>
      </w:r>
      <w:r>
        <w:rPr>
          <w:noProof/>
        </w:rPr>
        <w:fldChar w:fldCharType="end"/>
      </w:r>
      <w:bookmarkEnd w:id="42"/>
    </w:p>
    <w:p w14:paraId="6D2BA79C" w14:textId="48EBE1D9" w:rsidR="00F77691" w:rsidRDefault="00985407">
      <w:pPr>
        <w:pStyle w:val="ListParagraph"/>
        <w:numPr>
          <w:ilvl w:val="0"/>
          <w:numId w:val="6"/>
        </w:numPr>
        <w:rPr>
          <w:rFonts w:eastAsiaTheme="minorEastAsia"/>
        </w:rPr>
      </w:pPr>
      <w:r>
        <w:rPr>
          <w:rFonts w:eastAsiaTheme="minorEastAsia"/>
          <w:iCs/>
        </w:rPr>
        <w:t xml:space="preserve">If we </w:t>
      </w:r>
      <w:r w:rsidR="00F77691">
        <w:rPr>
          <w:rFonts w:eastAsiaTheme="minorEastAsia"/>
          <w:iCs/>
        </w:rPr>
        <w:t xml:space="preserve">Replace </w:t>
      </w:r>
      <w:r w:rsidR="00F77691">
        <w:rPr>
          <w:rFonts w:eastAsiaTheme="minorEastAsia"/>
        </w:rPr>
        <w:t xml:space="preserve">the contents of each cell in </w:t>
      </w:r>
      <w:r w:rsidR="00F77691">
        <w:rPr>
          <w:rFonts w:eastAsiaTheme="minorEastAsia"/>
        </w:rPr>
        <w:fldChar w:fldCharType="begin"/>
      </w:r>
      <w:r w:rsidR="00F77691">
        <w:rPr>
          <w:rFonts w:eastAsiaTheme="minorEastAsia"/>
        </w:rPr>
        <w:instrText xml:space="preserve"> REF _Ref145004958 \h </w:instrText>
      </w:r>
      <w:r w:rsidR="00F77691">
        <w:rPr>
          <w:rFonts w:eastAsiaTheme="minorEastAsia"/>
        </w:rPr>
      </w:r>
      <w:r w:rsidR="00F77691">
        <w:rPr>
          <w:rFonts w:eastAsiaTheme="minorEastAsia"/>
        </w:rPr>
        <w:fldChar w:fldCharType="separate"/>
      </w:r>
      <w:r w:rsidR="001E41EA">
        <w:t xml:space="preserve">Table </w:t>
      </w:r>
      <w:r w:rsidR="001E41EA">
        <w:rPr>
          <w:noProof/>
        </w:rPr>
        <w:t>7</w:t>
      </w:r>
      <w:r w:rsidR="00F77691">
        <w:rPr>
          <w:rFonts w:eastAsiaTheme="minorEastAsia"/>
        </w:rPr>
        <w:fldChar w:fldCharType="end"/>
      </w:r>
      <w:r w:rsidR="00F77691">
        <w:rPr>
          <w:rFonts w:eastAsiaTheme="minorEastAsia"/>
        </w:rPr>
        <w:t xml:space="preserve"> by a ‘count’ of the number of risks that appear in that cell, so </w:t>
      </w:r>
      <w:r w:rsidR="00F77691">
        <w:rPr>
          <w:rFonts w:eastAsiaTheme="minorEastAsia"/>
        </w:rPr>
        <w:fldChar w:fldCharType="begin"/>
      </w:r>
      <w:r w:rsidR="00F77691">
        <w:rPr>
          <w:rFonts w:eastAsiaTheme="minorEastAsia"/>
        </w:rPr>
        <w:instrText xml:space="preserve"> REF _Ref145004958 \h </w:instrText>
      </w:r>
      <w:r w:rsidR="00F77691">
        <w:rPr>
          <w:rFonts w:eastAsiaTheme="minorEastAsia"/>
        </w:rPr>
      </w:r>
      <w:r w:rsidR="00F77691">
        <w:rPr>
          <w:rFonts w:eastAsiaTheme="minorEastAsia"/>
        </w:rPr>
        <w:fldChar w:fldCharType="separate"/>
      </w:r>
      <w:r w:rsidR="001E41EA">
        <w:t xml:space="preserve">Table </w:t>
      </w:r>
      <w:r w:rsidR="001E41EA">
        <w:rPr>
          <w:noProof/>
        </w:rPr>
        <w:t>7</w:t>
      </w:r>
      <w:r w:rsidR="00F77691">
        <w:rPr>
          <w:rFonts w:eastAsiaTheme="minorEastAsia"/>
        </w:rPr>
        <w:fldChar w:fldCharType="end"/>
      </w:r>
      <w:r w:rsidR="00F77691">
        <w:rPr>
          <w:rFonts w:eastAsiaTheme="minorEastAsia"/>
        </w:rPr>
        <w:t xml:space="preserve"> becomes </w:t>
      </w:r>
      <w:r w:rsidR="00F77691">
        <w:rPr>
          <w:rFonts w:eastAsiaTheme="minorEastAsia"/>
        </w:rPr>
        <w:fldChar w:fldCharType="begin"/>
      </w:r>
      <w:r w:rsidR="00F77691">
        <w:rPr>
          <w:rFonts w:eastAsiaTheme="minorEastAsia"/>
        </w:rPr>
        <w:instrText xml:space="preserve"> REF _Ref145006272 \h </w:instrText>
      </w:r>
      <w:r w:rsidR="00F77691">
        <w:rPr>
          <w:rFonts w:eastAsiaTheme="minorEastAsia"/>
        </w:rPr>
      </w:r>
      <w:r w:rsidR="00F77691">
        <w:rPr>
          <w:rFonts w:eastAsiaTheme="minorEastAsia"/>
        </w:rPr>
        <w:fldChar w:fldCharType="separate"/>
      </w:r>
      <w:r w:rsidR="001E41EA" w:rsidRPr="006921FF">
        <w:t xml:space="preserve">Table </w:t>
      </w:r>
      <w:r w:rsidR="001E41EA">
        <w:rPr>
          <w:noProof/>
        </w:rPr>
        <w:t>8</w:t>
      </w:r>
      <w:r w:rsidR="00F77691">
        <w:rPr>
          <w:rFonts w:eastAsiaTheme="minorEastAsia"/>
        </w:rPr>
        <w:fldChar w:fldCharType="end"/>
      </w:r>
      <w:r w:rsidR="00F77691">
        <w:rPr>
          <w:rFonts w:eastAsiaTheme="minorEastAsia"/>
        </w:rPr>
        <w:t>, shown below</w:t>
      </w:r>
      <w:r w:rsidR="00F77691">
        <w:rPr>
          <w:rStyle w:val="FootnoteReference"/>
          <w:rFonts w:eastAsiaTheme="minorEastAsia"/>
        </w:rPr>
        <w:footnoteReference w:id="30"/>
      </w:r>
      <w:r w:rsidR="00F77691">
        <w:rPr>
          <w:rFonts w:eastAsiaTheme="minorEastAsia"/>
        </w:rPr>
        <w:t xml:space="preserve">: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F77691" w:rsidRPr="00F60A9B" w14:paraId="4E68B0AC" w14:textId="77777777" w:rsidTr="000E1E7C">
        <w:trPr>
          <w:tblHeader/>
          <w:jc w:val="center"/>
        </w:trPr>
        <w:tc>
          <w:tcPr>
            <w:tcW w:w="0" w:type="auto"/>
            <w:tcBorders>
              <w:top w:val="nil"/>
              <w:left w:val="nil"/>
              <w:bottom w:val="single" w:sz="4" w:space="0" w:color="auto"/>
            </w:tcBorders>
          </w:tcPr>
          <w:p w14:paraId="3ECA025C" w14:textId="77777777" w:rsidR="00F77691" w:rsidRPr="00F60A9B" w:rsidRDefault="00F77691" w:rsidP="000E1E7C">
            <m:oMathPara>
              <m:oMath>
                <m:r>
                  <w:rPr>
                    <w:rFonts w:ascii="Cambria Math" w:eastAsiaTheme="minorEastAsia" w:hAnsi="Cambria Math"/>
                  </w:rPr>
                  <m:t>R</m:t>
                </m:r>
              </m:oMath>
            </m:oMathPara>
          </w:p>
        </w:tc>
        <w:tc>
          <w:tcPr>
            <w:tcW w:w="0" w:type="auto"/>
            <w:tcBorders>
              <w:top w:val="single" w:sz="4" w:space="0" w:color="auto"/>
              <w:bottom w:val="single" w:sz="12" w:space="0" w:color="auto"/>
            </w:tcBorders>
            <w:vAlign w:val="center"/>
          </w:tcPr>
          <w:p w14:paraId="66C95278" w14:textId="77777777" w:rsidR="00F77691" w:rsidRPr="005B7BEE" w:rsidRDefault="00F77691" w:rsidP="000E1E7C">
            <w:pPr>
              <w:jc w:val="center"/>
              <w:rPr>
                <w:sz w:val="14"/>
                <w:szCs w:val="14"/>
              </w:rPr>
            </w:pPr>
            <w:r w:rsidRPr="005B7BEE">
              <w:rPr>
                <w:sz w:val="14"/>
                <w:szCs w:val="14"/>
              </w:rPr>
              <w:t>Negligible</w:t>
            </w:r>
          </w:p>
          <w:p w14:paraId="546DB7A2" w14:textId="77777777" w:rsidR="00F77691" w:rsidRPr="005B7BEE" w:rsidRDefault="00F77691" w:rsidP="000E1E7C">
            <w:pPr>
              <w:jc w:val="center"/>
              <w:rPr>
                <w:sz w:val="14"/>
                <w:szCs w:val="14"/>
              </w:rPr>
            </w:pPr>
          </w:p>
        </w:tc>
        <w:tc>
          <w:tcPr>
            <w:tcW w:w="0" w:type="auto"/>
            <w:tcBorders>
              <w:top w:val="single" w:sz="4" w:space="0" w:color="auto"/>
              <w:bottom w:val="single" w:sz="12" w:space="0" w:color="auto"/>
            </w:tcBorders>
            <w:vAlign w:val="center"/>
          </w:tcPr>
          <w:p w14:paraId="102AAD3A" w14:textId="77777777" w:rsidR="00F77691" w:rsidRPr="005B7BEE" w:rsidRDefault="00F77691" w:rsidP="000E1E7C">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04448B6" w14:textId="77777777" w:rsidR="00F77691" w:rsidRPr="005B7BEE" w:rsidRDefault="00F77691" w:rsidP="000E1E7C">
            <w:pPr>
              <w:jc w:val="center"/>
              <w:rPr>
                <w:sz w:val="14"/>
                <w:szCs w:val="14"/>
              </w:rPr>
            </w:pPr>
            <w:r w:rsidRPr="005B7BEE">
              <w:rPr>
                <w:sz w:val="14"/>
                <w:szCs w:val="14"/>
              </w:rPr>
              <w:t xml:space="preserve">Serious / </w:t>
            </w:r>
          </w:p>
          <w:p w14:paraId="66A64242" w14:textId="77777777" w:rsidR="00F77691" w:rsidRPr="005B7BEE" w:rsidRDefault="00F77691" w:rsidP="000E1E7C">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1348DD82" w14:textId="77777777" w:rsidR="00F77691" w:rsidRPr="005B7BEE" w:rsidRDefault="00F77691" w:rsidP="000E1E7C">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D667D8B" w14:textId="77777777" w:rsidR="00F77691" w:rsidRPr="005B7BEE" w:rsidRDefault="00F77691" w:rsidP="000E1E7C">
            <w:pPr>
              <w:jc w:val="center"/>
              <w:rPr>
                <w:sz w:val="14"/>
                <w:szCs w:val="14"/>
              </w:rPr>
            </w:pPr>
            <w:r w:rsidRPr="005B7BEE">
              <w:rPr>
                <w:sz w:val="14"/>
                <w:szCs w:val="14"/>
              </w:rPr>
              <w:t xml:space="preserve">Catastrophic </w:t>
            </w:r>
          </w:p>
          <w:p w14:paraId="0FEB3BFA" w14:textId="77777777" w:rsidR="00F77691" w:rsidRPr="005B7BEE" w:rsidRDefault="00F77691" w:rsidP="000E1E7C">
            <w:pPr>
              <w:jc w:val="center"/>
              <w:rPr>
                <w:sz w:val="14"/>
                <w:szCs w:val="14"/>
              </w:rPr>
            </w:pPr>
            <w:r w:rsidRPr="005B7BEE">
              <w:rPr>
                <w:sz w:val="14"/>
                <w:szCs w:val="14"/>
              </w:rPr>
              <w:t>/ Fatal</w:t>
            </w:r>
          </w:p>
        </w:tc>
      </w:tr>
      <w:tr w:rsidR="00F77691" w:rsidRPr="00F60A9B" w14:paraId="5CEDF4B9" w14:textId="77777777" w:rsidTr="000E1E7C">
        <w:trPr>
          <w:jc w:val="center"/>
        </w:trPr>
        <w:tc>
          <w:tcPr>
            <w:tcW w:w="0" w:type="auto"/>
            <w:tcBorders>
              <w:top w:val="single" w:sz="4" w:space="0" w:color="auto"/>
              <w:right w:val="single" w:sz="12" w:space="0" w:color="auto"/>
            </w:tcBorders>
          </w:tcPr>
          <w:p w14:paraId="214EA1EF" w14:textId="77777777" w:rsidR="00F77691" w:rsidRPr="005B7BEE" w:rsidRDefault="00F77691" w:rsidP="000E1E7C">
            <w:pPr>
              <w:rPr>
                <w:sz w:val="14"/>
                <w:szCs w:val="14"/>
              </w:rPr>
            </w:pPr>
            <w:r>
              <w:rPr>
                <w:sz w:val="14"/>
                <w:szCs w:val="14"/>
              </w:rPr>
              <w:t>Expected</w:t>
            </w:r>
          </w:p>
        </w:tc>
        <w:tc>
          <w:tcPr>
            <w:tcW w:w="0" w:type="auto"/>
            <w:tcBorders>
              <w:top w:val="single" w:sz="12" w:space="0" w:color="auto"/>
              <w:left w:val="single" w:sz="12" w:space="0" w:color="auto"/>
              <w:bottom w:val="single" w:sz="4" w:space="0" w:color="auto"/>
            </w:tcBorders>
          </w:tcPr>
          <w:p w14:paraId="60A7136E" w14:textId="77777777" w:rsidR="00F77691" w:rsidRPr="00F60A9B" w:rsidRDefault="00F77691" w:rsidP="000E1E7C">
            <w:pPr>
              <w:jc w:val="center"/>
            </w:pPr>
            <w:r>
              <w:t>0</w:t>
            </w:r>
          </w:p>
        </w:tc>
        <w:tc>
          <w:tcPr>
            <w:tcW w:w="0" w:type="auto"/>
            <w:tcBorders>
              <w:top w:val="single" w:sz="12" w:space="0" w:color="auto"/>
              <w:bottom w:val="single" w:sz="4" w:space="0" w:color="auto"/>
            </w:tcBorders>
          </w:tcPr>
          <w:p w14:paraId="04A1595A" w14:textId="77777777" w:rsidR="00F77691" w:rsidRPr="00210DD1" w:rsidRDefault="00F77691" w:rsidP="000E1E7C">
            <w:pPr>
              <w:jc w:val="center"/>
            </w:pPr>
            <w:r>
              <w:t>0</w:t>
            </w:r>
          </w:p>
        </w:tc>
        <w:tc>
          <w:tcPr>
            <w:tcW w:w="0" w:type="auto"/>
            <w:tcBorders>
              <w:top w:val="single" w:sz="12" w:space="0" w:color="auto"/>
              <w:bottom w:val="single" w:sz="4" w:space="0" w:color="auto"/>
            </w:tcBorders>
          </w:tcPr>
          <w:p w14:paraId="3CED84DF" w14:textId="77777777" w:rsidR="00F77691" w:rsidRPr="00210DD1" w:rsidRDefault="00F77691" w:rsidP="000E1E7C">
            <w:pPr>
              <w:jc w:val="center"/>
            </w:pPr>
            <w:r w:rsidRPr="00210DD1">
              <w:t>0</w:t>
            </w:r>
          </w:p>
        </w:tc>
        <w:tc>
          <w:tcPr>
            <w:tcW w:w="0" w:type="auto"/>
            <w:tcBorders>
              <w:top w:val="single" w:sz="12" w:space="0" w:color="auto"/>
              <w:bottom w:val="single" w:sz="4" w:space="0" w:color="auto"/>
            </w:tcBorders>
          </w:tcPr>
          <w:p w14:paraId="7F0F3B2C" w14:textId="77777777" w:rsidR="00F77691" w:rsidRPr="00210DD1" w:rsidRDefault="00F77691" w:rsidP="000E1E7C">
            <w:pPr>
              <w:jc w:val="center"/>
            </w:pPr>
            <w:r w:rsidRPr="00210DD1">
              <w:t>0</w:t>
            </w:r>
          </w:p>
        </w:tc>
        <w:tc>
          <w:tcPr>
            <w:tcW w:w="0" w:type="auto"/>
            <w:tcBorders>
              <w:top w:val="single" w:sz="12" w:space="0" w:color="auto"/>
              <w:bottom w:val="single" w:sz="4" w:space="0" w:color="auto"/>
            </w:tcBorders>
          </w:tcPr>
          <w:p w14:paraId="065DF0DD" w14:textId="77777777" w:rsidR="00F77691" w:rsidRPr="00F60A9B" w:rsidRDefault="00F77691" w:rsidP="000E1E7C">
            <w:pPr>
              <w:jc w:val="center"/>
            </w:pPr>
            <w:r>
              <w:t>0</w:t>
            </w:r>
          </w:p>
        </w:tc>
      </w:tr>
      <w:tr w:rsidR="00F77691" w:rsidRPr="00F60A9B" w14:paraId="722060AB" w14:textId="77777777" w:rsidTr="000E1E7C">
        <w:trPr>
          <w:jc w:val="center"/>
        </w:trPr>
        <w:tc>
          <w:tcPr>
            <w:tcW w:w="0" w:type="auto"/>
            <w:tcBorders>
              <w:right w:val="single" w:sz="12" w:space="0" w:color="auto"/>
            </w:tcBorders>
          </w:tcPr>
          <w:p w14:paraId="2FD23E04" w14:textId="77777777" w:rsidR="00F77691" w:rsidRPr="005B7BEE" w:rsidRDefault="00F77691" w:rsidP="000E1E7C">
            <w:pPr>
              <w:rPr>
                <w:sz w:val="14"/>
                <w:szCs w:val="14"/>
              </w:rPr>
            </w:pPr>
            <w:r>
              <w:rPr>
                <w:sz w:val="14"/>
                <w:szCs w:val="14"/>
              </w:rPr>
              <w:t>Often</w:t>
            </w:r>
          </w:p>
        </w:tc>
        <w:tc>
          <w:tcPr>
            <w:tcW w:w="0" w:type="auto"/>
            <w:tcBorders>
              <w:left w:val="single" w:sz="12" w:space="0" w:color="auto"/>
            </w:tcBorders>
          </w:tcPr>
          <w:p w14:paraId="2FA1ED01" w14:textId="77777777" w:rsidR="00F77691" w:rsidRDefault="00F77691" w:rsidP="000E1E7C">
            <w:pPr>
              <w:jc w:val="center"/>
            </w:pPr>
            <w:r>
              <w:t>0</w:t>
            </w:r>
          </w:p>
        </w:tc>
        <w:tc>
          <w:tcPr>
            <w:tcW w:w="0" w:type="auto"/>
          </w:tcPr>
          <w:p w14:paraId="720E1920" w14:textId="77777777" w:rsidR="00F77691" w:rsidRPr="00210DD1" w:rsidRDefault="00F77691" w:rsidP="000E1E7C">
            <w:pPr>
              <w:jc w:val="center"/>
            </w:pPr>
            <w:r>
              <w:t>0</w:t>
            </w:r>
          </w:p>
        </w:tc>
        <w:tc>
          <w:tcPr>
            <w:tcW w:w="0" w:type="auto"/>
          </w:tcPr>
          <w:p w14:paraId="21E6D1B2" w14:textId="77777777" w:rsidR="00F77691" w:rsidRPr="00210DD1" w:rsidRDefault="00F77691" w:rsidP="000E1E7C">
            <w:pPr>
              <w:jc w:val="center"/>
            </w:pPr>
            <w:r w:rsidRPr="00210DD1">
              <w:t>0</w:t>
            </w:r>
          </w:p>
        </w:tc>
        <w:tc>
          <w:tcPr>
            <w:tcW w:w="0" w:type="auto"/>
          </w:tcPr>
          <w:p w14:paraId="2F0750E3" w14:textId="77777777" w:rsidR="00F77691" w:rsidRPr="00210DD1" w:rsidRDefault="00F77691" w:rsidP="000E1E7C">
            <w:pPr>
              <w:jc w:val="center"/>
            </w:pPr>
            <w:r w:rsidRPr="00210DD1">
              <w:t>0</w:t>
            </w:r>
          </w:p>
        </w:tc>
        <w:tc>
          <w:tcPr>
            <w:tcW w:w="0" w:type="auto"/>
          </w:tcPr>
          <w:p w14:paraId="46B6E949" w14:textId="77777777" w:rsidR="00F77691" w:rsidRDefault="00F77691" w:rsidP="000E1E7C">
            <w:pPr>
              <w:jc w:val="center"/>
            </w:pPr>
            <w:r>
              <w:t>0</w:t>
            </w:r>
          </w:p>
        </w:tc>
      </w:tr>
      <w:tr w:rsidR="00F77691" w:rsidRPr="00F60A9B" w14:paraId="2A093EBB" w14:textId="77777777" w:rsidTr="000E1E7C">
        <w:trPr>
          <w:jc w:val="center"/>
        </w:trPr>
        <w:tc>
          <w:tcPr>
            <w:tcW w:w="0" w:type="auto"/>
            <w:tcBorders>
              <w:top w:val="single" w:sz="4" w:space="0" w:color="auto"/>
              <w:right w:val="single" w:sz="12" w:space="0" w:color="auto"/>
            </w:tcBorders>
          </w:tcPr>
          <w:p w14:paraId="5F298771" w14:textId="77777777" w:rsidR="00F77691" w:rsidRPr="005B7BEE" w:rsidRDefault="00F77691" w:rsidP="000E1E7C">
            <w:pPr>
              <w:rPr>
                <w:sz w:val="14"/>
                <w:szCs w:val="14"/>
              </w:rPr>
            </w:pPr>
            <w:r w:rsidRPr="005B7BEE">
              <w:rPr>
                <w:sz w:val="14"/>
                <w:szCs w:val="14"/>
              </w:rPr>
              <w:t>Frequent</w:t>
            </w:r>
          </w:p>
        </w:tc>
        <w:tc>
          <w:tcPr>
            <w:tcW w:w="0" w:type="auto"/>
            <w:tcBorders>
              <w:top w:val="single" w:sz="4" w:space="0" w:color="auto"/>
              <w:left w:val="single" w:sz="12" w:space="0" w:color="auto"/>
            </w:tcBorders>
          </w:tcPr>
          <w:p w14:paraId="573DD5B0" w14:textId="77777777" w:rsidR="00F77691" w:rsidRDefault="00F77691" w:rsidP="000E1E7C">
            <w:pPr>
              <w:jc w:val="center"/>
            </w:pPr>
            <w:r>
              <w:t>0</w:t>
            </w:r>
          </w:p>
        </w:tc>
        <w:tc>
          <w:tcPr>
            <w:tcW w:w="0" w:type="auto"/>
            <w:tcBorders>
              <w:top w:val="single" w:sz="4" w:space="0" w:color="auto"/>
            </w:tcBorders>
          </w:tcPr>
          <w:p w14:paraId="7A3BA065" w14:textId="77777777" w:rsidR="00F77691" w:rsidRPr="00210DD1" w:rsidRDefault="00F77691" w:rsidP="000E1E7C">
            <w:pPr>
              <w:jc w:val="center"/>
            </w:pPr>
            <w:r w:rsidRPr="00210DD1">
              <w:t>1</w:t>
            </w:r>
          </w:p>
        </w:tc>
        <w:tc>
          <w:tcPr>
            <w:tcW w:w="0" w:type="auto"/>
            <w:tcBorders>
              <w:top w:val="single" w:sz="4" w:space="0" w:color="auto"/>
            </w:tcBorders>
          </w:tcPr>
          <w:p w14:paraId="5C852C44" w14:textId="77777777" w:rsidR="00F77691" w:rsidRPr="00210DD1" w:rsidRDefault="00F77691" w:rsidP="000E1E7C">
            <w:pPr>
              <w:jc w:val="center"/>
            </w:pPr>
            <w:r w:rsidRPr="00210DD1">
              <w:t>0</w:t>
            </w:r>
          </w:p>
        </w:tc>
        <w:tc>
          <w:tcPr>
            <w:tcW w:w="0" w:type="auto"/>
            <w:tcBorders>
              <w:top w:val="single" w:sz="4" w:space="0" w:color="auto"/>
            </w:tcBorders>
          </w:tcPr>
          <w:p w14:paraId="7C0003FE" w14:textId="77777777" w:rsidR="00F77691" w:rsidRPr="00210DD1" w:rsidRDefault="00F77691" w:rsidP="000E1E7C">
            <w:pPr>
              <w:jc w:val="center"/>
            </w:pPr>
            <w:r w:rsidRPr="00210DD1">
              <w:t>0</w:t>
            </w:r>
          </w:p>
        </w:tc>
        <w:tc>
          <w:tcPr>
            <w:tcW w:w="0" w:type="auto"/>
            <w:tcBorders>
              <w:top w:val="single" w:sz="4" w:space="0" w:color="auto"/>
            </w:tcBorders>
          </w:tcPr>
          <w:p w14:paraId="27A61891" w14:textId="77777777" w:rsidR="00F77691" w:rsidRDefault="00F77691" w:rsidP="000E1E7C">
            <w:pPr>
              <w:jc w:val="center"/>
            </w:pPr>
            <w:r>
              <w:t>0</w:t>
            </w:r>
          </w:p>
        </w:tc>
      </w:tr>
      <w:tr w:rsidR="00F77691" w:rsidRPr="00F60A9B" w14:paraId="1E0BE663" w14:textId="77777777" w:rsidTr="000E1E7C">
        <w:trPr>
          <w:jc w:val="center"/>
        </w:trPr>
        <w:tc>
          <w:tcPr>
            <w:tcW w:w="0" w:type="auto"/>
            <w:tcBorders>
              <w:right w:val="single" w:sz="12" w:space="0" w:color="auto"/>
            </w:tcBorders>
          </w:tcPr>
          <w:p w14:paraId="3FB84D6C" w14:textId="77777777" w:rsidR="00F77691" w:rsidRPr="005B7BEE" w:rsidRDefault="00F77691" w:rsidP="000E1E7C">
            <w:pPr>
              <w:rPr>
                <w:sz w:val="14"/>
                <w:szCs w:val="14"/>
              </w:rPr>
            </w:pPr>
            <w:r w:rsidRPr="005B7BEE">
              <w:rPr>
                <w:sz w:val="14"/>
                <w:szCs w:val="14"/>
              </w:rPr>
              <w:t>Probable</w:t>
            </w:r>
          </w:p>
        </w:tc>
        <w:tc>
          <w:tcPr>
            <w:tcW w:w="0" w:type="auto"/>
            <w:tcBorders>
              <w:left w:val="single" w:sz="12" w:space="0" w:color="auto"/>
            </w:tcBorders>
          </w:tcPr>
          <w:p w14:paraId="1C7EF8A3" w14:textId="77777777" w:rsidR="00F77691" w:rsidRPr="00F60A9B" w:rsidRDefault="00F77691" w:rsidP="000E1E7C">
            <w:pPr>
              <w:jc w:val="center"/>
            </w:pPr>
            <w:r>
              <w:t>1</w:t>
            </w:r>
          </w:p>
        </w:tc>
        <w:tc>
          <w:tcPr>
            <w:tcW w:w="0" w:type="auto"/>
          </w:tcPr>
          <w:p w14:paraId="4E1534DE" w14:textId="77777777" w:rsidR="00F77691" w:rsidRPr="00210DD1" w:rsidRDefault="00F77691" w:rsidP="000E1E7C">
            <w:pPr>
              <w:jc w:val="center"/>
            </w:pPr>
            <w:r w:rsidRPr="00210DD1">
              <w:t>0</w:t>
            </w:r>
          </w:p>
        </w:tc>
        <w:tc>
          <w:tcPr>
            <w:tcW w:w="0" w:type="auto"/>
          </w:tcPr>
          <w:p w14:paraId="1E9A1692" w14:textId="77777777" w:rsidR="00F77691" w:rsidRPr="00210DD1" w:rsidRDefault="00F77691" w:rsidP="000E1E7C">
            <w:pPr>
              <w:jc w:val="center"/>
            </w:pPr>
            <w:r w:rsidRPr="00210DD1">
              <w:t>0</w:t>
            </w:r>
          </w:p>
        </w:tc>
        <w:tc>
          <w:tcPr>
            <w:tcW w:w="0" w:type="auto"/>
          </w:tcPr>
          <w:p w14:paraId="1860A46D" w14:textId="77777777" w:rsidR="00F77691" w:rsidRPr="00210DD1" w:rsidRDefault="00F77691" w:rsidP="000E1E7C">
            <w:pPr>
              <w:jc w:val="center"/>
            </w:pPr>
            <w:r w:rsidRPr="00210DD1">
              <w:t>0</w:t>
            </w:r>
          </w:p>
        </w:tc>
        <w:tc>
          <w:tcPr>
            <w:tcW w:w="0" w:type="auto"/>
          </w:tcPr>
          <w:p w14:paraId="4E90A4B7" w14:textId="77777777" w:rsidR="00F77691" w:rsidRPr="00F60A9B" w:rsidRDefault="00F77691" w:rsidP="000E1E7C">
            <w:pPr>
              <w:jc w:val="center"/>
            </w:pPr>
            <w:r>
              <w:t>0</w:t>
            </w:r>
          </w:p>
        </w:tc>
      </w:tr>
      <w:tr w:rsidR="00F77691" w:rsidRPr="00F60A9B" w14:paraId="792424C0" w14:textId="77777777" w:rsidTr="000E1E7C">
        <w:trPr>
          <w:jc w:val="center"/>
        </w:trPr>
        <w:tc>
          <w:tcPr>
            <w:tcW w:w="0" w:type="auto"/>
            <w:tcBorders>
              <w:right w:val="single" w:sz="12" w:space="0" w:color="auto"/>
            </w:tcBorders>
          </w:tcPr>
          <w:p w14:paraId="499218A4" w14:textId="77777777" w:rsidR="00F77691" w:rsidRPr="005B7BEE" w:rsidRDefault="00F77691" w:rsidP="000E1E7C">
            <w:pPr>
              <w:rPr>
                <w:sz w:val="14"/>
                <w:szCs w:val="14"/>
              </w:rPr>
            </w:pPr>
            <w:r w:rsidRPr="005B7BEE">
              <w:rPr>
                <w:sz w:val="14"/>
                <w:szCs w:val="14"/>
              </w:rPr>
              <w:t>Occasional</w:t>
            </w:r>
          </w:p>
        </w:tc>
        <w:tc>
          <w:tcPr>
            <w:tcW w:w="0" w:type="auto"/>
            <w:tcBorders>
              <w:left w:val="single" w:sz="12" w:space="0" w:color="auto"/>
            </w:tcBorders>
          </w:tcPr>
          <w:p w14:paraId="04C819A8" w14:textId="77777777" w:rsidR="00F77691" w:rsidRPr="00F60A9B" w:rsidRDefault="00F77691" w:rsidP="000E1E7C">
            <w:pPr>
              <w:jc w:val="center"/>
            </w:pPr>
            <w:r>
              <w:t>0</w:t>
            </w:r>
          </w:p>
        </w:tc>
        <w:tc>
          <w:tcPr>
            <w:tcW w:w="0" w:type="auto"/>
          </w:tcPr>
          <w:p w14:paraId="0B8CFFDA" w14:textId="77777777" w:rsidR="00F77691" w:rsidRPr="00210DD1" w:rsidRDefault="00F77691" w:rsidP="000E1E7C">
            <w:pPr>
              <w:jc w:val="center"/>
            </w:pPr>
            <w:r w:rsidRPr="00210DD1">
              <w:t>0</w:t>
            </w:r>
          </w:p>
        </w:tc>
        <w:tc>
          <w:tcPr>
            <w:tcW w:w="0" w:type="auto"/>
          </w:tcPr>
          <w:p w14:paraId="3B3FFC0D" w14:textId="77777777" w:rsidR="00F77691" w:rsidRPr="00210DD1" w:rsidRDefault="00F77691" w:rsidP="000E1E7C">
            <w:pPr>
              <w:jc w:val="center"/>
            </w:pPr>
            <w:r w:rsidRPr="00210DD1">
              <w:t>0</w:t>
            </w:r>
          </w:p>
        </w:tc>
        <w:tc>
          <w:tcPr>
            <w:tcW w:w="0" w:type="auto"/>
          </w:tcPr>
          <w:p w14:paraId="20B55EDC" w14:textId="77777777" w:rsidR="00F77691" w:rsidRPr="00210DD1" w:rsidRDefault="00F77691" w:rsidP="000E1E7C">
            <w:pPr>
              <w:jc w:val="center"/>
            </w:pPr>
            <w:r w:rsidRPr="00210DD1">
              <w:t>2</w:t>
            </w:r>
          </w:p>
        </w:tc>
        <w:tc>
          <w:tcPr>
            <w:tcW w:w="0" w:type="auto"/>
          </w:tcPr>
          <w:p w14:paraId="6904D31E" w14:textId="77777777" w:rsidR="00F77691" w:rsidRPr="00F60A9B" w:rsidRDefault="00F77691" w:rsidP="000E1E7C">
            <w:pPr>
              <w:jc w:val="center"/>
            </w:pPr>
            <w:r>
              <w:t>0</w:t>
            </w:r>
          </w:p>
        </w:tc>
      </w:tr>
      <w:tr w:rsidR="00F77691" w:rsidRPr="00F60A9B" w14:paraId="6830024A" w14:textId="77777777" w:rsidTr="000E1E7C">
        <w:trPr>
          <w:jc w:val="center"/>
        </w:trPr>
        <w:tc>
          <w:tcPr>
            <w:tcW w:w="0" w:type="auto"/>
            <w:tcBorders>
              <w:right w:val="single" w:sz="12" w:space="0" w:color="auto"/>
            </w:tcBorders>
          </w:tcPr>
          <w:p w14:paraId="7AA2C771" w14:textId="77777777" w:rsidR="00F77691" w:rsidRPr="005B7BEE" w:rsidRDefault="00F77691" w:rsidP="000E1E7C">
            <w:pPr>
              <w:rPr>
                <w:sz w:val="14"/>
                <w:szCs w:val="14"/>
              </w:rPr>
            </w:pPr>
            <w:r w:rsidRPr="005B7BEE">
              <w:rPr>
                <w:sz w:val="14"/>
                <w:szCs w:val="14"/>
              </w:rPr>
              <w:t>Remote</w:t>
            </w:r>
          </w:p>
        </w:tc>
        <w:tc>
          <w:tcPr>
            <w:tcW w:w="0" w:type="auto"/>
            <w:tcBorders>
              <w:left w:val="single" w:sz="12" w:space="0" w:color="auto"/>
            </w:tcBorders>
          </w:tcPr>
          <w:p w14:paraId="51CA3741" w14:textId="77777777" w:rsidR="00F77691" w:rsidRPr="00F60A9B" w:rsidRDefault="00F77691" w:rsidP="000E1E7C">
            <w:pPr>
              <w:jc w:val="center"/>
            </w:pPr>
            <w:r>
              <w:t>0</w:t>
            </w:r>
          </w:p>
        </w:tc>
        <w:tc>
          <w:tcPr>
            <w:tcW w:w="0" w:type="auto"/>
          </w:tcPr>
          <w:p w14:paraId="55B6A688" w14:textId="77777777" w:rsidR="00F77691" w:rsidRPr="00210DD1" w:rsidRDefault="00F77691" w:rsidP="000E1E7C">
            <w:pPr>
              <w:jc w:val="center"/>
            </w:pPr>
            <w:r w:rsidRPr="00210DD1">
              <w:t>0</w:t>
            </w:r>
          </w:p>
        </w:tc>
        <w:tc>
          <w:tcPr>
            <w:tcW w:w="0" w:type="auto"/>
          </w:tcPr>
          <w:p w14:paraId="5B1F9B27" w14:textId="77777777" w:rsidR="00F77691" w:rsidRPr="00210DD1" w:rsidRDefault="00F77691" w:rsidP="000E1E7C">
            <w:pPr>
              <w:jc w:val="center"/>
            </w:pPr>
            <w:r w:rsidRPr="00210DD1">
              <w:t>0</w:t>
            </w:r>
          </w:p>
        </w:tc>
        <w:tc>
          <w:tcPr>
            <w:tcW w:w="0" w:type="auto"/>
          </w:tcPr>
          <w:p w14:paraId="669008A6" w14:textId="77777777" w:rsidR="00F77691" w:rsidRPr="00210DD1" w:rsidRDefault="00F77691" w:rsidP="000E1E7C">
            <w:pPr>
              <w:jc w:val="center"/>
            </w:pPr>
            <w:r w:rsidRPr="00210DD1">
              <w:t>0</w:t>
            </w:r>
          </w:p>
        </w:tc>
        <w:tc>
          <w:tcPr>
            <w:tcW w:w="0" w:type="auto"/>
          </w:tcPr>
          <w:p w14:paraId="3EA8AE35" w14:textId="77777777" w:rsidR="00F77691" w:rsidRPr="00F60A9B" w:rsidRDefault="00F77691" w:rsidP="000E1E7C">
            <w:pPr>
              <w:jc w:val="center"/>
            </w:pPr>
            <w:r>
              <w:t>1</w:t>
            </w:r>
          </w:p>
        </w:tc>
      </w:tr>
      <w:tr w:rsidR="00F77691" w:rsidRPr="00F60A9B" w14:paraId="4B317B38" w14:textId="77777777" w:rsidTr="000E1E7C">
        <w:trPr>
          <w:jc w:val="center"/>
        </w:trPr>
        <w:tc>
          <w:tcPr>
            <w:tcW w:w="0" w:type="auto"/>
            <w:tcBorders>
              <w:right w:val="single" w:sz="12" w:space="0" w:color="auto"/>
            </w:tcBorders>
          </w:tcPr>
          <w:p w14:paraId="14D4C553" w14:textId="77777777" w:rsidR="00F77691" w:rsidRPr="005B7BEE" w:rsidRDefault="00F77691" w:rsidP="000E1E7C">
            <w:pPr>
              <w:rPr>
                <w:sz w:val="14"/>
                <w:szCs w:val="14"/>
              </w:rPr>
            </w:pPr>
            <w:r w:rsidRPr="005B7BEE">
              <w:rPr>
                <w:sz w:val="14"/>
                <w:szCs w:val="14"/>
              </w:rPr>
              <w:t>Improbable</w:t>
            </w:r>
          </w:p>
        </w:tc>
        <w:tc>
          <w:tcPr>
            <w:tcW w:w="0" w:type="auto"/>
            <w:tcBorders>
              <w:left w:val="single" w:sz="12" w:space="0" w:color="auto"/>
            </w:tcBorders>
          </w:tcPr>
          <w:p w14:paraId="41A2BEF8" w14:textId="77777777" w:rsidR="00F77691" w:rsidRPr="00F60A9B" w:rsidRDefault="00F77691" w:rsidP="000E1E7C">
            <w:pPr>
              <w:jc w:val="center"/>
            </w:pPr>
            <w:r>
              <w:t>0</w:t>
            </w:r>
          </w:p>
        </w:tc>
        <w:tc>
          <w:tcPr>
            <w:tcW w:w="0" w:type="auto"/>
          </w:tcPr>
          <w:p w14:paraId="1B850451" w14:textId="77777777" w:rsidR="00F77691" w:rsidRPr="00210DD1" w:rsidRDefault="00F77691" w:rsidP="000E1E7C">
            <w:pPr>
              <w:jc w:val="center"/>
            </w:pPr>
            <w:r w:rsidRPr="00210DD1">
              <w:t>0</w:t>
            </w:r>
          </w:p>
        </w:tc>
        <w:tc>
          <w:tcPr>
            <w:tcW w:w="0" w:type="auto"/>
          </w:tcPr>
          <w:p w14:paraId="59035132" w14:textId="77777777" w:rsidR="00F77691" w:rsidRPr="00210DD1" w:rsidRDefault="00F77691" w:rsidP="000E1E7C">
            <w:pPr>
              <w:jc w:val="center"/>
            </w:pPr>
            <w:r w:rsidRPr="00210DD1">
              <w:t>1</w:t>
            </w:r>
          </w:p>
        </w:tc>
        <w:tc>
          <w:tcPr>
            <w:tcW w:w="0" w:type="auto"/>
          </w:tcPr>
          <w:p w14:paraId="6F4EC6B9" w14:textId="77777777" w:rsidR="00F77691" w:rsidRPr="00210DD1" w:rsidRDefault="00F77691" w:rsidP="000E1E7C">
            <w:pPr>
              <w:jc w:val="center"/>
            </w:pPr>
            <w:r w:rsidRPr="00210DD1">
              <w:t>0</w:t>
            </w:r>
          </w:p>
        </w:tc>
        <w:tc>
          <w:tcPr>
            <w:tcW w:w="0" w:type="auto"/>
          </w:tcPr>
          <w:p w14:paraId="3C2AA610" w14:textId="77777777" w:rsidR="00F77691" w:rsidRPr="00F60A9B" w:rsidRDefault="00F77691" w:rsidP="000E1E7C">
            <w:pPr>
              <w:keepNext/>
              <w:jc w:val="center"/>
            </w:pPr>
            <w:r>
              <w:t>0</w:t>
            </w:r>
          </w:p>
        </w:tc>
      </w:tr>
    </w:tbl>
    <w:p w14:paraId="4450F127" w14:textId="7E7C52F9" w:rsidR="00F77691" w:rsidRPr="006921FF" w:rsidRDefault="00F77691" w:rsidP="00F77691">
      <w:pPr>
        <w:pStyle w:val="Caption"/>
        <w:spacing w:before="80"/>
        <w:jc w:val="center"/>
        <w:rPr>
          <w:rFonts w:eastAsiaTheme="minorEastAsia"/>
        </w:rPr>
      </w:pPr>
      <w:bookmarkStart w:id="43" w:name="_Ref145006272"/>
      <w:r w:rsidRPr="006921FF">
        <w:t xml:space="preserve">Table </w:t>
      </w:r>
      <w:r>
        <w:fldChar w:fldCharType="begin"/>
      </w:r>
      <w:r>
        <w:instrText xml:space="preserve"> SEQ Table \* ARABIC </w:instrText>
      </w:r>
      <w:r>
        <w:fldChar w:fldCharType="separate"/>
      </w:r>
      <w:r w:rsidR="001E41EA">
        <w:rPr>
          <w:noProof/>
        </w:rPr>
        <w:t>8</w:t>
      </w:r>
      <w:r>
        <w:rPr>
          <w:noProof/>
        </w:rPr>
        <w:fldChar w:fldCharType="end"/>
      </w:r>
      <w:bookmarkEnd w:id="43"/>
      <w:r w:rsidRPr="006921FF">
        <w:t xml:space="preserve"> </w:t>
      </w:r>
      <w:r w:rsidR="00C76819">
        <w:t>– Representing the Set of Risks in</w:t>
      </w:r>
      <w:r w:rsidRPr="006921FF">
        <w:rPr>
          <w:rFonts w:eastAsiaTheme="minorEastAsia"/>
        </w:rPr>
        <w:t xml:space="preserve"> </w:t>
      </w:r>
      <m:oMath>
        <m:r>
          <w:rPr>
            <w:rFonts w:ascii="Cambria Math" w:eastAsiaTheme="minorEastAsia" w:hAnsi="Cambria Math"/>
          </w:rPr>
          <m:t>R</m:t>
        </m:r>
      </m:oMath>
      <w:r w:rsidRPr="006921FF">
        <w:t xml:space="preserve"> in a Table </w:t>
      </w:r>
      <w:r w:rsidR="00C76819">
        <w:t>F</w:t>
      </w:r>
      <w:r w:rsidRPr="006921FF">
        <w:t>ormat</w:t>
      </w:r>
    </w:p>
    <w:p w14:paraId="0BDDE48C" w14:textId="2496D5A1" w:rsidR="00F77691" w:rsidRDefault="00F77691" w:rsidP="00F77691">
      <w:pPr>
        <w:rPr>
          <w:rFonts w:eastAsiaTheme="minorEastAsia"/>
        </w:rPr>
      </w:pPr>
      <w:r w:rsidRPr="006921FF">
        <w:rPr>
          <w:rFonts w:eastAsiaTheme="minorEastAsia"/>
        </w:rPr>
        <w:t xml:space="preserve">Just as we used </w:t>
      </w:r>
      <w:r w:rsidRPr="006921FF">
        <w:rPr>
          <w:rFonts w:eastAsiaTheme="minorEastAsia"/>
        </w:rPr>
        <w:fldChar w:fldCharType="begin"/>
      </w:r>
      <w:r w:rsidRPr="006921FF">
        <w:rPr>
          <w:rFonts w:eastAsiaTheme="minorEastAsia"/>
        </w:rPr>
        <w:instrText xml:space="preserve"> REF _Ref145006272 \h </w:instrText>
      </w:r>
      <w:r>
        <w:rPr>
          <w:rFonts w:eastAsiaTheme="minorEastAsia"/>
        </w:rPr>
        <w:instrText xml:space="preserve"> \* MERGEFORMAT </w:instrText>
      </w:r>
      <w:r w:rsidRPr="006921FF">
        <w:rPr>
          <w:rFonts w:eastAsiaTheme="minorEastAsia"/>
        </w:rPr>
      </w:r>
      <w:r w:rsidRPr="006921FF">
        <w:rPr>
          <w:rFonts w:eastAsiaTheme="minorEastAsia"/>
        </w:rPr>
        <w:fldChar w:fldCharType="separate"/>
      </w:r>
      <w:r w:rsidR="001E41EA" w:rsidRPr="006921FF">
        <w:t xml:space="preserve">Table </w:t>
      </w:r>
      <w:r w:rsidR="001E41EA">
        <w:rPr>
          <w:noProof/>
        </w:rPr>
        <w:t>8</w:t>
      </w:r>
      <w:r w:rsidRPr="006921FF">
        <w:rPr>
          <w:rFonts w:eastAsiaTheme="minorEastAsia"/>
        </w:rPr>
        <w:fldChar w:fldCharType="end"/>
      </w:r>
      <w:r w:rsidRPr="006921FF">
        <w:rPr>
          <w:rFonts w:eastAsiaTheme="minorEastAsia"/>
        </w:rPr>
        <w:t xml:space="preserve"> to represent the </w:t>
      </w:r>
      <w:r w:rsidR="00C76819">
        <w:rPr>
          <w:rFonts w:eastAsiaTheme="minorEastAsia"/>
        </w:rPr>
        <w:t xml:space="preserve">set of </w:t>
      </w:r>
      <w:r w:rsidRPr="006921FF">
        <w:rPr>
          <w:rFonts w:eastAsiaTheme="minorEastAsia"/>
        </w:rPr>
        <w:t xml:space="preserve">risks in </w:t>
      </w:r>
      <m:oMath>
        <m:r>
          <w:rPr>
            <w:rFonts w:ascii="Cambria Math" w:eastAsiaTheme="minorEastAsia" w:hAnsi="Cambria Math"/>
          </w:rPr>
          <m:t>R</m:t>
        </m:r>
      </m:oMath>
      <w:r w:rsidRPr="006921FF">
        <w:rPr>
          <w:rFonts w:eastAsiaTheme="minorEastAsia"/>
        </w:rPr>
        <w:t xml:space="preserve">, </w:t>
      </w:r>
      <w:r w:rsidR="00C76819">
        <w:rPr>
          <w:rFonts w:eastAsiaTheme="minorEastAsia"/>
        </w:rPr>
        <w:t xml:space="preserve">we </w:t>
      </w:r>
      <w:r w:rsidRPr="006921FF">
        <w:rPr>
          <w:rFonts w:eastAsiaTheme="minorEastAsia"/>
        </w:rPr>
        <w:t xml:space="preserve">will use similar tables to represent the </w:t>
      </w:r>
      <w:r w:rsidR="00C76819">
        <w:rPr>
          <w:rFonts w:eastAsiaTheme="minorEastAsia"/>
        </w:rPr>
        <w:t xml:space="preserve">sets of </w:t>
      </w:r>
      <w:r w:rsidRPr="006921FF">
        <w:rPr>
          <w:rFonts w:eastAsiaTheme="minorEastAsia"/>
        </w:rPr>
        <w:t xml:space="preserve">risks 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6921FF">
        <w:rPr>
          <w:rFonts w:eastAsiaTheme="minorEastAsia"/>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Pr>
          <w:rFonts w:eastAsiaTheme="minorEastAsia"/>
        </w:rPr>
        <w:t xml:space="preserve">.  </w:t>
      </w:r>
    </w:p>
    <w:p w14:paraId="5A95748C" w14:textId="3CF36622" w:rsidR="00F77691" w:rsidRDefault="00F77691" w:rsidP="00F77691">
      <w:r>
        <w:rPr>
          <w:rFonts w:eastAsiaTheme="minorEastAsia"/>
        </w:rPr>
        <w:t xml:space="preserve">By substituting the tables that contain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001E2E38">
        <w:rPr>
          <w:rFonts w:eastAsiaTheme="minorEastAsia"/>
        </w:rPr>
        <w:t>,</w:t>
      </w:r>
      <w:r w:rsidRPr="00F60A9B">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001E2E38">
        <w:rPr>
          <w:rFonts w:eastAsiaTheme="minorEastAsia"/>
        </w:rPr>
        <w:t xml:space="preserve">, and </w:t>
      </w:r>
      <m:oMath>
        <m:r>
          <w:rPr>
            <w:rFonts w:ascii="Cambria Math" w:eastAsiaTheme="minorEastAsia" w:hAnsi="Cambria Math"/>
          </w:rPr>
          <m:t>R</m:t>
        </m:r>
      </m:oMath>
      <w:r>
        <w:t xml:space="preserve"> into </w:t>
      </w:r>
      <w:r>
        <w:fldChar w:fldCharType="begin"/>
      </w:r>
      <w:r>
        <w:instrText xml:space="preserve"> REF _Ref141189516 \h </w:instrText>
      </w:r>
      <w:r>
        <w:fldChar w:fldCharType="separate"/>
      </w:r>
      <w:r w:rsidR="001E41EA" w:rsidRPr="00F60A9B">
        <w:t xml:space="preserve">Equation </w:t>
      </w:r>
      <w:r w:rsidR="001E41EA">
        <w:rPr>
          <w:noProof/>
        </w:rPr>
        <w:t>5</w:t>
      </w:r>
      <w:r>
        <w:fldChar w:fldCharType="end"/>
      </w:r>
      <w:r>
        <w:t>, we get</w:t>
      </w:r>
      <w:r w:rsidR="001E2E38">
        <w:t xml:space="preserve"> a ‘table version’ of </w:t>
      </w:r>
      <w:r w:rsidR="001E2E38">
        <w:fldChar w:fldCharType="begin"/>
      </w:r>
      <w:r w:rsidR="001E2E38">
        <w:instrText xml:space="preserve"> REF _Ref141189516 \h </w:instrText>
      </w:r>
      <w:r w:rsidR="001E2E38">
        <w:fldChar w:fldCharType="separate"/>
      </w:r>
      <w:r w:rsidR="001E41EA" w:rsidRPr="00F60A9B">
        <w:t xml:space="preserve">Equation </w:t>
      </w:r>
      <w:r w:rsidR="001E41EA">
        <w:rPr>
          <w:noProof/>
        </w:rPr>
        <w:t>5</w:t>
      </w:r>
      <w:r w:rsidR="001E2E38">
        <w:fldChar w:fldCharType="end"/>
      </w:r>
      <w:r>
        <w:t xml:space="preserve">: </w:t>
      </w:r>
    </w:p>
    <w:p w14:paraId="32A506B6" w14:textId="77777777" w:rsidR="00F77691" w:rsidRPr="009522F4" w:rsidRDefault="00000000" w:rsidP="00F77691">
      <w:pPr>
        <w:rPr>
          <w:rFonts w:eastAsiaTheme="minorEastAsia"/>
        </w:rPr>
      </w:pPr>
      <m:oMathPara>
        <m:oMath>
          <m:sSub>
            <m:sSubPr>
              <m:ctrlPr>
                <w:rPr>
                  <w:rFonts w:ascii="Cambria Math" w:hAnsi="Cambria Math"/>
                  <w:i/>
                </w:rPr>
              </m:ctrlPr>
            </m:sSubPr>
            <m:e>
              <m:r>
                <w:rPr>
                  <w:rFonts w:ascii="Cambria Math" w:hAnsi="Cambria Math"/>
                </w:rPr>
                <m:t>Table</m:t>
              </m:r>
            </m:e>
            <m:sub>
              <m:sSub>
                <m:sSubPr>
                  <m:ctrlPr>
                    <w:rPr>
                      <w:rFonts w:ascii="Cambria Math" w:hAnsi="Cambria Math"/>
                      <w:i/>
                    </w:rPr>
                  </m:ctrlPr>
                </m:sSubPr>
                <m:e>
                  <m:r>
                    <w:rPr>
                      <w:rFonts w:ascii="Cambria Math" w:hAnsi="Cambria Math"/>
                    </w:rPr>
                    <m:t>R</m:t>
                  </m:r>
                </m:e>
                <m:sub>
                  <m:r>
                    <w:rPr>
                      <w:rFonts w:ascii="Cambria Math" w:hAnsi="Cambria Math"/>
                    </w:rPr>
                    <m:t>B</m:t>
                  </m:r>
                </m:sub>
              </m:sSub>
            </m:sub>
          </m:sSub>
          <m:r>
            <w:rPr>
              <w:rFonts w:ascii="Cambria Math" w:hAnsi="Cambria Math"/>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r>
            <w:rPr>
              <w:rFonts w:ascii="Cambria Math" w:hAnsi="Cambria Math"/>
            </w:rPr>
            <m:t xml:space="preserve"> </m:t>
          </m:r>
          <m:r>
            <w:rPr>
              <w:rFonts w:ascii="Cambria Math" w:eastAsiaTheme="minorEastAsia" w:hAnsi="Cambria Math"/>
            </w:rPr>
            <m:t>⋃</m:t>
          </m:r>
          <m:r>
            <w:rPr>
              <w:rFonts w:ascii="Cambria Math" w:hAnsi="Cambria Math"/>
            </w:rPr>
            <m:t xml:space="preserve"> </m:t>
          </m:r>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m:oMathPara>
    </w:p>
    <w:p w14:paraId="7FFF4483" w14:textId="7DF0E9FF" w:rsidR="00F77691" w:rsidRDefault="00F77691" w:rsidP="00F77691">
      <w:pPr>
        <w:rPr>
          <w:rFonts w:eastAsiaTheme="minorEastAsia"/>
        </w:rPr>
      </w:pPr>
      <w:r>
        <w:rPr>
          <w:rFonts w:eastAsiaTheme="minorEastAsia"/>
        </w:rPr>
        <w:lastRenderedPageBreak/>
        <w:t xml:space="preserve">We can simplify </w:t>
      </w:r>
      <w:r w:rsidR="001E2E38">
        <w:rPr>
          <w:rFonts w:eastAsiaTheme="minorEastAsia"/>
        </w:rPr>
        <w:t xml:space="preserve">the right-hand side of the previous equation as follows: </w:t>
      </w:r>
    </w:p>
    <w:p w14:paraId="0C4B047F" w14:textId="77777777" w:rsidR="000E468E" w:rsidRDefault="00000000" w:rsidP="000E468E">
      <w:pPr>
        <w:pStyle w:val="Caption"/>
        <w:rPr>
          <w:rFonts w:eastAsiaTheme="minorEastAsia"/>
        </w:rPr>
      </w:pPr>
      <m:oMathPara>
        <m:oMath>
          <m:sSub>
            <m:sSubPr>
              <m:ctrlPr>
                <w:rPr>
                  <w:rFonts w:ascii="Cambria Math" w:hAnsi="Cambria Math"/>
                </w:rPr>
              </m:ctrlPr>
            </m:sSubPr>
            <m:e>
              <m:r>
                <w:rPr>
                  <w:rFonts w:ascii="Cambria Math" w:hAnsi="Cambria Math"/>
                </w:rPr>
                <m:t>Table</m:t>
              </m:r>
            </m:e>
            <m:sub>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A</m:t>
                  </m:r>
                </m:sub>
              </m:sSub>
            </m:sub>
          </m:sSub>
          <m:r>
            <w:rPr>
              <w:rFonts w:ascii="Cambria Math" w:hAnsi="Cambria Math"/>
            </w:rPr>
            <m:t xml:space="preserve"> </m:t>
          </m:r>
          <m:r>
            <w:rPr>
              <w:rFonts w:ascii="Cambria Math" w:eastAsiaTheme="minorEastAsia" w:hAnsi="Cambria Math"/>
            </w:rPr>
            <m:t>⋃</m:t>
          </m:r>
          <m:r>
            <w:rPr>
              <w:rFonts w:ascii="Cambria Math" w:hAnsi="Cambria Math"/>
            </w:rPr>
            <m:t xml:space="preserve"> </m:t>
          </m:r>
          <m:sSub>
            <m:sSubPr>
              <m:ctrlPr>
                <w:rPr>
                  <w:rFonts w:ascii="Cambria Math" w:hAnsi="Cambria Math"/>
                </w:rPr>
              </m:ctrlPr>
            </m:sSubPr>
            <m:e>
              <m:r>
                <w:rPr>
                  <w:rFonts w:ascii="Cambria Math" w:hAnsi="Cambria Math"/>
                </w:rPr>
                <m:t>Table</m:t>
              </m:r>
            </m:e>
            <m:sub>
              <m:r>
                <w:rPr>
                  <w:rFonts w:ascii="Cambria Math" w:eastAsiaTheme="minorEastAsia" w:hAnsi="Cambria Math"/>
                </w:rPr>
                <m:t>R</m:t>
              </m:r>
            </m:sub>
          </m:sSub>
          <m:r>
            <w:rPr>
              <w:rFonts w:ascii="Cambria Math" w:eastAsiaTheme="minorEastAsia" w:hAnsi="Cambria Math"/>
            </w:rPr>
            <m:t xml:space="preserve">= </m:t>
          </m:r>
          <m:sSub>
            <m:sSubPr>
              <m:ctrlPr>
                <w:rPr>
                  <w:rFonts w:ascii="Cambria Math" w:hAnsi="Cambria Math"/>
                </w:rPr>
              </m:ctrlPr>
            </m:sSubPr>
            <m:e>
              <m:r>
                <w:rPr>
                  <w:rFonts w:ascii="Cambria Math" w:hAnsi="Cambria Math"/>
                </w:rPr>
                <m:t>Table</m:t>
              </m:r>
            </m:e>
            <m:sub>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sub>
          </m:sSub>
        </m:oMath>
      </m:oMathPara>
    </w:p>
    <w:p w14:paraId="7EF451F8" w14:textId="5FE3AD78" w:rsidR="00F77691" w:rsidRPr="009522F4" w:rsidRDefault="000E468E" w:rsidP="000E468E">
      <w:pPr>
        <w:pStyle w:val="Caption"/>
        <w:jc w:val="right"/>
        <w:rPr>
          <w:rFonts w:eastAsiaTheme="minorEastAsia"/>
        </w:rPr>
      </w:pPr>
      <w:bookmarkStart w:id="44" w:name="_Ref147988186"/>
      <w:r>
        <w:t xml:space="preserve">Equation </w:t>
      </w:r>
      <w:r>
        <w:fldChar w:fldCharType="begin"/>
      </w:r>
      <w:r>
        <w:instrText xml:space="preserve"> SEQ Equation \* ARABIC </w:instrText>
      </w:r>
      <w:r>
        <w:fldChar w:fldCharType="separate"/>
      </w:r>
      <w:r w:rsidR="003468AE">
        <w:rPr>
          <w:noProof/>
        </w:rPr>
        <w:t>7</w:t>
      </w:r>
      <w:r>
        <w:rPr>
          <w:noProof/>
        </w:rPr>
        <w:fldChar w:fldCharType="end"/>
      </w:r>
      <w:bookmarkEnd w:id="44"/>
    </w:p>
    <w:p w14:paraId="7DF98503" w14:textId="77777777" w:rsidR="00F77691" w:rsidRDefault="00F77691" w:rsidP="00F77691">
      <w:pPr>
        <w:rPr>
          <w:rFonts w:eastAsiaTheme="minorEastAsia"/>
        </w:rPr>
      </w:pPr>
      <w:r>
        <w:rPr>
          <w:rFonts w:eastAsiaTheme="minorEastAsia"/>
        </w:rPr>
        <w:t xml:space="preserve">with standard matrix addition; i.e., by adding the risk count in corresponding cells of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Pr>
          <w:rFonts w:eastAsiaTheme="minorEastAsia"/>
        </w:rPr>
        <w:t xml:space="preserve"> and putting the sum into the same cell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sub>
        </m:sSub>
      </m:oMath>
      <w:r>
        <w:rPr>
          <w:rFonts w:eastAsiaTheme="minorEastAsia"/>
        </w:rPr>
        <w:t xml:space="preserve">.  </w:t>
      </w:r>
    </w:p>
    <w:p w14:paraId="6870AFE9" w14:textId="22B90A29" w:rsidR="00F77691" w:rsidRDefault="00F77691" w:rsidP="00F77691">
      <w:r>
        <w:rPr>
          <w:rFonts w:eastAsiaTheme="minorEastAsia"/>
        </w:rPr>
        <w:t xml:space="preserve">With this simplification, </w:t>
      </w:r>
      <w:r>
        <w:rPr>
          <w:rFonts w:eastAsiaTheme="minorEastAsia"/>
        </w:rPr>
        <w:fldChar w:fldCharType="begin"/>
      </w:r>
      <w:r>
        <w:rPr>
          <w:rFonts w:eastAsiaTheme="minorEastAsia"/>
        </w:rPr>
        <w:instrText xml:space="preserve"> REF _Ref141189516 \h </w:instrText>
      </w:r>
      <w:r>
        <w:rPr>
          <w:rFonts w:eastAsiaTheme="minorEastAsia"/>
        </w:rPr>
      </w:r>
      <w:r>
        <w:rPr>
          <w:rFonts w:eastAsiaTheme="minorEastAsia"/>
        </w:rPr>
        <w:fldChar w:fldCharType="separate"/>
      </w:r>
      <w:r w:rsidR="001E41EA" w:rsidRPr="00F60A9B">
        <w:t xml:space="preserve">Equation </w:t>
      </w:r>
      <w:r w:rsidR="001E41EA">
        <w:rPr>
          <w:noProof/>
        </w:rPr>
        <w:t>5</w:t>
      </w:r>
      <w:r>
        <w:rPr>
          <w:rFonts w:eastAsiaTheme="minorEastAsia"/>
        </w:rPr>
        <w:fldChar w:fldCharType="end"/>
      </w:r>
      <w:r>
        <w:rPr>
          <w:rFonts w:eastAsiaTheme="minorEastAsia"/>
        </w:rPr>
        <w:t xml:space="preserve"> becomes </w:t>
      </w:r>
      <w:r>
        <w:rPr>
          <w:rFonts w:eastAsiaTheme="minorEastAsia"/>
        </w:rPr>
        <w:fldChar w:fldCharType="begin"/>
      </w:r>
      <w:r>
        <w:rPr>
          <w:rFonts w:eastAsiaTheme="minorEastAsia"/>
        </w:rPr>
        <w:instrText xml:space="preserve"> REF _Ref146118226 \h </w:instrText>
      </w:r>
      <w:r>
        <w:rPr>
          <w:rFonts w:eastAsiaTheme="minorEastAsia"/>
        </w:rPr>
      </w:r>
      <w:r>
        <w:rPr>
          <w:rFonts w:eastAsiaTheme="minorEastAsia"/>
        </w:rPr>
        <w:fldChar w:fldCharType="separate"/>
      </w:r>
      <w:r w:rsidR="001E41EA">
        <w:t xml:space="preserve">Equation </w:t>
      </w:r>
      <w:r w:rsidR="001E41EA">
        <w:rPr>
          <w:noProof/>
        </w:rPr>
        <w:t>8</w:t>
      </w:r>
      <w:r>
        <w:rPr>
          <w:rFonts w:eastAsiaTheme="minorEastAsia"/>
        </w:rPr>
        <w:fldChar w:fldCharType="end"/>
      </w:r>
      <w:r>
        <w:rPr>
          <w:rFonts w:eastAsiaTheme="minorEastAsia"/>
        </w:rPr>
        <w:t xml:space="preserve">, below:  </w:t>
      </w:r>
    </w:p>
    <w:p w14:paraId="4619662B" w14:textId="77777777" w:rsidR="00F77691" w:rsidRDefault="00000000" w:rsidP="00F77691">
      <m:oMathPara>
        <m:oMath>
          <m:sSub>
            <m:sSubPr>
              <m:ctrlPr>
                <w:rPr>
                  <w:rFonts w:ascii="Cambria Math" w:hAnsi="Cambria Math"/>
                  <w:i/>
                </w:rPr>
              </m:ctrlPr>
            </m:sSubPr>
            <m:e>
              <m:r>
                <w:rPr>
                  <w:rFonts w:ascii="Cambria Math" w:hAnsi="Cambria Math"/>
                </w:rPr>
                <m:t>Table</m:t>
              </m:r>
            </m:e>
            <m:sub>
              <m:sSub>
                <m:sSubPr>
                  <m:ctrlPr>
                    <w:rPr>
                      <w:rFonts w:ascii="Cambria Math" w:hAnsi="Cambria Math"/>
                      <w:i/>
                    </w:rPr>
                  </m:ctrlPr>
                </m:sSubPr>
                <m:e>
                  <m:r>
                    <w:rPr>
                      <w:rFonts w:ascii="Cambria Math" w:hAnsi="Cambria Math"/>
                    </w:rPr>
                    <m:t>R</m:t>
                  </m:r>
                </m:e>
                <m:sub>
                  <m:r>
                    <w:rPr>
                      <w:rFonts w:ascii="Cambria Math" w:hAnsi="Cambria Math"/>
                    </w:rPr>
                    <m:t>B</m:t>
                  </m:r>
                </m:sub>
              </m:sSub>
            </m:sub>
          </m:sSub>
          <m:r>
            <w:rPr>
              <w:rFonts w:ascii="Cambria Math" w:hAnsi="Cambria Math"/>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 xml:space="preserve"> </m:t>
          </m:r>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r>
                <w:rPr>
                  <w:rFonts w:ascii="Cambria Math" w:eastAsiaTheme="minorEastAsia" w:hAnsi="Cambria Math"/>
                </w:rPr>
                <m:t>⋃ R</m:t>
              </m:r>
            </m:sub>
          </m:sSub>
        </m:oMath>
      </m:oMathPara>
    </w:p>
    <w:p w14:paraId="5771685F" w14:textId="3E5BE4C9" w:rsidR="00F77691" w:rsidRDefault="00F77691" w:rsidP="00F77691">
      <w:pPr>
        <w:pStyle w:val="Caption"/>
        <w:jc w:val="right"/>
      </w:pPr>
      <w:bookmarkStart w:id="45" w:name="_Ref146118226"/>
      <w:r>
        <w:t xml:space="preserve">Equation </w:t>
      </w:r>
      <w:r>
        <w:fldChar w:fldCharType="begin"/>
      </w:r>
      <w:r>
        <w:instrText xml:space="preserve"> SEQ Equation \* ARABIC </w:instrText>
      </w:r>
      <w:r>
        <w:fldChar w:fldCharType="separate"/>
      </w:r>
      <w:r w:rsidR="003468AE">
        <w:rPr>
          <w:noProof/>
        </w:rPr>
        <w:t>8</w:t>
      </w:r>
      <w:r>
        <w:rPr>
          <w:noProof/>
        </w:rPr>
        <w:fldChar w:fldCharType="end"/>
      </w:r>
      <w:bookmarkEnd w:id="45"/>
    </w:p>
    <w:p w14:paraId="34BDDBCE" w14:textId="77777777" w:rsidR="00F77691" w:rsidRDefault="00F77691" w:rsidP="00F77691">
      <w:r>
        <w:t xml:space="preserve">Or, in table form,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426"/>
        <w:gridCol w:w="874"/>
        <w:gridCol w:w="780"/>
        <w:gridCol w:w="565"/>
        <w:gridCol w:w="634"/>
        <w:gridCol w:w="607"/>
        <w:gridCol w:w="928"/>
      </w:tblGrid>
      <w:tr w:rsidR="00F77691" w:rsidRPr="00F60A9B" w14:paraId="0325E4AE" w14:textId="77777777" w:rsidTr="000E1E7C">
        <w:trPr>
          <w:tblHeader/>
          <w:jc w:val="center"/>
        </w:trPr>
        <w:tc>
          <w:tcPr>
            <w:tcW w:w="0" w:type="auto"/>
            <w:tcBorders>
              <w:top w:val="nil"/>
              <w:left w:val="nil"/>
              <w:bottom w:val="single" w:sz="4" w:space="0" w:color="auto"/>
            </w:tcBorders>
            <w:vAlign w:val="center"/>
          </w:tcPr>
          <w:p w14:paraId="72A638C3" w14:textId="77777777" w:rsidR="00F77691" w:rsidRPr="00F60A9B" w:rsidRDefault="00000000" w:rsidP="000E1E7C">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6DDC8341" w14:textId="77777777" w:rsidR="00F77691" w:rsidRPr="005B7BEE" w:rsidRDefault="00F77691" w:rsidP="000E1E7C">
            <w:pPr>
              <w:jc w:val="center"/>
              <w:rPr>
                <w:sz w:val="14"/>
                <w:szCs w:val="14"/>
              </w:rPr>
            </w:pPr>
            <w:r w:rsidRPr="005B7BEE">
              <w:rPr>
                <w:sz w:val="14"/>
                <w:szCs w:val="14"/>
              </w:rPr>
              <w:t>Negligible</w:t>
            </w:r>
          </w:p>
          <w:p w14:paraId="3FA43C8A" w14:textId="77777777" w:rsidR="00F77691" w:rsidRPr="005B7BEE" w:rsidRDefault="00F77691" w:rsidP="000E1E7C">
            <w:pPr>
              <w:jc w:val="center"/>
              <w:rPr>
                <w:sz w:val="14"/>
                <w:szCs w:val="14"/>
              </w:rPr>
            </w:pPr>
          </w:p>
        </w:tc>
        <w:tc>
          <w:tcPr>
            <w:tcW w:w="0" w:type="auto"/>
            <w:tcBorders>
              <w:top w:val="single" w:sz="4" w:space="0" w:color="auto"/>
              <w:bottom w:val="single" w:sz="12" w:space="0" w:color="auto"/>
            </w:tcBorders>
            <w:vAlign w:val="center"/>
          </w:tcPr>
          <w:p w14:paraId="1AB35194" w14:textId="77777777" w:rsidR="00F77691" w:rsidRPr="005B7BEE" w:rsidRDefault="00F77691" w:rsidP="000E1E7C">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6C4D4D44" w14:textId="77777777" w:rsidR="00F77691" w:rsidRPr="005B7BEE" w:rsidRDefault="00F77691" w:rsidP="000E1E7C">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C9A13E0" w14:textId="77777777" w:rsidR="00F77691" w:rsidRPr="005B7BEE" w:rsidRDefault="00F77691" w:rsidP="000E1E7C">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DF9610C" w14:textId="77777777" w:rsidR="00F77691" w:rsidRPr="005B7BEE" w:rsidRDefault="00F77691" w:rsidP="000E1E7C">
            <w:pPr>
              <w:jc w:val="center"/>
              <w:rPr>
                <w:sz w:val="14"/>
                <w:szCs w:val="14"/>
              </w:rPr>
            </w:pPr>
            <w:r w:rsidRPr="005B7BEE">
              <w:rPr>
                <w:sz w:val="14"/>
                <w:szCs w:val="14"/>
              </w:rPr>
              <w:t xml:space="preserve">Catastrophic </w:t>
            </w:r>
          </w:p>
          <w:p w14:paraId="130D0020" w14:textId="77777777" w:rsidR="00F77691" w:rsidRPr="005B7BEE" w:rsidRDefault="00F77691" w:rsidP="000E1E7C">
            <w:pPr>
              <w:jc w:val="center"/>
              <w:rPr>
                <w:sz w:val="14"/>
                <w:szCs w:val="14"/>
              </w:rPr>
            </w:pPr>
            <w:r w:rsidRPr="005B7BEE">
              <w:rPr>
                <w:sz w:val="14"/>
                <w:szCs w:val="14"/>
              </w:rPr>
              <w:t>/ Fatal</w:t>
            </w:r>
          </w:p>
        </w:tc>
        <w:tc>
          <w:tcPr>
            <w:tcW w:w="0" w:type="auto"/>
            <w:tcBorders>
              <w:top w:val="nil"/>
              <w:left w:val="nil"/>
              <w:bottom w:val="nil"/>
              <w:right w:val="nil"/>
            </w:tcBorders>
          </w:tcPr>
          <w:p w14:paraId="74CA7B5A" w14:textId="77777777" w:rsidR="00F77691" w:rsidRPr="005B7BEE" w:rsidRDefault="00F77691" w:rsidP="000E1E7C">
            <w:pPr>
              <w:jc w:val="center"/>
              <w:rPr>
                <w:sz w:val="14"/>
                <w:szCs w:val="14"/>
              </w:rPr>
            </w:pPr>
          </w:p>
        </w:tc>
        <w:tc>
          <w:tcPr>
            <w:tcW w:w="0" w:type="auto"/>
            <w:tcBorders>
              <w:top w:val="nil"/>
              <w:left w:val="nil"/>
              <w:bottom w:val="single" w:sz="12" w:space="0" w:color="auto"/>
            </w:tcBorders>
            <w:vAlign w:val="center"/>
          </w:tcPr>
          <w:p w14:paraId="16EB2096" w14:textId="77777777" w:rsidR="00F77691" w:rsidRPr="005B7BEE" w:rsidRDefault="00000000" w:rsidP="000E1E7C">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54DDBC1" w14:textId="77777777" w:rsidR="00F77691" w:rsidRPr="005B7BEE" w:rsidRDefault="00F77691" w:rsidP="000E1E7C">
            <w:pPr>
              <w:jc w:val="center"/>
              <w:rPr>
                <w:sz w:val="14"/>
                <w:szCs w:val="14"/>
              </w:rPr>
            </w:pPr>
            <w:r w:rsidRPr="005B7BEE">
              <w:rPr>
                <w:sz w:val="14"/>
                <w:szCs w:val="14"/>
              </w:rPr>
              <w:t>Negligible</w:t>
            </w:r>
          </w:p>
          <w:p w14:paraId="26F45CF9" w14:textId="77777777" w:rsidR="00F77691" w:rsidRPr="005B7BEE" w:rsidRDefault="00F77691" w:rsidP="000E1E7C">
            <w:pPr>
              <w:jc w:val="center"/>
              <w:rPr>
                <w:sz w:val="14"/>
                <w:szCs w:val="14"/>
              </w:rPr>
            </w:pPr>
          </w:p>
        </w:tc>
        <w:tc>
          <w:tcPr>
            <w:tcW w:w="0" w:type="auto"/>
            <w:tcBorders>
              <w:top w:val="single" w:sz="4" w:space="0" w:color="auto"/>
              <w:bottom w:val="single" w:sz="12" w:space="0" w:color="auto"/>
            </w:tcBorders>
            <w:vAlign w:val="center"/>
          </w:tcPr>
          <w:p w14:paraId="079F787A" w14:textId="77777777" w:rsidR="00F77691" w:rsidRPr="005B7BEE" w:rsidRDefault="00F77691" w:rsidP="000E1E7C">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0BDDA6C2" w14:textId="77777777" w:rsidR="00F77691" w:rsidRPr="005B7BEE" w:rsidRDefault="00F77691" w:rsidP="000E1E7C">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51530A10" w14:textId="77777777" w:rsidR="00F77691" w:rsidRPr="005B7BEE" w:rsidRDefault="00F77691" w:rsidP="000E1E7C">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9B5DA61" w14:textId="77777777" w:rsidR="00F77691" w:rsidRPr="005B7BEE" w:rsidRDefault="00F77691" w:rsidP="000E1E7C">
            <w:pPr>
              <w:jc w:val="center"/>
              <w:rPr>
                <w:sz w:val="14"/>
                <w:szCs w:val="14"/>
              </w:rPr>
            </w:pPr>
            <w:r w:rsidRPr="005B7BEE">
              <w:rPr>
                <w:sz w:val="14"/>
                <w:szCs w:val="14"/>
              </w:rPr>
              <w:t xml:space="preserve">Catastrophic </w:t>
            </w:r>
          </w:p>
          <w:p w14:paraId="5087C1E2" w14:textId="77777777" w:rsidR="00F77691" w:rsidRDefault="00F77691" w:rsidP="000E1E7C">
            <w:pPr>
              <w:jc w:val="center"/>
              <w:rPr>
                <w:rFonts w:ascii="Calibri" w:eastAsia="Calibri" w:hAnsi="Calibri" w:cs="Times New Roman"/>
              </w:rPr>
            </w:pPr>
            <w:r w:rsidRPr="005B7BEE">
              <w:rPr>
                <w:sz w:val="14"/>
                <w:szCs w:val="14"/>
              </w:rPr>
              <w:t>/ Fatal</w:t>
            </w:r>
          </w:p>
        </w:tc>
      </w:tr>
      <w:tr w:rsidR="00F77691" w:rsidRPr="00F60A9B" w14:paraId="470F863D" w14:textId="77777777" w:rsidTr="000E1E7C">
        <w:trPr>
          <w:jc w:val="center"/>
        </w:trPr>
        <w:tc>
          <w:tcPr>
            <w:tcW w:w="0" w:type="auto"/>
            <w:tcBorders>
              <w:top w:val="single" w:sz="4" w:space="0" w:color="auto"/>
              <w:right w:val="single" w:sz="12" w:space="0" w:color="auto"/>
            </w:tcBorders>
          </w:tcPr>
          <w:p w14:paraId="5FC29810" w14:textId="77777777" w:rsidR="00F77691" w:rsidRPr="005B7BEE" w:rsidRDefault="00F77691" w:rsidP="000E1E7C">
            <w:pPr>
              <w:rPr>
                <w:sz w:val="14"/>
                <w:szCs w:val="14"/>
              </w:rPr>
            </w:pPr>
            <w:r>
              <w:rPr>
                <w:sz w:val="14"/>
                <w:szCs w:val="14"/>
              </w:rPr>
              <w:t>Expected</w:t>
            </w:r>
          </w:p>
        </w:tc>
        <w:tc>
          <w:tcPr>
            <w:tcW w:w="0" w:type="auto"/>
            <w:tcBorders>
              <w:top w:val="single" w:sz="12" w:space="0" w:color="auto"/>
              <w:left w:val="single" w:sz="12" w:space="0" w:color="auto"/>
            </w:tcBorders>
          </w:tcPr>
          <w:p w14:paraId="47508823" w14:textId="77777777" w:rsidR="00F77691" w:rsidRPr="00F60A9B" w:rsidRDefault="00F77691" w:rsidP="000E1E7C">
            <w:pPr>
              <w:jc w:val="center"/>
            </w:pPr>
          </w:p>
        </w:tc>
        <w:tc>
          <w:tcPr>
            <w:tcW w:w="0" w:type="auto"/>
            <w:tcBorders>
              <w:top w:val="single" w:sz="12" w:space="0" w:color="auto"/>
            </w:tcBorders>
          </w:tcPr>
          <w:p w14:paraId="77838DE3" w14:textId="77777777" w:rsidR="00F77691" w:rsidRPr="00210DD1" w:rsidRDefault="00F77691" w:rsidP="000E1E7C">
            <w:pPr>
              <w:jc w:val="center"/>
            </w:pPr>
          </w:p>
        </w:tc>
        <w:tc>
          <w:tcPr>
            <w:tcW w:w="0" w:type="auto"/>
            <w:tcBorders>
              <w:top w:val="single" w:sz="12" w:space="0" w:color="auto"/>
            </w:tcBorders>
          </w:tcPr>
          <w:p w14:paraId="0CE7423E" w14:textId="77777777" w:rsidR="00F77691" w:rsidRPr="00210DD1" w:rsidRDefault="00F77691" w:rsidP="000E1E7C">
            <w:pPr>
              <w:jc w:val="center"/>
            </w:pPr>
          </w:p>
        </w:tc>
        <w:tc>
          <w:tcPr>
            <w:tcW w:w="0" w:type="auto"/>
            <w:tcBorders>
              <w:top w:val="single" w:sz="12" w:space="0" w:color="auto"/>
            </w:tcBorders>
          </w:tcPr>
          <w:p w14:paraId="1EE4F2E8" w14:textId="77777777" w:rsidR="00F77691" w:rsidRPr="00210DD1" w:rsidRDefault="00F77691" w:rsidP="000E1E7C">
            <w:pPr>
              <w:jc w:val="center"/>
            </w:pPr>
          </w:p>
        </w:tc>
        <w:tc>
          <w:tcPr>
            <w:tcW w:w="0" w:type="auto"/>
            <w:tcBorders>
              <w:top w:val="single" w:sz="12" w:space="0" w:color="auto"/>
            </w:tcBorders>
          </w:tcPr>
          <w:p w14:paraId="50477277" w14:textId="77777777" w:rsidR="00F77691" w:rsidRPr="00F60A9B" w:rsidRDefault="00F77691" w:rsidP="000E1E7C">
            <w:pPr>
              <w:jc w:val="center"/>
            </w:pPr>
          </w:p>
        </w:tc>
        <w:tc>
          <w:tcPr>
            <w:tcW w:w="0" w:type="auto"/>
            <w:tcBorders>
              <w:top w:val="nil"/>
              <w:left w:val="nil"/>
              <w:bottom w:val="nil"/>
              <w:right w:val="nil"/>
            </w:tcBorders>
          </w:tcPr>
          <w:p w14:paraId="5FFF244F" w14:textId="77777777" w:rsidR="00F77691" w:rsidRDefault="00F77691" w:rsidP="000E1E7C">
            <w:pPr>
              <w:jc w:val="center"/>
            </w:pPr>
          </w:p>
        </w:tc>
        <w:tc>
          <w:tcPr>
            <w:tcW w:w="0" w:type="auto"/>
            <w:tcBorders>
              <w:top w:val="single" w:sz="12" w:space="0" w:color="auto"/>
            </w:tcBorders>
          </w:tcPr>
          <w:p w14:paraId="5A20C5D0" w14:textId="77777777" w:rsidR="00F77691" w:rsidRDefault="00F77691" w:rsidP="000E1E7C">
            <w:pPr>
              <w:jc w:val="center"/>
            </w:pPr>
            <w:r>
              <w:rPr>
                <w:sz w:val="14"/>
                <w:szCs w:val="14"/>
              </w:rPr>
              <w:t>Expected</w:t>
            </w:r>
          </w:p>
        </w:tc>
        <w:tc>
          <w:tcPr>
            <w:tcW w:w="0" w:type="auto"/>
            <w:tcBorders>
              <w:top w:val="single" w:sz="12" w:space="0" w:color="auto"/>
            </w:tcBorders>
          </w:tcPr>
          <w:p w14:paraId="3651919B" w14:textId="77777777" w:rsidR="00F77691" w:rsidRDefault="00F77691" w:rsidP="000E1E7C">
            <w:pPr>
              <w:jc w:val="center"/>
            </w:pPr>
          </w:p>
        </w:tc>
        <w:tc>
          <w:tcPr>
            <w:tcW w:w="0" w:type="auto"/>
            <w:tcBorders>
              <w:top w:val="single" w:sz="12" w:space="0" w:color="auto"/>
            </w:tcBorders>
          </w:tcPr>
          <w:p w14:paraId="724BC75D" w14:textId="77777777" w:rsidR="00F77691" w:rsidRDefault="00F77691" w:rsidP="000E1E7C">
            <w:pPr>
              <w:jc w:val="center"/>
            </w:pPr>
          </w:p>
        </w:tc>
        <w:tc>
          <w:tcPr>
            <w:tcW w:w="0" w:type="auto"/>
            <w:tcBorders>
              <w:top w:val="single" w:sz="12" w:space="0" w:color="auto"/>
            </w:tcBorders>
          </w:tcPr>
          <w:p w14:paraId="602C35BE" w14:textId="77777777" w:rsidR="00F77691" w:rsidRDefault="00F77691" w:rsidP="000E1E7C">
            <w:pPr>
              <w:jc w:val="center"/>
            </w:pPr>
          </w:p>
        </w:tc>
        <w:tc>
          <w:tcPr>
            <w:tcW w:w="0" w:type="auto"/>
            <w:tcBorders>
              <w:top w:val="single" w:sz="12" w:space="0" w:color="auto"/>
            </w:tcBorders>
          </w:tcPr>
          <w:p w14:paraId="1B1696B6" w14:textId="77777777" w:rsidR="00F77691" w:rsidRDefault="00F77691" w:rsidP="000E1E7C">
            <w:pPr>
              <w:jc w:val="center"/>
            </w:pPr>
          </w:p>
        </w:tc>
        <w:tc>
          <w:tcPr>
            <w:tcW w:w="0" w:type="auto"/>
            <w:tcBorders>
              <w:top w:val="single" w:sz="12" w:space="0" w:color="auto"/>
            </w:tcBorders>
          </w:tcPr>
          <w:p w14:paraId="4CA0920B" w14:textId="77777777" w:rsidR="00F77691" w:rsidRDefault="00F77691" w:rsidP="000E1E7C">
            <w:pPr>
              <w:jc w:val="center"/>
            </w:pPr>
          </w:p>
        </w:tc>
      </w:tr>
      <w:tr w:rsidR="00F77691" w:rsidRPr="00F60A9B" w14:paraId="5142D8AA" w14:textId="77777777" w:rsidTr="000E1E7C">
        <w:trPr>
          <w:jc w:val="center"/>
        </w:trPr>
        <w:tc>
          <w:tcPr>
            <w:tcW w:w="0" w:type="auto"/>
            <w:tcBorders>
              <w:right w:val="single" w:sz="12" w:space="0" w:color="auto"/>
            </w:tcBorders>
          </w:tcPr>
          <w:p w14:paraId="399DAE9F" w14:textId="77777777" w:rsidR="00F77691" w:rsidRPr="005B7BEE" w:rsidRDefault="00F77691" w:rsidP="000E1E7C">
            <w:pPr>
              <w:rPr>
                <w:sz w:val="14"/>
                <w:szCs w:val="14"/>
              </w:rPr>
            </w:pPr>
            <w:r>
              <w:rPr>
                <w:sz w:val="14"/>
                <w:szCs w:val="14"/>
              </w:rPr>
              <w:t>Often</w:t>
            </w:r>
          </w:p>
        </w:tc>
        <w:tc>
          <w:tcPr>
            <w:tcW w:w="0" w:type="auto"/>
            <w:tcBorders>
              <w:left w:val="single" w:sz="12" w:space="0" w:color="auto"/>
            </w:tcBorders>
          </w:tcPr>
          <w:p w14:paraId="7140E925" w14:textId="77777777" w:rsidR="00F77691" w:rsidRDefault="00F77691" w:rsidP="000E1E7C">
            <w:pPr>
              <w:jc w:val="center"/>
            </w:pPr>
          </w:p>
        </w:tc>
        <w:tc>
          <w:tcPr>
            <w:tcW w:w="0" w:type="auto"/>
          </w:tcPr>
          <w:p w14:paraId="623D130C" w14:textId="77777777" w:rsidR="00F77691" w:rsidRPr="00210DD1" w:rsidRDefault="00F77691" w:rsidP="000E1E7C">
            <w:pPr>
              <w:jc w:val="center"/>
            </w:pPr>
          </w:p>
        </w:tc>
        <w:tc>
          <w:tcPr>
            <w:tcW w:w="0" w:type="auto"/>
          </w:tcPr>
          <w:p w14:paraId="5C108EB2" w14:textId="77777777" w:rsidR="00F77691" w:rsidRPr="00210DD1" w:rsidRDefault="00F77691" w:rsidP="000E1E7C">
            <w:pPr>
              <w:jc w:val="center"/>
            </w:pPr>
          </w:p>
        </w:tc>
        <w:tc>
          <w:tcPr>
            <w:tcW w:w="0" w:type="auto"/>
          </w:tcPr>
          <w:p w14:paraId="023F2C9E" w14:textId="77777777" w:rsidR="00F77691" w:rsidRPr="00210DD1" w:rsidRDefault="00F77691" w:rsidP="000E1E7C">
            <w:pPr>
              <w:jc w:val="center"/>
            </w:pPr>
          </w:p>
        </w:tc>
        <w:tc>
          <w:tcPr>
            <w:tcW w:w="0" w:type="auto"/>
          </w:tcPr>
          <w:p w14:paraId="4C9F56BB" w14:textId="77777777" w:rsidR="00F77691" w:rsidRDefault="00F77691" w:rsidP="000E1E7C">
            <w:pPr>
              <w:jc w:val="center"/>
            </w:pPr>
          </w:p>
        </w:tc>
        <w:tc>
          <w:tcPr>
            <w:tcW w:w="0" w:type="auto"/>
            <w:tcBorders>
              <w:top w:val="nil"/>
              <w:left w:val="nil"/>
              <w:bottom w:val="nil"/>
              <w:right w:val="nil"/>
            </w:tcBorders>
          </w:tcPr>
          <w:p w14:paraId="17CF19A8" w14:textId="77777777" w:rsidR="00F77691" w:rsidRDefault="00F77691" w:rsidP="000E1E7C">
            <w:pPr>
              <w:jc w:val="center"/>
            </w:pPr>
          </w:p>
        </w:tc>
        <w:tc>
          <w:tcPr>
            <w:tcW w:w="0" w:type="auto"/>
          </w:tcPr>
          <w:p w14:paraId="7F1804B7" w14:textId="77777777" w:rsidR="00F77691" w:rsidRPr="005B7BEE" w:rsidRDefault="00F77691" w:rsidP="000E1E7C">
            <w:pPr>
              <w:jc w:val="center"/>
              <w:rPr>
                <w:sz w:val="14"/>
                <w:szCs w:val="14"/>
              </w:rPr>
            </w:pPr>
            <w:r>
              <w:rPr>
                <w:sz w:val="14"/>
                <w:szCs w:val="14"/>
              </w:rPr>
              <w:t>Often</w:t>
            </w:r>
          </w:p>
        </w:tc>
        <w:tc>
          <w:tcPr>
            <w:tcW w:w="0" w:type="auto"/>
          </w:tcPr>
          <w:p w14:paraId="5779D3A5" w14:textId="77777777" w:rsidR="00F77691" w:rsidRDefault="00F77691" w:rsidP="000E1E7C">
            <w:pPr>
              <w:jc w:val="center"/>
            </w:pPr>
          </w:p>
        </w:tc>
        <w:tc>
          <w:tcPr>
            <w:tcW w:w="0" w:type="auto"/>
          </w:tcPr>
          <w:p w14:paraId="77B941D2" w14:textId="77777777" w:rsidR="00F77691" w:rsidRPr="00210DD1" w:rsidRDefault="00F77691" w:rsidP="000E1E7C">
            <w:pPr>
              <w:jc w:val="center"/>
            </w:pPr>
          </w:p>
        </w:tc>
        <w:tc>
          <w:tcPr>
            <w:tcW w:w="0" w:type="auto"/>
          </w:tcPr>
          <w:p w14:paraId="191F102D" w14:textId="77777777" w:rsidR="00F77691" w:rsidRPr="00210DD1" w:rsidRDefault="00F77691" w:rsidP="000E1E7C">
            <w:pPr>
              <w:jc w:val="center"/>
            </w:pPr>
          </w:p>
        </w:tc>
        <w:tc>
          <w:tcPr>
            <w:tcW w:w="0" w:type="auto"/>
          </w:tcPr>
          <w:p w14:paraId="57BC3DA0" w14:textId="77777777" w:rsidR="00F77691" w:rsidRPr="00210DD1" w:rsidRDefault="00F77691" w:rsidP="000E1E7C">
            <w:pPr>
              <w:jc w:val="center"/>
            </w:pPr>
          </w:p>
        </w:tc>
        <w:tc>
          <w:tcPr>
            <w:tcW w:w="0" w:type="auto"/>
          </w:tcPr>
          <w:p w14:paraId="6B951490" w14:textId="77777777" w:rsidR="00F77691" w:rsidRDefault="00F77691" w:rsidP="000E1E7C">
            <w:pPr>
              <w:jc w:val="center"/>
            </w:pPr>
          </w:p>
        </w:tc>
      </w:tr>
      <w:tr w:rsidR="001866AF" w:rsidRPr="00F60A9B" w14:paraId="663F79C5" w14:textId="77777777" w:rsidTr="001866AF">
        <w:trPr>
          <w:jc w:val="center"/>
        </w:trPr>
        <w:tc>
          <w:tcPr>
            <w:tcW w:w="0" w:type="auto"/>
            <w:tcBorders>
              <w:right w:val="single" w:sz="12" w:space="0" w:color="auto"/>
            </w:tcBorders>
          </w:tcPr>
          <w:p w14:paraId="0C7ED172" w14:textId="77777777" w:rsidR="001866AF" w:rsidRPr="005B7BEE" w:rsidRDefault="001866AF" w:rsidP="000E1E7C">
            <w:pPr>
              <w:rPr>
                <w:sz w:val="14"/>
                <w:szCs w:val="14"/>
              </w:rPr>
            </w:pPr>
            <w:r w:rsidRPr="005B7BEE">
              <w:rPr>
                <w:sz w:val="14"/>
                <w:szCs w:val="14"/>
              </w:rPr>
              <w:t>Frequent</w:t>
            </w:r>
          </w:p>
        </w:tc>
        <w:tc>
          <w:tcPr>
            <w:tcW w:w="0" w:type="auto"/>
            <w:tcBorders>
              <w:left w:val="single" w:sz="12" w:space="0" w:color="auto"/>
            </w:tcBorders>
          </w:tcPr>
          <w:p w14:paraId="7835B42A" w14:textId="77777777" w:rsidR="001866AF" w:rsidRDefault="001866AF" w:rsidP="000E1E7C">
            <w:pPr>
              <w:jc w:val="center"/>
            </w:pPr>
          </w:p>
        </w:tc>
        <w:tc>
          <w:tcPr>
            <w:tcW w:w="0" w:type="auto"/>
          </w:tcPr>
          <w:p w14:paraId="3F4DA07A" w14:textId="77777777" w:rsidR="001866AF" w:rsidRPr="00210DD1" w:rsidRDefault="001866AF" w:rsidP="000E1E7C">
            <w:pPr>
              <w:jc w:val="center"/>
            </w:pPr>
          </w:p>
        </w:tc>
        <w:tc>
          <w:tcPr>
            <w:tcW w:w="0" w:type="auto"/>
          </w:tcPr>
          <w:p w14:paraId="20122D7B" w14:textId="77777777" w:rsidR="001866AF" w:rsidRPr="00210DD1" w:rsidRDefault="001866AF" w:rsidP="000E1E7C">
            <w:pPr>
              <w:jc w:val="center"/>
            </w:pPr>
          </w:p>
        </w:tc>
        <w:tc>
          <w:tcPr>
            <w:tcW w:w="0" w:type="auto"/>
          </w:tcPr>
          <w:p w14:paraId="74679442" w14:textId="77777777" w:rsidR="001866AF" w:rsidRPr="00210DD1" w:rsidRDefault="001866AF" w:rsidP="000E1E7C">
            <w:pPr>
              <w:jc w:val="center"/>
            </w:pPr>
          </w:p>
        </w:tc>
        <w:tc>
          <w:tcPr>
            <w:tcW w:w="0" w:type="auto"/>
          </w:tcPr>
          <w:p w14:paraId="44AF9A3E" w14:textId="77777777" w:rsidR="001866AF" w:rsidRDefault="001866AF" w:rsidP="000E1E7C">
            <w:pPr>
              <w:jc w:val="center"/>
            </w:pPr>
          </w:p>
        </w:tc>
        <w:tc>
          <w:tcPr>
            <w:tcW w:w="0" w:type="auto"/>
            <w:vMerge w:val="restart"/>
            <w:tcBorders>
              <w:top w:val="nil"/>
              <w:left w:val="nil"/>
              <w:right w:val="nil"/>
            </w:tcBorders>
            <w:vAlign w:val="center"/>
          </w:tcPr>
          <w:p w14:paraId="1FBD1684" w14:textId="4E8185DB" w:rsidR="001866AF" w:rsidRPr="001866AF" w:rsidRDefault="00000000" w:rsidP="000E1E7C">
            <w:pPr>
              <w:jc w:val="center"/>
              <w:rPr>
                <w:sz w:val="28"/>
                <w:szCs w:val="28"/>
              </w:rPr>
            </w:pPr>
            <m:oMathPara>
              <m:oMath>
                <m:groupChr>
                  <m:groupChrPr>
                    <m:chr m:val="⏞"/>
                    <m:pos m:val="top"/>
                    <m:vertJc m:val="bot"/>
                    <m:ctrlPr>
                      <w:rPr>
                        <w:rFonts w:ascii="Cambria Math" w:eastAsiaTheme="minorEastAsia" w:hAnsi="Cambria Math"/>
                        <w:i/>
                        <w:sz w:val="28"/>
                        <w:szCs w:val="28"/>
                      </w:rPr>
                    </m:ctrlPr>
                  </m:groupChrPr>
                  <m:e>
                    <m:r>
                      <w:rPr>
                        <w:rFonts w:ascii="Cambria Math" w:eastAsiaTheme="minorEastAsia" w:hAnsi="Cambria Math"/>
                        <w:sz w:val="28"/>
                        <w:szCs w:val="28"/>
                      </w:rPr>
                      <m:t>&gt;</m:t>
                    </m:r>
                  </m:e>
                </m:groupChr>
              </m:oMath>
            </m:oMathPara>
          </w:p>
        </w:tc>
        <w:tc>
          <w:tcPr>
            <w:tcW w:w="0" w:type="auto"/>
          </w:tcPr>
          <w:p w14:paraId="34157F33" w14:textId="77777777" w:rsidR="001866AF" w:rsidRPr="005B7BEE" w:rsidRDefault="001866AF" w:rsidP="000E1E7C">
            <w:pPr>
              <w:jc w:val="center"/>
              <w:rPr>
                <w:sz w:val="14"/>
                <w:szCs w:val="14"/>
              </w:rPr>
            </w:pPr>
            <w:r w:rsidRPr="005B7BEE">
              <w:rPr>
                <w:sz w:val="14"/>
                <w:szCs w:val="14"/>
              </w:rPr>
              <w:t>Frequent</w:t>
            </w:r>
          </w:p>
        </w:tc>
        <w:tc>
          <w:tcPr>
            <w:tcW w:w="0" w:type="auto"/>
          </w:tcPr>
          <w:p w14:paraId="37BD98AD" w14:textId="77777777" w:rsidR="001866AF" w:rsidRDefault="001866AF" w:rsidP="000E1E7C">
            <w:pPr>
              <w:jc w:val="center"/>
            </w:pPr>
          </w:p>
        </w:tc>
        <w:tc>
          <w:tcPr>
            <w:tcW w:w="0" w:type="auto"/>
          </w:tcPr>
          <w:p w14:paraId="7F96F3D2" w14:textId="77777777" w:rsidR="001866AF" w:rsidRPr="00210DD1" w:rsidRDefault="001866AF" w:rsidP="000E1E7C">
            <w:pPr>
              <w:jc w:val="center"/>
            </w:pPr>
          </w:p>
        </w:tc>
        <w:tc>
          <w:tcPr>
            <w:tcW w:w="0" w:type="auto"/>
          </w:tcPr>
          <w:p w14:paraId="5D14AA5C" w14:textId="77777777" w:rsidR="001866AF" w:rsidRPr="00210DD1" w:rsidRDefault="001866AF" w:rsidP="000E1E7C">
            <w:pPr>
              <w:jc w:val="center"/>
            </w:pPr>
          </w:p>
        </w:tc>
        <w:tc>
          <w:tcPr>
            <w:tcW w:w="0" w:type="auto"/>
          </w:tcPr>
          <w:p w14:paraId="7CD87AFD" w14:textId="77777777" w:rsidR="001866AF" w:rsidRPr="00210DD1" w:rsidRDefault="001866AF" w:rsidP="000E1E7C">
            <w:pPr>
              <w:jc w:val="center"/>
            </w:pPr>
          </w:p>
        </w:tc>
        <w:tc>
          <w:tcPr>
            <w:tcW w:w="0" w:type="auto"/>
          </w:tcPr>
          <w:p w14:paraId="17F32783" w14:textId="77777777" w:rsidR="001866AF" w:rsidRDefault="001866AF" w:rsidP="000E1E7C">
            <w:pPr>
              <w:jc w:val="center"/>
            </w:pPr>
          </w:p>
        </w:tc>
      </w:tr>
      <w:tr w:rsidR="001866AF" w:rsidRPr="00F60A9B" w14:paraId="2459BA40" w14:textId="77777777" w:rsidTr="003B215E">
        <w:trPr>
          <w:jc w:val="center"/>
        </w:trPr>
        <w:tc>
          <w:tcPr>
            <w:tcW w:w="0" w:type="auto"/>
            <w:tcBorders>
              <w:right w:val="single" w:sz="12" w:space="0" w:color="auto"/>
            </w:tcBorders>
          </w:tcPr>
          <w:p w14:paraId="2C2F68B6" w14:textId="77777777" w:rsidR="001866AF" w:rsidRPr="005B7BEE" w:rsidRDefault="001866AF" w:rsidP="000E1E7C">
            <w:pPr>
              <w:rPr>
                <w:sz w:val="14"/>
                <w:szCs w:val="14"/>
              </w:rPr>
            </w:pPr>
            <w:r w:rsidRPr="005B7BEE">
              <w:rPr>
                <w:sz w:val="14"/>
                <w:szCs w:val="14"/>
              </w:rPr>
              <w:t>Probable</w:t>
            </w:r>
          </w:p>
        </w:tc>
        <w:tc>
          <w:tcPr>
            <w:tcW w:w="0" w:type="auto"/>
            <w:tcBorders>
              <w:left w:val="single" w:sz="12" w:space="0" w:color="auto"/>
            </w:tcBorders>
          </w:tcPr>
          <w:p w14:paraId="31D0E868" w14:textId="77777777" w:rsidR="001866AF" w:rsidRPr="00F60A9B" w:rsidRDefault="001866AF" w:rsidP="000E1E7C">
            <w:pPr>
              <w:jc w:val="center"/>
            </w:pPr>
          </w:p>
        </w:tc>
        <w:tc>
          <w:tcPr>
            <w:tcW w:w="0" w:type="auto"/>
          </w:tcPr>
          <w:p w14:paraId="3670B2E7" w14:textId="77777777" w:rsidR="001866AF" w:rsidRPr="00210DD1" w:rsidRDefault="001866AF" w:rsidP="000E1E7C">
            <w:pPr>
              <w:jc w:val="center"/>
            </w:pPr>
          </w:p>
        </w:tc>
        <w:tc>
          <w:tcPr>
            <w:tcW w:w="0" w:type="auto"/>
          </w:tcPr>
          <w:p w14:paraId="1C8C0895" w14:textId="77777777" w:rsidR="001866AF" w:rsidRPr="00210DD1" w:rsidRDefault="001866AF" w:rsidP="000E1E7C">
            <w:pPr>
              <w:jc w:val="center"/>
            </w:pPr>
          </w:p>
        </w:tc>
        <w:tc>
          <w:tcPr>
            <w:tcW w:w="0" w:type="auto"/>
          </w:tcPr>
          <w:p w14:paraId="43320C9A" w14:textId="77777777" w:rsidR="001866AF" w:rsidRPr="00210DD1" w:rsidRDefault="001866AF" w:rsidP="000E1E7C">
            <w:pPr>
              <w:jc w:val="center"/>
            </w:pPr>
          </w:p>
        </w:tc>
        <w:tc>
          <w:tcPr>
            <w:tcW w:w="0" w:type="auto"/>
          </w:tcPr>
          <w:p w14:paraId="721A4CEE" w14:textId="77777777" w:rsidR="001866AF" w:rsidRPr="00F60A9B" w:rsidRDefault="001866AF" w:rsidP="000E1E7C">
            <w:pPr>
              <w:jc w:val="center"/>
            </w:pPr>
          </w:p>
        </w:tc>
        <w:tc>
          <w:tcPr>
            <w:tcW w:w="0" w:type="auto"/>
            <w:vMerge/>
            <w:tcBorders>
              <w:left w:val="nil"/>
              <w:bottom w:val="nil"/>
              <w:right w:val="nil"/>
            </w:tcBorders>
          </w:tcPr>
          <w:p w14:paraId="76063042" w14:textId="3A14E427" w:rsidR="001866AF" w:rsidRDefault="001866AF" w:rsidP="000E1E7C">
            <w:pPr>
              <w:jc w:val="center"/>
            </w:pPr>
          </w:p>
        </w:tc>
        <w:tc>
          <w:tcPr>
            <w:tcW w:w="0" w:type="auto"/>
          </w:tcPr>
          <w:p w14:paraId="66764019" w14:textId="77777777" w:rsidR="001866AF" w:rsidRDefault="001866AF" w:rsidP="000E1E7C">
            <w:pPr>
              <w:jc w:val="center"/>
            </w:pPr>
            <w:r w:rsidRPr="005B7BEE">
              <w:rPr>
                <w:sz w:val="14"/>
                <w:szCs w:val="14"/>
              </w:rPr>
              <w:t>Probable</w:t>
            </w:r>
          </w:p>
        </w:tc>
        <w:tc>
          <w:tcPr>
            <w:tcW w:w="0" w:type="auto"/>
          </w:tcPr>
          <w:p w14:paraId="6185DD1E" w14:textId="77777777" w:rsidR="001866AF" w:rsidRDefault="001866AF" w:rsidP="000E1E7C">
            <w:pPr>
              <w:jc w:val="center"/>
            </w:pPr>
          </w:p>
        </w:tc>
        <w:tc>
          <w:tcPr>
            <w:tcW w:w="0" w:type="auto"/>
          </w:tcPr>
          <w:p w14:paraId="6780A029" w14:textId="77777777" w:rsidR="001866AF" w:rsidRDefault="001866AF" w:rsidP="000E1E7C">
            <w:pPr>
              <w:jc w:val="center"/>
            </w:pPr>
          </w:p>
        </w:tc>
        <w:tc>
          <w:tcPr>
            <w:tcW w:w="0" w:type="auto"/>
          </w:tcPr>
          <w:p w14:paraId="4C8D440C" w14:textId="77777777" w:rsidR="001866AF" w:rsidRDefault="001866AF" w:rsidP="000E1E7C">
            <w:pPr>
              <w:jc w:val="center"/>
            </w:pPr>
          </w:p>
        </w:tc>
        <w:tc>
          <w:tcPr>
            <w:tcW w:w="0" w:type="auto"/>
          </w:tcPr>
          <w:p w14:paraId="62786390" w14:textId="77777777" w:rsidR="001866AF" w:rsidRDefault="001866AF" w:rsidP="000E1E7C">
            <w:pPr>
              <w:jc w:val="center"/>
            </w:pPr>
          </w:p>
        </w:tc>
        <w:tc>
          <w:tcPr>
            <w:tcW w:w="0" w:type="auto"/>
          </w:tcPr>
          <w:p w14:paraId="3F907809" w14:textId="77777777" w:rsidR="001866AF" w:rsidRDefault="001866AF" w:rsidP="000E1E7C">
            <w:pPr>
              <w:jc w:val="center"/>
            </w:pPr>
          </w:p>
        </w:tc>
      </w:tr>
      <w:tr w:rsidR="00F77691" w:rsidRPr="00F60A9B" w14:paraId="1187034B" w14:textId="77777777" w:rsidTr="000E1E7C">
        <w:trPr>
          <w:jc w:val="center"/>
        </w:trPr>
        <w:tc>
          <w:tcPr>
            <w:tcW w:w="0" w:type="auto"/>
            <w:tcBorders>
              <w:right w:val="single" w:sz="12" w:space="0" w:color="auto"/>
            </w:tcBorders>
          </w:tcPr>
          <w:p w14:paraId="214AFFF2" w14:textId="77777777" w:rsidR="00F77691" w:rsidRPr="005B7BEE" w:rsidRDefault="00F77691" w:rsidP="000E1E7C">
            <w:pPr>
              <w:rPr>
                <w:sz w:val="14"/>
                <w:szCs w:val="14"/>
              </w:rPr>
            </w:pPr>
            <w:r w:rsidRPr="005B7BEE">
              <w:rPr>
                <w:sz w:val="14"/>
                <w:szCs w:val="14"/>
              </w:rPr>
              <w:t>Occasional</w:t>
            </w:r>
          </w:p>
        </w:tc>
        <w:tc>
          <w:tcPr>
            <w:tcW w:w="0" w:type="auto"/>
            <w:tcBorders>
              <w:left w:val="single" w:sz="12" w:space="0" w:color="auto"/>
            </w:tcBorders>
          </w:tcPr>
          <w:p w14:paraId="5549A075" w14:textId="77777777" w:rsidR="00F77691" w:rsidRPr="00F60A9B" w:rsidRDefault="00F77691" w:rsidP="000E1E7C">
            <w:pPr>
              <w:jc w:val="center"/>
            </w:pPr>
          </w:p>
        </w:tc>
        <w:tc>
          <w:tcPr>
            <w:tcW w:w="0" w:type="auto"/>
          </w:tcPr>
          <w:p w14:paraId="049D9587" w14:textId="77777777" w:rsidR="00F77691" w:rsidRPr="00210DD1" w:rsidRDefault="00F77691" w:rsidP="000E1E7C">
            <w:pPr>
              <w:jc w:val="center"/>
            </w:pPr>
          </w:p>
        </w:tc>
        <w:tc>
          <w:tcPr>
            <w:tcW w:w="0" w:type="auto"/>
          </w:tcPr>
          <w:p w14:paraId="2C7E1A89" w14:textId="77777777" w:rsidR="00F77691" w:rsidRPr="00210DD1" w:rsidRDefault="00F77691" w:rsidP="000E1E7C">
            <w:pPr>
              <w:jc w:val="center"/>
            </w:pPr>
          </w:p>
        </w:tc>
        <w:tc>
          <w:tcPr>
            <w:tcW w:w="0" w:type="auto"/>
          </w:tcPr>
          <w:p w14:paraId="7CCCBFF9" w14:textId="77777777" w:rsidR="00F77691" w:rsidRPr="00210DD1" w:rsidRDefault="00F77691" w:rsidP="000E1E7C">
            <w:pPr>
              <w:jc w:val="center"/>
            </w:pPr>
          </w:p>
        </w:tc>
        <w:tc>
          <w:tcPr>
            <w:tcW w:w="0" w:type="auto"/>
          </w:tcPr>
          <w:p w14:paraId="55EDBB3A" w14:textId="77777777" w:rsidR="00F77691" w:rsidRPr="00F60A9B" w:rsidRDefault="00F77691" w:rsidP="000E1E7C">
            <w:pPr>
              <w:jc w:val="center"/>
            </w:pPr>
          </w:p>
        </w:tc>
        <w:tc>
          <w:tcPr>
            <w:tcW w:w="0" w:type="auto"/>
            <w:tcBorders>
              <w:top w:val="nil"/>
              <w:left w:val="nil"/>
              <w:bottom w:val="nil"/>
              <w:right w:val="nil"/>
            </w:tcBorders>
          </w:tcPr>
          <w:p w14:paraId="1C347F02" w14:textId="77777777" w:rsidR="00F77691" w:rsidRDefault="00F77691" w:rsidP="000E1E7C">
            <w:pPr>
              <w:jc w:val="center"/>
            </w:pPr>
          </w:p>
        </w:tc>
        <w:tc>
          <w:tcPr>
            <w:tcW w:w="0" w:type="auto"/>
          </w:tcPr>
          <w:p w14:paraId="24F92886" w14:textId="77777777" w:rsidR="00F77691" w:rsidRDefault="00F77691" w:rsidP="000E1E7C">
            <w:pPr>
              <w:jc w:val="center"/>
            </w:pPr>
            <w:r w:rsidRPr="005B7BEE">
              <w:rPr>
                <w:sz w:val="14"/>
                <w:szCs w:val="14"/>
              </w:rPr>
              <w:t>Occasional</w:t>
            </w:r>
          </w:p>
        </w:tc>
        <w:tc>
          <w:tcPr>
            <w:tcW w:w="0" w:type="auto"/>
          </w:tcPr>
          <w:p w14:paraId="05946A62" w14:textId="77777777" w:rsidR="00F77691" w:rsidRDefault="00F77691" w:rsidP="000E1E7C">
            <w:pPr>
              <w:jc w:val="center"/>
            </w:pPr>
          </w:p>
        </w:tc>
        <w:tc>
          <w:tcPr>
            <w:tcW w:w="0" w:type="auto"/>
          </w:tcPr>
          <w:p w14:paraId="29C1F2F1" w14:textId="77777777" w:rsidR="00F77691" w:rsidRDefault="00F77691" w:rsidP="000E1E7C">
            <w:pPr>
              <w:jc w:val="center"/>
            </w:pPr>
          </w:p>
        </w:tc>
        <w:tc>
          <w:tcPr>
            <w:tcW w:w="0" w:type="auto"/>
          </w:tcPr>
          <w:p w14:paraId="1091CA04" w14:textId="77777777" w:rsidR="00F77691" w:rsidRDefault="00F77691" w:rsidP="000E1E7C">
            <w:pPr>
              <w:jc w:val="center"/>
            </w:pPr>
          </w:p>
        </w:tc>
        <w:tc>
          <w:tcPr>
            <w:tcW w:w="0" w:type="auto"/>
          </w:tcPr>
          <w:p w14:paraId="43FFB35A" w14:textId="77777777" w:rsidR="00F77691" w:rsidRDefault="00F77691" w:rsidP="000E1E7C">
            <w:pPr>
              <w:jc w:val="center"/>
            </w:pPr>
          </w:p>
        </w:tc>
        <w:tc>
          <w:tcPr>
            <w:tcW w:w="0" w:type="auto"/>
          </w:tcPr>
          <w:p w14:paraId="43904A81" w14:textId="77777777" w:rsidR="00F77691" w:rsidRDefault="00F77691" w:rsidP="000E1E7C">
            <w:pPr>
              <w:jc w:val="center"/>
            </w:pPr>
          </w:p>
        </w:tc>
      </w:tr>
      <w:tr w:rsidR="00F77691" w:rsidRPr="00F60A9B" w14:paraId="34294228" w14:textId="77777777" w:rsidTr="000E1E7C">
        <w:trPr>
          <w:jc w:val="center"/>
        </w:trPr>
        <w:tc>
          <w:tcPr>
            <w:tcW w:w="0" w:type="auto"/>
            <w:tcBorders>
              <w:right w:val="single" w:sz="12" w:space="0" w:color="auto"/>
            </w:tcBorders>
          </w:tcPr>
          <w:p w14:paraId="03961237" w14:textId="77777777" w:rsidR="00F77691" w:rsidRPr="005B7BEE" w:rsidRDefault="00F77691" w:rsidP="000E1E7C">
            <w:pPr>
              <w:rPr>
                <w:sz w:val="14"/>
                <w:szCs w:val="14"/>
              </w:rPr>
            </w:pPr>
            <w:r w:rsidRPr="005B7BEE">
              <w:rPr>
                <w:sz w:val="14"/>
                <w:szCs w:val="14"/>
              </w:rPr>
              <w:t>Remote</w:t>
            </w:r>
          </w:p>
        </w:tc>
        <w:tc>
          <w:tcPr>
            <w:tcW w:w="0" w:type="auto"/>
            <w:tcBorders>
              <w:left w:val="single" w:sz="12" w:space="0" w:color="auto"/>
            </w:tcBorders>
          </w:tcPr>
          <w:p w14:paraId="2F4583C6" w14:textId="77777777" w:rsidR="00F77691" w:rsidRPr="00F60A9B" w:rsidRDefault="00F77691" w:rsidP="000E1E7C">
            <w:pPr>
              <w:jc w:val="center"/>
            </w:pPr>
          </w:p>
        </w:tc>
        <w:tc>
          <w:tcPr>
            <w:tcW w:w="0" w:type="auto"/>
          </w:tcPr>
          <w:p w14:paraId="18DD1AD3" w14:textId="77777777" w:rsidR="00F77691" w:rsidRPr="00210DD1" w:rsidRDefault="00F77691" w:rsidP="000E1E7C">
            <w:pPr>
              <w:jc w:val="center"/>
            </w:pPr>
          </w:p>
        </w:tc>
        <w:tc>
          <w:tcPr>
            <w:tcW w:w="0" w:type="auto"/>
          </w:tcPr>
          <w:p w14:paraId="755AC699" w14:textId="77777777" w:rsidR="00F77691" w:rsidRPr="00210DD1" w:rsidRDefault="00F77691" w:rsidP="000E1E7C">
            <w:pPr>
              <w:jc w:val="center"/>
            </w:pPr>
          </w:p>
        </w:tc>
        <w:tc>
          <w:tcPr>
            <w:tcW w:w="0" w:type="auto"/>
          </w:tcPr>
          <w:p w14:paraId="3681D365" w14:textId="77777777" w:rsidR="00F77691" w:rsidRPr="00210DD1" w:rsidRDefault="00F77691" w:rsidP="000E1E7C">
            <w:pPr>
              <w:jc w:val="center"/>
            </w:pPr>
          </w:p>
        </w:tc>
        <w:tc>
          <w:tcPr>
            <w:tcW w:w="0" w:type="auto"/>
          </w:tcPr>
          <w:p w14:paraId="2D978E41" w14:textId="77777777" w:rsidR="00F77691" w:rsidRPr="00F60A9B" w:rsidRDefault="00F77691" w:rsidP="000E1E7C">
            <w:pPr>
              <w:jc w:val="center"/>
            </w:pPr>
          </w:p>
        </w:tc>
        <w:tc>
          <w:tcPr>
            <w:tcW w:w="0" w:type="auto"/>
            <w:tcBorders>
              <w:top w:val="nil"/>
              <w:left w:val="nil"/>
              <w:bottom w:val="nil"/>
              <w:right w:val="nil"/>
            </w:tcBorders>
          </w:tcPr>
          <w:p w14:paraId="2A390ECF" w14:textId="77777777" w:rsidR="00F77691" w:rsidRDefault="00F77691" w:rsidP="000E1E7C">
            <w:pPr>
              <w:jc w:val="center"/>
            </w:pPr>
          </w:p>
        </w:tc>
        <w:tc>
          <w:tcPr>
            <w:tcW w:w="0" w:type="auto"/>
          </w:tcPr>
          <w:p w14:paraId="69F9E1B4" w14:textId="77777777" w:rsidR="00F77691" w:rsidRDefault="00F77691" w:rsidP="000E1E7C">
            <w:pPr>
              <w:jc w:val="center"/>
            </w:pPr>
            <w:r w:rsidRPr="005B7BEE">
              <w:rPr>
                <w:sz w:val="14"/>
                <w:szCs w:val="14"/>
              </w:rPr>
              <w:t>Remote</w:t>
            </w:r>
          </w:p>
        </w:tc>
        <w:tc>
          <w:tcPr>
            <w:tcW w:w="0" w:type="auto"/>
          </w:tcPr>
          <w:p w14:paraId="3254B3AC" w14:textId="77777777" w:rsidR="00F77691" w:rsidRDefault="00F77691" w:rsidP="000E1E7C">
            <w:pPr>
              <w:jc w:val="center"/>
            </w:pPr>
          </w:p>
        </w:tc>
        <w:tc>
          <w:tcPr>
            <w:tcW w:w="0" w:type="auto"/>
          </w:tcPr>
          <w:p w14:paraId="767D9BEE" w14:textId="77777777" w:rsidR="00F77691" w:rsidRDefault="00F77691" w:rsidP="000E1E7C">
            <w:pPr>
              <w:jc w:val="center"/>
            </w:pPr>
          </w:p>
        </w:tc>
        <w:tc>
          <w:tcPr>
            <w:tcW w:w="0" w:type="auto"/>
          </w:tcPr>
          <w:p w14:paraId="4BD4007B" w14:textId="77777777" w:rsidR="00F77691" w:rsidRDefault="00F77691" w:rsidP="000E1E7C">
            <w:pPr>
              <w:jc w:val="center"/>
            </w:pPr>
          </w:p>
        </w:tc>
        <w:tc>
          <w:tcPr>
            <w:tcW w:w="0" w:type="auto"/>
          </w:tcPr>
          <w:p w14:paraId="1F2354D0" w14:textId="77777777" w:rsidR="00F77691" w:rsidRDefault="00F77691" w:rsidP="000E1E7C">
            <w:pPr>
              <w:jc w:val="center"/>
            </w:pPr>
          </w:p>
        </w:tc>
        <w:tc>
          <w:tcPr>
            <w:tcW w:w="0" w:type="auto"/>
          </w:tcPr>
          <w:p w14:paraId="29797925" w14:textId="77777777" w:rsidR="00F77691" w:rsidRDefault="00F77691" w:rsidP="000E1E7C">
            <w:pPr>
              <w:jc w:val="center"/>
            </w:pPr>
          </w:p>
        </w:tc>
      </w:tr>
      <w:tr w:rsidR="00F77691" w:rsidRPr="00F60A9B" w14:paraId="7F9F7C11" w14:textId="77777777" w:rsidTr="000E1E7C">
        <w:trPr>
          <w:jc w:val="center"/>
        </w:trPr>
        <w:tc>
          <w:tcPr>
            <w:tcW w:w="0" w:type="auto"/>
            <w:tcBorders>
              <w:right w:val="single" w:sz="12" w:space="0" w:color="auto"/>
            </w:tcBorders>
          </w:tcPr>
          <w:p w14:paraId="2DDBB779" w14:textId="77777777" w:rsidR="00F77691" w:rsidRPr="005B7BEE" w:rsidRDefault="00F77691" w:rsidP="000E1E7C">
            <w:pPr>
              <w:rPr>
                <w:sz w:val="14"/>
                <w:szCs w:val="14"/>
              </w:rPr>
            </w:pPr>
            <w:r w:rsidRPr="005B7BEE">
              <w:rPr>
                <w:sz w:val="14"/>
                <w:szCs w:val="14"/>
              </w:rPr>
              <w:t>Improbable</w:t>
            </w:r>
          </w:p>
        </w:tc>
        <w:tc>
          <w:tcPr>
            <w:tcW w:w="0" w:type="auto"/>
            <w:tcBorders>
              <w:left w:val="single" w:sz="12" w:space="0" w:color="auto"/>
            </w:tcBorders>
          </w:tcPr>
          <w:p w14:paraId="611A669C" w14:textId="77777777" w:rsidR="00F77691" w:rsidRPr="00F60A9B" w:rsidRDefault="00F77691" w:rsidP="000E1E7C">
            <w:pPr>
              <w:jc w:val="center"/>
            </w:pPr>
          </w:p>
        </w:tc>
        <w:tc>
          <w:tcPr>
            <w:tcW w:w="0" w:type="auto"/>
          </w:tcPr>
          <w:p w14:paraId="4CDF5DB7" w14:textId="77777777" w:rsidR="00F77691" w:rsidRPr="00210DD1" w:rsidRDefault="00F77691" w:rsidP="000E1E7C">
            <w:pPr>
              <w:jc w:val="center"/>
            </w:pPr>
          </w:p>
        </w:tc>
        <w:tc>
          <w:tcPr>
            <w:tcW w:w="0" w:type="auto"/>
          </w:tcPr>
          <w:p w14:paraId="301B16AA" w14:textId="77777777" w:rsidR="00F77691" w:rsidRPr="00210DD1" w:rsidRDefault="00F77691" w:rsidP="000E1E7C">
            <w:pPr>
              <w:jc w:val="center"/>
            </w:pPr>
          </w:p>
        </w:tc>
        <w:tc>
          <w:tcPr>
            <w:tcW w:w="0" w:type="auto"/>
          </w:tcPr>
          <w:p w14:paraId="1A4141CA" w14:textId="77777777" w:rsidR="00F77691" w:rsidRPr="00210DD1" w:rsidRDefault="00F77691" w:rsidP="000E1E7C">
            <w:pPr>
              <w:jc w:val="center"/>
            </w:pPr>
          </w:p>
        </w:tc>
        <w:tc>
          <w:tcPr>
            <w:tcW w:w="0" w:type="auto"/>
          </w:tcPr>
          <w:p w14:paraId="5485A78A" w14:textId="77777777" w:rsidR="00F77691" w:rsidRPr="00F60A9B" w:rsidRDefault="00F77691" w:rsidP="000E1E7C">
            <w:pPr>
              <w:keepNext/>
              <w:jc w:val="center"/>
            </w:pPr>
          </w:p>
        </w:tc>
        <w:tc>
          <w:tcPr>
            <w:tcW w:w="0" w:type="auto"/>
            <w:tcBorders>
              <w:top w:val="nil"/>
              <w:left w:val="nil"/>
              <w:bottom w:val="nil"/>
              <w:right w:val="nil"/>
            </w:tcBorders>
          </w:tcPr>
          <w:p w14:paraId="26794C13" w14:textId="77777777" w:rsidR="00F77691" w:rsidRDefault="00F77691" w:rsidP="000E1E7C">
            <w:pPr>
              <w:keepNext/>
              <w:jc w:val="center"/>
            </w:pPr>
          </w:p>
        </w:tc>
        <w:tc>
          <w:tcPr>
            <w:tcW w:w="0" w:type="auto"/>
          </w:tcPr>
          <w:p w14:paraId="166840CF" w14:textId="77777777" w:rsidR="00F77691" w:rsidRDefault="00F77691" w:rsidP="000E1E7C">
            <w:pPr>
              <w:keepNext/>
              <w:jc w:val="center"/>
            </w:pPr>
            <w:r w:rsidRPr="005B7BEE">
              <w:rPr>
                <w:sz w:val="14"/>
                <w:szCs w:val="14"/>
              </w:rPr>
              <w:t>Improbable</w:t>
            </w:r>
          </w:p>
        </w:tc>
        <w:tc>
          <w:tcPr>
            <w:tcW w:w="0" w:type="auto"/>
          </w:tcPr>
          <w:p w14:paraId="388AF8C0" w14:textId="77777777" w:rsidR="00F77691" w:rsidRDefault="00F77691" w:rsidP="000E1E7C">
            <w:pPr>
              <w:keepNext/>
              <w:jc w:val="center"/>
            </w:pPr>
          </w:p>
        </w:tc>
        <w:tc>
          <w:tcPr>
            <w:tcW w:w="0" w:type="auto"/>
          </w:tcPr>
          <w:p w14:paraId="4675B664" w14:textId="77777777" w:rsidR="00F77691" w:rsidRDefault="00F77691" w:rsidP="000E1E7C">
            <w:pPr>
              <w:keepNext/>
              <w:jc w:val="center"/>
            </w:pPr>
          </w:p>
        </w:tc>
        <w:tc>
          <w:tcPr>
            <w:tcW w:w="0" w:type="auto"/>
          </w:tcPr>
          <w:p w14:paraId="2CE2EF99" w14:textId="77777777" w:rsidR="00F77691" w:rsidRDefault="00F77691" w:rsidP="000E1E7C">
            <w:pPr>
              <w:keepNext/>
              <w:jc w:val="center"/>
            </w:pPr>
          </w:p>
        </w:tc>
        <w:tc>
          <w:tcPr>
            <w:tcW w:w="0" w:type="auto"/>
          </w:tcPr>
          <w:p w14:paraId="190E8F2F" w14:textId="77777777" w:rsidR="00F77691" w:rsidRDefault="00F77691" w:rsidP="000E1E7C">
            <w:pPr>
              <w:keepNext/>
              <w:jc w:val="center"/>
            </w:pPr>
          </w:p>
        </w:tc>
        <w:tc>
          <w:tcPr>
            <w:tcW w:w="0" w:type="auto"/>
          </w:tcPr>
          <w:p w14:paraId="5E97C64E" w14:textId="77777777" w:rsidR="00F77691" w:rsidRDefault="00F77691" w:rsidP="00C76819">
            <w:pPr>
              <w:keepNext/>
              <w:jc w:val="center"/>
            </w:pPr>
          </w:p>
        </w:tc>
      </w:tr>
    </w:tbl>
    <w:p w14:paraId="0D252E9F" w14:textId="537A35C7" w:rsidR="00C76819" w:rsidRDefault="00C76819" w:rsidP="007068C7">
      <w:pPr>
        <w:pStyle w:val="Caption"/>
        <w:keepNext/>
        <w:spacing w:before="120"/>
        <w:jc w:val="center"/>
      </w:pPr>
      <w:bookmarkStart w:id="46" w:name="_Ref147639186"/>
      <w:r>
        <w:t xml:space="preserve">Equation </w:t>
      </w:r>
      <w:r>
        <w:fldChar w:fldCharType="begin"/>
      </w:r>
      <w:r>
        <w:instrText xml:space="preserve"> SEQ Equation \* ARABIC </w:instrText>
      </w:r>
      <w:r>
        <w:fldChar w:fldCharType="separate"/>
      </w:r>
      <w:r w:rsidR="003468AE">
        <w:rPr>
          <w:noProof/>
        </w:rPr>
        <w:t>9</w:t>
      </w:r>
      <w:r>
        <w:rPr>
          <w:noProof/>
        </w:rPr>
        <w:fldChar w:fldCharType="end"/>
      </w:r>
      <w:bookmarkEnd w:id="46"/>
    </w:p>
    <w:p w14:paraId="75F66B37" w14:textId="77777777" w:rsidR="00E61623" w:rsidRDefault="00E61623" w:rsidP="00F77691">
      <w:pPr>
        <w:spacing w:before="200"/>
      </w:pPr>
      <w:r>
        <w:t>w</w:t>
      </w:r>
      <w:r w:rsidR="007235EF">
        <w:t>here</w:t>
      </w:r>
      <w:r>
        <w:t xml:space="preserve">: </w:t>
      </w:r>
    </w:p>
    <w:p w14:paraId="2EE66479" w14:textId="6166C10D" w:rsidR="00E61623" w:rsidRDefault="00E61623">
      <w:pPr>
        <w:pStyle w:val="ListParagraph"/>
        <w:numPr>
          <w:ilvl w:val="0"/>
          <w:numId w:val="23"/>
        </w:numPr>
        <w:spacing w:before="200"/>
      </w:pPr>
      <w:r>
        <w:t>Each</w:t>
      </w:r>
      <w:r w:rsidR="007235EF">
        <w:t xml:space="preserve"> </w:t>
      </w:r>
      <w:r>
        <w:t xml:space="preserve">table in </w:t>
      </w:r>
      <w:r w:rsidR="007235EF">
        <w:fldChar w:fldCharType="begin"/>
      </w:r>
      <w:r w:rsidR="007235EF">
        <w:instrText xml:space="preserve"> REF _Ref147639186 \h </w:instrText>
      </w:r>
      <w:r w:rsidR="007235EF">
        <w:fldChar w:fldCharType="separate"/>
      </w:r>
      <w:r w:rsidR="001E41EA">
        <w:t xml:space="preserve">Equation </w:t>
      </w:r>
      <w:r w:rsidR="001E41EA">
        <w:rPr>
          <w:noProof/>
        </w:rPr>
        <w:t>9</w:t>
      </w:r>
      <w:r w:rsidR="007235EF">
        <w:fldChar w:fldCharType="end"/>
      </w:r>
      <w:r w:rsidR="007235EF">
        <w:t xml:space="preserve"> </w:t>
      </w:r>
      <w:r>
        <w:t xml:space="preserve">represents a set of risks (the set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t xml:space="preserve"> on the left-hand side of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and the set </w:t>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w:r>
        <w:t xml:space="preserve"> on the right-hand side of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w:t>
      </w:r>
    </w:p>
    <w:p w14:paraId="466823C2" w14:textId="3E801BCB" w:rsidR="00E61623" w:rsidRPr="00E61623" w:rsidRDefault="00E61623">
      <w:pPr>
        <w:pStyle w:val="ListParagraph"/>
        <w:numPr>
          <w:ilvl w:val="0"/>
          <w:numId w:val="23"/>
        </w:numPr>
        <w:spacing w:before="200"/>
        <w:rPr>
          <w:rFonts w:eastAsiaTheme="minorEastAsia"/>
        </w:rPr>
      </w:pPr>
      <w:r>
        <w:t xml:space="preserve">Each cell in each table in </w:t>
      </w:r>
      <w:r w:rsidR="00F77691">
        <w:t xml:space="preserve">contains a </w:t>
      </w:r>
      <w:r w:rsidR="00F77691" w:rsidRPr="00E61623">
        <w:rPr>
          <w:rFonts w:eastAsiaTheme="minorEastAsia"/>
        </w:rPr>
        <w:t xml:space="preserve">‘count’ of </w:t>
      </w:r>
      <w:r w:rsidRPr="00E61623">
        <w:rPr>
          <w:rFonts w:eastAsiaTheme="minorEastAsia"/>
        </w:rPr>
        <w:t xml:space="preserve">the </w:t>
      </w:r>
      <w:r w:rsidR="00F77691" w:rsidRPr="00E61623">
        <w:rPr>
          <w:rFonts w:eastAsiaTheme="minorEastAsia"/>
        </w:rPr>
        <w:t>number of risks</w:t>
      </w:r>
      <w:r w:rsidR="00C6207B" w:rsidRPr="00E61623">
        <w:rPr>
          <w:rFonts w:eastAsiaTheme="minorEastAsia"/>
        </w:rPr>
        <w:t xml:space="preserve"> with that cell’s combination or probability and severity</w:t>
      </w:r>
      <w:r w:rsidRPr="00E61623">
        <w:rPr>
          <w:rFonts w:eastAsiaTheme="minorEastAsia"/>
        </w:rPr>
        <w:t xml:space="preserve">, and </w:t>
      </w:r>
    </w:p>
    <w:p w14:paraId="75A21DE5" w14:textId="665931ED" w:rsidR="00E61623" w:rsidRPr="00026FE1" w:rsidRDefault="00E61623">
      <w:pPr>
        <w:pStyle w:val="ListParagraph"/>
        <w:numPr>
          <w:ilvl w:val="0"/>
          <w:numId w:val="23"/>
        </w:numPr>
        <w:spacing w:before="200"/>
        <w:rPr>
          <w:rFonts w:eastAsiaTheme="minorEastAsia"/>
        </w:rPr>
      </w:pPr>
      <w:r>
        <w:rPr>
          <w:rFonts w:eastAsiaTheme="minorEastAsia"/>
        </w:rPr>
        <w:t xml:space="preserve">Each count is obtained by </w:t>
      </w:r>
      <w:r w:rsidRPr="00E61623">
        <w:rPr>
          <w:rFonts w:eastAsiaTheme="minorEastAsia"/>
        </w:rPr>
        <w:t xml:space="preserve">the process shown above to </w:t>
      </w:r>
      <w:r w:rsidR="0005372D">
        <w:rPr>
          <w:rFonts w:eastAsiaTheme="minorEastAsia"/>
        </w:rPr>
        <w:t xml:space="preserve">use </w:t>
      </w:r>
      <w:r w:rsidR="0005372D">
        <w:rPr>
          <w:rFonts w:eastAsiaTheme="minorEastAsia"/>
        </w:rPr>
        <w:fldChar w:fldCharType="begin"/>
      </w:r>
      <w:r w:rsidR="0005372D">
        <w:rPr>
          <w:rFonts w:eastAsiaTheme="minorEastAsia"/>
        </w:rPr>
        <w:instrText xml:space="preserve"> REF _Ref145004958 \h </w:instrText>
      </w:r>
      <w:r w:rsidR="0005372D">
        <w:rPr>
          <w:rFonts w:eastAsiaTheme="minorEastAsia"/>
        </w:rPr>
      </w:r>
      <w:r w:rsidR="0005372D">
        <w:rPr>
          <w:rFonts w:eastAsiaTheme="minorEastAsia"/>
        </w:rPr>
        <w:fldChar w:fldCharType="separate"/>
      </w:r>
      <w:r w:rsidR="001E41EA">
        <w:t xml:space="preserve">Table </w:t>
      </w:r>
      <w:r w:rsidR="001E41EA">
        <w:rPr>
          <w:noProof/>
        </w:rPr>
        <w:t>7</w:t>
      </w:r>
      <w:r w:rsidR="0005372D">
        <w:rPr>
          <w:rFonts w:eastAsiaTheme="minorEastAsia"/>
        </w:rPr>
        <w:fldChar w:fldCharType="end"/>
      </w:r>
      <w:r w:rsidR="0005372D">
        <w:rPr>
          <w:rFonts w:eastAsiaTheme="minorEastAsia"/>
        </w:rPr>
        <w:t xml:space="preserve"> to obtain a count in </w:t>
      </w:r>
      <w:r w:rsidR="0005372D">
        <w:rPr>
          <w:rFonts w:eastAsiaTheme="minorEastAsia"/>
        </w:rPr>
        <w:fldChar w:fldCharType="begin"/>
      </w:r>
      <w:r w:rsidR="0005372D">
        <w:rPr>
          <w:rFonts w:eastAsiaTheme="minorEastAsia"/>
        </w:rPr>
        <w:instrText xml:space="preserve"> REF _Ref145006272 \h </w:instrText>
      </w:r>
      <w:r w:rsidR="0005372D">
        <w:rPr>
          <w:rFonts w:eastAsiaTheme="minorEastAsia"/>
        </w:rPr>
      </w:r>
      <w:r w:rsidR="0005372D">
        <w:rPr>
          <w:rFonts w:eastAsiaTheme="minorEastAsia"/>
        </w:rPr>
        <w:fldChar w:fldCharType="separate"/>
      </w:r>
      <w:r w:rsidR="001E41EA" w:rsidRPr="006921FF">
        <w:t xml:space="preserve">Table </w:t>
      </w:r>
      <w:r w:rsidR="001E41EA">
        <w:rPr>
          <w:noProof/>
        </w:rPr>
        <w:t>8</w:t>
      </w:r>
      <w:r w:rsidR="0005372D">
        <w:rPr>
          <w:rFonts w:eastAsiaTheme="minorEastAsia"/>
        </w:rPr>
        <w:fldChar w:fldCharType="end"/>
      </w:r>
      <w:r w:rsidR="0005372D">
        <w:rPr>
          <w:rFonts w:eastAsiaTheme="minorEastAsia"/>
        </w:rPr>
        <w:t xml:space="preserve"> of the risks in </w:t>
      </w:r>
      <w:r w:rsidR="0005372D">
        <w:rPr>
          <w:rFonts w:eastAsiaTheme="minorEastAsia"/>
        </w:rPr>
        <w:fldChar w:fldCharType="begin"/>
      </w:r>
      <w:r w:rsidR="0005372D">
        <w:rPr>
          <w:rFonts w:eastAsiaTheme="minorEastAsia"/>
        </w:rPr>
        <w:instrText xml:space="preserve"> REF _Ref147639445 \h </w:instrText>
      </w:r>
      <w:r w:rsidR="0005372D">
        <w:rPr>
          <w:rFonts w:eastAsiaTheme="minorEastAsia"/>
        </w:rPr>
      </w:r>
      <w:r w:rsidR="0005372D">
        <w:rPr>
          <w:rFonts w:eastAsiaTheme="minorEastAsia"/>
        </w:rPr>
        <w:fldChar w:fldCharType="separate"/>
      </w:r>
      <w:r w:rsidR="001E41EA">
        <w:t xml:space="preserve">Equation </w:t>
      </w:r>
      <w:r w:rsidR="001E41EA">
        <w:rPr>
          <w:noProof/>
        </w:rPr>
        <w:t>6</w:t>
      </w:r>
      <w:r w:rsidR="0005372D">
        <w:rPr>
          <w:rFonts w:eastAsiaTheme="minorEastAsia"/>
        </w:rPr>
        <w:fldChar w:fldCharType="end"/>
      </w:r>
      <w:r w:rsidRPr="00E61623">
        <w:rPr>
          <w:rFonts w:eastAsiaTheme="minorEastAsia"/>
        </w:rPr>
        <w:t xml:space="preserve">. </w:t>
      </w:r>
      <w:r w:rsidRPr="00026FE1">
        <w:rPr>
          <w:rFonts w:eastAsiaTheme="minorEastAsia"/>
        </w:rPr>
        <w:t xml:space="preserve"> </w:t>
      </w:r>
    </w:p>
    <w:p w14:paraId="115BDE3C" w14:textId="77777777" w:rsidR="00BF69F8" w:rsidRPr="00BF69F8" w:rsidRDefault="00BF69F8" w:rsidP="00AA2310">
      <w:pPr>
        <w:spacing w:after="0" w:line="240" w:lineRule="auto"/>
        <w:rPr>
          <w:rFonts w:eastAsia="TimesNewRomanPSMT" w:cs="TimesNewRomanPSMT"/>
          <w:color w:val="000000"/>
          <w:szCs w:val="24"/>
        </w:rPr>
      </w:pPr>
    </w:p>
    <w:p w14:paraId="0C695900" w14:textId="6831910C" w:rsidR="00BF69F8" w:rsidRPr="00BF69F8" w:rsidRDefault="00BF69F8" w:rsidP="008A21B4">
      <w:pPr>
        <w:pStyle w:val="Heading2"/>
        <w:rPr>
          <w:b/>
          <w:bCs/>
          <w:u w:val="single"/>
        </w:rPr>
      </w:pPr>
      <w:bookmarkStart w:id="47" w:name="_Toc156728644"/>
      <w:r>
        <w:rPr>
          <w:b/>
          <w:bCs/>
          <w:u w:val="single"/>
        </w:rPr>
        <w:t>Implementation</w:t>
      </w:r>
      <w:bookmarkEnd w:id="47"/>
      <w:r w:rsidRPr="00BF69F8">
        <w:rPr>
          <w:b/>
          <w:bCs/>
          <w:u w:val="single"/>
        </w:rPr>
        <w:t xml:space="preserve"> </w:t>
      </w:r>
      <w:r w:rsidR="00082E8D">
        <w:rPr>
          <w:b/>
          <w:bCs/>
          <w:u w:val="single"/>
        </w:rPr>
        <w:t xml:space="preserve"> </w:t>
      </w:r>
    </w:p>
    <w:p w14:paraId="0A603B68" w14:textId="17EA362B" w:rsidR="00AE53A0" w:rsidRDefault="00BF69F8" w:rsidP="00BF69F8">
      <w:pPr>
        <w:autoSpaceDE w:val="0"/>
        <w:spacing w:line="240" w:lineRule="auto"/>
        <w:jc w:val="both"/>
      </w:pP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w:t>
      </w:r>
      <w:r w:rsidR="00404D73">
        <w:t xml:space="preserve">is the culmination of our application of </w:t>
      </w:r>
      <w:r w:rsidR="00404D73">
        <w:fldChar w:fldCharType="begin"/>
      </w:r>
      <w:r w:rsidR="00404D73">
        <w:instrText xml:space="preserve"> REF _Ref132953418 \h </w:instrText>
      </w:r>
      <w:r w:rsidR="00404D73">
        <w:fldChar w:fldCharType="separate"/>
      </w:r>
      <w:r w:rsidR="001E41EA" w:rsidRPr="00F60A9B">
        <w:t xml:space="preserve">Equation </w:t>
      </w:r>
      <w:r w:rsidR="001E41EA">
        <w:rPr>
          <w:noProof/>
        </w:rPr>
        <w:t>1</w:t>
      </w:r>
      <w:r w:rsidR="00404D73">
        <w:fldChar w:fldCharType="end"/>
      </w:r>
      <w:r w:rsidR="00404D73">
        <w:t xml:space="preserve">, </w:t>
      </w:r>
    </w:p>
    <w:p w14:paraId="79EAEA8B" w14:textId="77777777" w:rsidR="00404D73" w:rsidRDefault="00404D73" w:rsidP="00BF69F8">
      <w:pPr>
        <w:autoSpaceDE w:val="0"/>
        <w:spacing w:line="240" w:lineRule="auto"/>
        <w:jc w:val="both"/>
        <w:rPr>
          <w:rFonts w:eastAsiaTheme="minorEastAsia"/>
        </w:rPr>
      </w:pPr>
      <m:oMathPara>
        <m:oMath>
          <m:r>
            <w:rPr>
              <w:rFonts w:ascii="Cambria Math" w:hAnsi="Cambria Math"/>
            </w:rPr>
            <m:t>B&gt;R</m:t>
          </m:r>
        </m:oMath>
      </m:oMathPara>
    </w:p>
    <w:p w14:paraId="3C9060FE" w14:textId="04472F36" w:rsidR="00404D73" w:rsidRPr="00404D73" w:rsidRDefault="00404D73" w:rsidP="00404D73">
      <w:pPr>
        <w:autoSpaceDE w:val="0"/>
        <w:spacing w:line="240" w:lineRule="auto"/>
        <w:jc w:val="right"/>
        <w:rPr>
          <w:i/>
          <w:iCs/>
          <w:color w:val="44546A" w:themeColor="text2"/>
          <w:sz w:val="18"/>
          <w:szCs w:val="18"/>
        </w:rPr>
      </w:pPr>
      <w:r w:rsidRPr="00404D73">
        <w:rPr>
          <w:i/>
          <w:iCs/>
          <w:color w:val="44546A" w:themeColor="text2"/>
          <w:sz w:val="18"/>
          <w:szCs w:val="18"/>
        </w:rPr>
        <w:fldChar w:fldCharType="begin"/>
      </w:r>
      <m:oMath>
        <m:r>
          <m:rPr>
            <m:sty m:val="p"/>
          </m:rPr>
          <w:rPr>
            <w:rFonts w:ascii="Cambria Math" w:hAnsi="Cambria Math"/>
            <w:color w:val="44546A" w:themeColor="text2"/>
            <w:sz w:val="18"/>
            <w:szCs w:val="18"/>
          </w:rPr>
          <m:t xml:space="preserve"> REF _Ref132953418 \h </m:t>
        </m:r>
      </m:oMath>
      <w:r>
        <w:rPr>
          <w:i/>
          <w:iCs/>
          <w:color w:val="44546A" w:themeColor="text2"/>
          <w:sz w:val="18"/>
          <w:szCs w:val="18"/>
        </w:rPr>
        <w:instrText xml:space="preserve"> \* MERGEFORMAT </w:instrText>
      </w:r>
      <w:r w:rsidRPr="00404D73">
        <w:rPr>
          <w:i/>
          <w:iCs/>
          <w:color w:val="44546A" w:themeColor="text2"/>
          <w:sz w:val="18"/>
          <w:szCs w:val="18"/>
        </w:rPr>
      </w:r>
      <w:r w:rsidRPr="00404D73">
        <w:rPr>
          <w:i/>
          <w:iCs/>
          <w:color w:val="44546A" w:themeColor="text2"/>
          <w:sz w:val="18"/>
          <w:szCs w:val="18"/>
        </w:rPr>
        <w:fldChar w:fldCharType="separate"/>
      </w:r>
      <w:r w:rsidR="001E41EA" w:rsidRPr="001E41EA">
        <w:rPr>
          <w:i/>
          <w:iCs/>
          <w:color w:val="44546A" w:themeColor="text2"/>
          <w:sz w:val="18"/>
          <w:szCs w:val="18"/>
        </w:rPr>
        <w:t>Equation 1</w:t>
      </w:r>
      <w:r w:rsidRPr="00404D73">
        <w:rPr>
          <w:i/>
          <w:iCs/>
          <w:color w:val="44546A" w:themeColor="text2"/>
          <w:sz w:val="18"/>
          <w:szCs w:val="18"/>
        </w:rPr>
        <w:fldChar w:fldCharType="end"/>
      </w:r>
    </w:p>
    <w:p w14:paraId="76C24E0F" w14:textId="490C9006" w:rsidR="00404D73" w:rsidRDefault="00404D73" w:rsidP="00BF69F8">
      <w:pPr>
        <w:autoSpaceDE w:val="0"/>
        <w:spacing w:line="240" w:lineRule="auto"/>
        <w:jc w:val="both"/>
        <w:rPr>
          <w:rFonts w:eastAsia="TimesNewRomanPSMT" w:cs="TimesNewRomanPSMT"/>
          <w:bCs/>
          <w:color w:val="000000"/>
          <w:szCs w:val="24"/>
        </w:rPr>
      </w:pPr>
      <w:r>
        <w:rPr>
          <w:rFonts w:eastAsia="TimesNewRomanPSMT" w:cs="TimesNewRomanPSMT"/>
          <w:bCs/>
          <w:color w:val="000000"/>
          <w:szCs w:val="24"/>
        </w:rPr>
        <w:t xml:space="preserve">Attachment A explains four rules of a ‘risk algebra’ that can be used to simplify </w:t>
      </w:r>
      <w:r>
        <w:rPr>
          <w:rFonts w:eastAsia="TimesNewRomanPSMT" w:cs="TimesNewRomanPSMT"/>
          <w:bCs/>
          <w:color w:val="000000"/>
          <w:szCs w:val="24"/>
        </w:rPr>
        <w:fldChar w:fldCharType="begin"/>
      </w:r>
      <w:r>
        <w:rPr>
          <w:rFonts w:eastAsia="TimesNewRomanPSMT" w:cs="TimesNewRomanPSMT"/>
          <w:bCs/>
          <w:color w:val="000000"/>
          <w:szCs w:val="24"/>
        </w:rPr>
        <w:instrText xml:space="preserve"> REF _Ref147639186 \h </w:instrText>
      </w:r>
      <w:r>
        <w:rPr>
          <w:rFonts w:eastAsia="TimesNewRomanPSMT" w:cs="TimesNewRomanPSMT"/>
          <w:bCs/>
          <w:color w:val="000000"/>
          <w:szCs w:val="24"/>
        </w:rPr>
      </w:r>
      <w:r>
        <w:rPr>
          <w:rFonts w:eastAsia="TimesNewRomanPSMT" w:cs="TimesNewRomanPSMT"/>
          <w:bCs/>
          <w:color w:val="000000"/>
          <w:szCs w:val="24"/>
        </w:rPr>
        <w:fldChar w:fldCharType="separate"/>
      </w:r>
      <w:r w:rsidR="001E41EA">
        <w:t xml:space="preserve">Equation </w:t>
      </w:r>
      <w:r w:rsidR="001E41EA">
        <w:rPr>
          <w:noProof/>
        </w:rPr>
        <w:t>9</w:t>
      </w:r>
      <w:r>
        <w:rPr>
          <w:rFonts w:eastAsia="TimesNewRomanPSMT" w:cs="TimesNewRomanPSMT"/>
          <w:bCs/>
          <w:color w:val="000000"/>
          <w:szCs w:val="24"/>
        </w:rPr>
        <w:fldChar w:fldCharType="end"/>
      </w:r>
      <w:r>
        <w:rPr>
          <w:rFonts w:eastAsia="TimesNewRomanPSMT" w:cs="TimesNewRomanPSMT"/>
          <w:bCs/>
          <w:color w:val="000000"/>
          <w:szCs w:val="24"/>
        </w:rPr>
        <w:t xml:space="preserve"> until it is intuitively obvious whether it is true or not.  Because these rules are designed to not change whether the inequality in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is true or not, if the simplified version of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is true, then </w:t>
      </w:r>
      <w:r>
        <w:fldChar w:fldCharType="begin"/>
      </w:r>
      <w:r>
        <w:instrText xml:space="preserve"> REF _Ref132953418 \h </w:instrText>
      </w:r>
      <w:r>
        <w:fldChar w:fldCharType="separate"/>
      </w:r>
      <w:r w:rsidR="001E41EA" w:rsidRPr="00F60A9B">
        <w:t xml:space="preserve">Equation </w:t>
      </w:r>
      <w:r w:rsidR="001E41EA">
        <w:rPr>
          <w:noProof/>
        </w:rPr>
        <w:t>1</w:t>
      </w:r>
      <w:r>
        <w:fldChar w:fldCharType="end"/>
      </w:r>
      <w:r>
        <w:t xml:space="preserve"> is true; i.e., the benefit of the medical treatment outweighs the risks.  </w:t>
      </w:r>
    </w:p>
    <w:p w14:paraId="4FDAF3EC" w14:textId="21CD11C1" w:rsidR="00404D73" w:rsidRDefault="008D14D9" w:rsidP="00330786">
      <w:pPr>
        <w:autoSpaceDE w:val="0"/>
        <w:spacing w:after="60" w:line="240" w:lineRule="auto"/>
        <w:jc w:val="both"/>
        <w:rPr>
          <w:rFonts w:eastAsia="TimesNewRomanPSMT" w:cs="TimesNewRomanPSMT"/>
          <w:bCs/>
          <w:color w:val="000000"/>
          <w:szCs w:val="24"/>
        </w:rPr>
      </w:pPr>
      <w:r>
        <w:rPr>
          <w:rFonts w:eastAsia="TimesNewRomanPSMT" w:cs="TimesNewRomanPSMT"/>
          <w:bCs/>
          <w:color w:val="000000"/>
          <w:szCs w:val="24"/>
        </w:rPr>
        <w:t>Attachment B contains two examples of the process</w:t>
      </w:r>
      <w:r w:rsidR="00330786">
        <w:rPr>
          <w:rFonts w:eastAsia="TimesNewRomanPSMT" w:cs="TimesNewRomanPSMT"/>
          <w:bCs/>
          <w:color w:val="000000"/>
          <w:szCs w:val="24"/>
        </w:rPr>
        <w:t>, from start to finish,</w:t>
      </w:r>
      <w:r>
        <w:rPr>
          <w:rFonts w:eastAsia="TimesNewRomanPSMT" w:cs="TimesNewRomanPSMT"/>
          <w:bCs/>
          <w:color w:val="000000"/>
          <w:szCs w:val="24"/>
        </w:rPr>
        <w:t xml:space="preserve"> of applying the method in this paper to determine whether the benefit of a medical treatment outweighs the risks.  Both examples use the same medical treatment - a blood transfusion.  The first example uses the patient population of people who arrive at an ER with bleeding ulcers and who meet the site’s protocol for needing a blood transfusion.  </w:t>
      </w:r>
      <w:r>
        <w:rPr>
          <w:rFonts w:eastAsia="TimesNewRomanPSMT" w:cs="TimesNewRomanPSMT"/>
          <w:bCs/>
          <w:color w:val="000000"/>
          <w:szCs w:val="24"/>
        </w:rPr>
        <w:lastRenderedPageBreak/>
        <w:t xml:space="preserve">The second example uses a slightly different patient population – all people who arrive at an ER with bleeding ulcers, including those that do not meet the site’s protocol for needing a blood transfusion. </w:t>
      </w:r>
    </w:p>
    <w:p w14:paraId="34EA9F75" w14:textId="4A94DBCA" w:rsidR="008D14D9" w:rsidRDefault="008D14D9">
      <w:pPr>
        <w:pStyle w:val="ListParagraph"/>
        <w:numPr>
          <w:ilvl w:val="0"/>
          <w:numId w:val="38"/>
        </w:numPr>
        <w:autoSpaceDE w:val="0"/>
        <w:spacing w:line="240" w:lineRule="auto"/>
        <w:jc w:val="both"/>
        <w:rPr>
          <w:rFonts w:eastAsia="TimesNewRomanPSMT" w:cs="TimesNewRomanPSMT"/>
          <w:bCs/>
          <w:color w:val="000000"/>
          <w:szCs w:val="24"/>
        </w:rPr>
      </w:pPr>
      <w:r>
        <w:rPr>
          <w:rFonts w:eastAsia="TimesNewRomanPSMT" w:cs="TimesNewRomanPSMT"/>
          <w:bCs/>
          <w:color w:val="000000"/>
          <w:szCs w:val="24"/>
        </w:rPr>
        <w:t xml:space="preserve">In the first example, the method in this paper affirms that the site’s protocol for transfusing patients </w:t>
      </w:r>
      <w:r w:rsidR="0098688C">
        <w:rPr>
          <w:rFonts w:eastAsia="TimesNewRomanPSMT" w:cs="TimesNewRomanPSMT"/>
          <w:bCs/>
          <w:color w:val="000000"/>
          <w:szCs w:val="24"/>
        </w:rPr>
        <w:t xml:space="preserve">with bleeding ulcers </w:t>
      </w:r>
      <w:r>
        <w:rPr>
          <w:rFonts w:eastAsia="TimesNewRomanPSMT" w:cs="TimesNewRomanPSMT"/>
          <w:bCs/>
          <w:color w:val="000000"/>
          <w:szCs w:val="24"/>
        </w:rPr>
        <w:t xml:space="preserve">by </w:t>
      </w:r>
      <w:r w:rsidR="0098688C">
        <w:rPr>
          <w:rFonts w:eastAsia="TimesNewRomanPSMT" w:cs="TimesNewRomanPSMT"/>
          <w:bCs/>
          <w:color w:val="000000"/>
          <w:szCs w:val="24"/>
        </w:rPr>
        <w:t xml:space="preserve">concluding that </w:t>
      </w:r>
      <w:r>
        <w:rPr>
          <w:rFonts w:eastAsia="TimesNewRomanPSMT" w:cs="TimesNewRomanPSMT"/>
          <w:bCs/>
          <w:color w:val="000000"/>
          <w:szCs w:val="24"/>
        </w:rPr>
        <w:t xml:space="preserve">the benefits of a blood transfusion exceed the risks. </w:t>
      </w:r>
    </w:p>
    <w:p w14:paraId="5061976F" w14:textId="463CDCCF" w:rsidR="0098688C" w:rsidRDefault="0098688C">
      <w:pPr>
        <w:pStyle w:val="ListParagraph"/>
        <w:numPr>
          <w:ilvl w:val="0"/>
          <w:numId w:val="38"/>
        </w:numPr>
        <w:autoSpaceDE w:val="0"/>
        <w:spacing w:after="60" w:line="240" w:lineRule="auto"/>
        <w:jc w:val="both"/>
        <w:rPr>
          <w:rFonts w:eastAsia="TimesNewRomanPSMT" w:cs="TimesNewRomanPSMT"/>
          <w:bCs/>
          <w:color w:val="000000"/>
          <w:szCs w:val="24"/>
        </w:rPr>
      </w:pPr>
      <w:r>
        <w:rPr>
          <w:rFonts w:eastAsia="TimesNewRomanPSMT" w:cs="TimesNewRomanPSMT"/>
          <w:bCs/>
          <w:color w:val="000000"/>
          <w:szCs w:val="24"/>
        </w:rPr>
        <w:t>In the second example, the method in this paper concludes that, for the larger population of all patients with bleeding ulcers, including those who do not meet the site’s protocol</w:t>
      </w:r>
      <w:r w:rsidR="00330786">
        <w:rPr>
          <w:rFonts w:eastAsia="TimesNewRomanPSMT" w:cs="TimesNewRomanPSMT"/>
          <w:bCs/>
          <w:color w:val="000000"/>
          <w:szCs w:val="24"/>
        </w:rPr>
        <w:t xml:space="preserve"> for needing a blood transfusion, the risks of a blood transfusion outweigh the benefits. </w:t>
      </w:r>
    </w:p>
    <w:p w14:paraId="32BDADCB" w14:textId="4802CF5B" w:rsidR="00330786" w:rsidRDefault="00330786" w:rsidP="00330786">
      <w:pPr>
        <w:autoSpaceDE w:val="0"/>
        <w:spacing w:line="240" w:lineRule="auto"/>
        <w:jc w:val="both"/>
        <w:rPr>
          <w:rFonts w:eastAsia="TimesNewRomanPSMT" w:cs="TimesNewRomanPSMT"/>
          <w:bCs/>
          <w:color w:val="000000"/>
          <w:szCs w:val="24"/>
        </w:rPr>
      </w:pPr>
      <w:r>
        <w:rPr>
          <w:rFonts w:eastAsia="TimesNewRomanPSMT" w:cs="TimesNewRomanPSMT"/>
          <w:bCs/>
          <w:color w:val="000000"/>
          <w:szCs w:val="24"/>
        </w:rPr>
        <w:t xml:space="preserve">In short, the method in this paper concurs with current practice at an ER to both give, and to not give, patients with bleeding ulcers a blood transfusion.  </w:t>
      </w:r>
    </w:p>
    <w:p w14:paraId="04862D71" w14:textId="702F5A0B" w:rsidR="00D2002E" w:rsidRDefault="006C3714" w:rsidP="00330786">
      <w:pPr>
        <w:autoSpaceDE w:val="0"/>
        <w:spacing w:line="240" w:lineRule="auto"/>
        <w:jc w:val="both"/>
        <w:rPr>
          <w:rFonts w:eastAsia="TimesNewRomanPSMT" w:cs="TimesNewRomanPSMT"/>
          <w:bCs/>
          <w:color w:val="000000"/>
          <w:szCs w:val="24"/>
        </w:rPr>
      </w:pPr>
      <w:r>
        <w:rPr>
          <w:rFonts w:eastAsia="TimesNewRomanPSMT" w:cs="TimesNewRomanPSMT"/>
          <w:bCs/>
          <w:color w:val="000000"/>
          <w:szCs w:val="24"/>
        </w:rPr>
        <w:t xml:space="preserve">Because this paper’s method of determining whether the benefit of a medical treatment exceeds the risk has many advantages that are not immediately obvious, Attachment C contains a few unexpected examples of applications of the method in this paper.  For example, estimates of risk based on ISO 14971 are </w:t>
      </w:r>
      <w:r w:rsidR="001B2D8B">
        <w:rPr>
          <w:rFonts w:eastAsia="TimesNewRomanPSMT" w:cs="TimesNewRomanPSMT"/>
          <w:bCs/>
          <w:color w:val="000000"/>
          <w:szCs w:val="24"/>
        </w:rPr>
        <w:t xml:space="preserve">useful to compare the </w:t>
      </w:r>
      <w:r w:rsidR="00C1257A">
        <w:rPr>
          <w:rFonts w:eastAsia="TimesNewRomanPSMT" w:cs="TimesNewRomanPSMT"/>
          <w:bCs/>
          <w:color w:val="000000"/>
          <w:szCs w:val="24"/>
        </w:rPr>
        <w:t xml:space="preserve">relative </w:t>
      </w:r>
      <w:r w:rsidR="001B2D8B">
        <w:rPr>
          <w:rFonts w:eastAsia="TimesNewRomanPSMT" w:cs="TimesNewRomanPSMT"/>
          <w:bCs/>
          <w:color w:val="000000"/>
          <w:szCs w:val="24"/>
        </w:rPr>
        <w:t>size of various risks, but there is no meaning to the absolute size of the</w:t>
      </w:r>
      <w:r w:rsidR="00C1257A">
        <w:rPr>
          <w:rFonts w:eastAsia="TimesNewRomanPSMT" w:cs="TimesNewRomanPSMT"/>
          <w:bCs/>
          <w:color w:val="000000"/>
          <w:szCs w:val="24"/>
        </w:rPr>
        <w:t>se</w:t>
      </w:r>
      <w:r w:rsidR="001B2D8B">
        <w:rPr>
          <w:rFonts w:eastAsia="TimesNewRomanPSMT" w:cs="TimesNewRomanPSMT"/>
          <w:bCs/>
          <w:color w:val="000000"/>
          <w:szCs w:val="24"/>
        </w:rPr>
        <w:t xml:space="preserve"> risks.  </w:t>
      </w:r>
      <w:r>
        <w:rPr>
          <w:rFonts w:eastAsia="TimesNewRomanPSMT" w:cs="TimesNewRomanPSMT"/>
          <w:bCs/>
          <w:color w:val="000000"/>
          <w:szCs w:val="24"/>
        </w:rPr>
        <w:t xml:space="preserve"> </w:t>
      </w:r>
      <w:r w:rsidR="001B2D8B">
        <w:rPr>
          <w:rFonts w:eastAsia="TimesNewRomanPSMT" w:cs="TimesNewRomanPSMT"/>
          <w:bCs/>
          <w:color w:val="000000"/>
          <w:szCs w:val="24"/>
        </w:rPr>
        <w:t xml:space="preserve">This paper’s method changes that completely.  By using values of risk to determine if </w:t>
      </w:r>
      <w:r w:rsidR="001B2D8B">
        <w:rPr>
          <w:rFonts w:eastAsia="TimesNewRomanPSMT" w:cs="TimesNewRomanPSMT"/>
          <w:bCs/>
          <w:color w:val="000000"/>
          <w:szCs w:val="24"/>
        </w:rPr>
        <w:fldChar w:fldCharType="begin"/>
      </w:r>
      <w:r w:rsidR="001B2D8B">
        <w:rPr>
          <w:rFonts w:eastAsia="TimesNewRomanPSMT" w:cs="TimesNewRomanPSMT"/>
          <w:bCs/>
          <w:color w:val="000000"/>
          <w:szCs w:val="24"/>
        </w:rPr>
        <w:instrText xml:space="preserve"> REF _Ref132953418 \h </w:instrText>
      </w:r>
      <w:r w:rsidR="001B2D8B">
        <w:rPr>
          <w:rFonts w:eastAsia="TimesNewRomanPSMT" w:cs="TimesNewRomanPSMT"/>
          <w:bCs/>
          <w:color w:val="000000"/>
          <w:szCs w:val="24"/>
        </w:rPr>
      </w:r>
      <w:r w:rsidR="001B2D8B">
        <w:rPr>
          <w:rFonts w:eastAsia="TimesNewRomanPSMT" w:cs="TimesNewRomanPSMT"/>
          <w:bCs/>
          <w:color w:val="000000"/>
          <w:szCs w:val="24"/>
        </w:rPr>
        <w:fldChar w:fldCharType="separate"/>
      </w:r>
      <w:r w:rsidR="001E41EA" w:rsidRPr="00F60A9B">
        <w:t xml:space="preserve">Equation </w:t>
      </w:r>
      <w:r w:rsidR="001E41EA">
        <w:rPr>
          <w:noProof/>
        </w:rPr>
        <w:t>1</w:t>
      </w:r>
      <w:r w:rsidR="001B2D8B">
        <w:rPr>
          <w:rFonts w:eastAsia="TimesNewRomanPSMT" w:cs="TimesNewRomanPSMT"/>
          <w:bCs/>
          <w:color w:val="000000"/>
          <w:szCs w:val="24"/>
        </w:rPr>
        <w:fldChar w:fldCharType="end"/>
      </w:r>
      <w:r w:rsidR="001B2D8B">
        <w:rPr>
          <w:rFonts w:eastAsia="TimesNewRomanPSMT" w:cs="TimesNewRomanPSMT"/>
          <w:bCs/>
          <w:color w:val="000000"/>
          <w:szCs w:val="24"/>
        </w:rPr>
        <w:t xml:space="preserve"> is true, the equation </w:t>
      </w:r>
      <w:r w:rsidR="001B2D8B" w:rsidRPr="00C1257A">
        <w:rPr>
          <w:rFonts w:eastAsia="TimesNewRomanPSMT" w:cs="TimesNewRomanPSMT"/>
          <w:bCs/>
          <w:i/>
          <w:iCs/>
          <w:color w:val="000000"/>
          <w:szCs w:val="24"/>
          <w:u w:val="single"/>
        </w:rPr>
        <w:t>gives meaning</w:t>
      </w:r>
      <w:r w:rsidR="001B2D8B">
        <w:rPr>
          <w:rFonts w:eastAsia="TimesNewRomanPSMT" w:cs="TimesNewRomanPSMT"/>
          <w:bCs/>
          <w:color w:val="000000"/>
          <w:szCs w:val="24"/>
        </w:rPr>
        <w:t xml:space="preserve"> to the absolute value of the risks.  The absolute value of treatment risks now has meaning – and the meaning is </w:t>
      </w:r>
      <w:r w:rsidR="00C26E29">
        <w:rPr>
          <w:rFonts w:eastAsia="TimesNewRomanPSMT" w:cs="TimesNewRomanPSMT"/>
          <w:bCs/>
          <w:color w:val="000000"/>
          <w:szCs w:val="24"/>
        </w:rPr>
        <w:t xml:space="preserve">to show </w:t>
      </w:r>
      <w:r w:rsidR="001B2D8B">
        <w:rPr>
          <w:rFonts w:eastAsia="TimesNewRomanPSMT" w:cs="TimesNewRomanPSMT"/>
          <w:bCs/>
          <w:color w:val="000000"/>
          <w:szCs w:val="24"/>
        </w:rPr>
        <w:t xml:space="preserve">whether </w:t>
      </w:r>
      <w:r w:rsidR="00C26E29">
        <w:rPr>
          <w:rFonts w:eastAsia="TimesNewRomanPSMT" w:cs="TimesNewRomanPSMT"/>
          <w:bCs/>
          <w:color w:val="000000"/>
          <w:szCs w:val="24"/>
        </w:rPr>
        <w:t xml:space="preserve">the absolute value of the treatment risk </w:t>
      </w:r>
      <w:r w:rsidR="00C1257A">
        <w:rPr>
          <w:rFonts w:eastAsia="TimesNewRomanPSMT" w:cs="TimesNewRomanPSMT"/>
          <w:bCs/>
          <w:color w:val="000000"/>
          <w:szCs w:val="24"/>
        </w:rPr>
        <w:t>is</w:t>
      </w:r>
      <w:r w:rsidR="001B2D8B">
        <w:rPr>
          <w:rFonts w:eastAsia="TimesNewRomanPSMT" w:cs="TimesNewRomanPSMT"/>
          <w:bCs/>
          <w:color w:val="000000"/>
          <w:szCs w:val="24"/>
        </w:rPr>
        <w:t xml:space="preserve"> larger or smaller than the </w:t>
      </w:r>
      <w:r w:rsidR="00C1257A">
        <w:rPr>
          <w:rFonts w:eastAsia="TimesNewRomanPSMT" w:cs="TimesNewRomanPSMT"/>
          <w:bCs/>
          <w:color w:val="000000"/>
          <w:szCs w:val="24"/>
        </w:rPr>
        <w:t xml:space="preserve">absolute value of the </w:t>
      </w:r>
      <w:r w:rsidR="001B2D8B">
        <w:rPr>
          <w:rFonts w:eastAsia="TimesNewRomanPSMT" w:cs="TimesNewRomanPSMT"/>
          <w:bCs/>
          <w:color w:val="000000"/>
          <w:szCs w:val="24"/>
        </w:rPr>
        <w:t xml:space="preserve">benefit to </w:t>
      </w:r>
      <w:r w:rsidR="00C1257A">
        <w:rPr>
          <w:rFonts w:eastAsia="TimesNewRomanPSMT" w:cs="TimesNewRomanPSMT"/>
          <w:bCs/>
          <w:color w:val="000000"/>
          <w:szCs w:val="24"/>
        </w:rPr>
        <w:t xml:space="preserve">a patient’s </w:t>
      </w:r>
      <w:r w:rsidR="001B2D8B">
        <w:rPr>
          <w:rFonts w:eastAsia="TimesNewRomanPSMT" w:cs="TimesNewRomanPSMT"/>
          <w:bCs/>
          <w:color w:val="000000"/>
          <w:szCs w:val="24"/>
        </w:rPr>
        <w:t xml:space="preserve">health condition.  That the absolute value of Risk </w:t>
      </w:r>
      <w:r w:rsidR="00C1257A">
        <w:rPr>
          <w:rFonts w:eastAsia="TimesNewRomanPSMT" w:cs="TimesNewRomanPSMT"/>
          <w:bCs/>
          <w:color w:val="000000"/>
          <w:szCs w:val="24"/>
        </w:rPr>
        <w:t xml:space="preserve">now </w:t>
      </w:r>
      <w:r w:rsidR="001B2D8B">
        <w:rPr>
          <w:rFonts w:eastAsia="TimesNewRomanPSMT" w:cs="TimesNewRomanPSMT"/>
          <w:bCs/>
          <w:color w:val="000000"/>
          <w:szCs w:val="24"/>
        </w:rPr>
        <w:t xml:space="preserve">has meaning is a fundamental change in Risk Management, and the applications of this method reflect </w:t>
      </w:r>
      <w:r w:rsidR="002103EF">
        <w:rPr>
          <w:rFonts w:eastAsia="TimesNewRomanPSMT" w:cs="TimesNewRomanPSMT"/>
          <w:bCs/>
          <w:color w:val="000000"/>
          <w:szCs w:val="24"/>
        </w:rPr>
        <w:t xml:space="preserve">the </w:t>
      </w:r>
      <w:r w:rsidR="00B243EC">
        <w:rPr>
          <w:rFonts w:eastAsia="TimesNewRomanPSMT" w:cs="TimesNewRomanPSMT"/>
          <w:bCs/>
          <w:color w:val="000000"/>
          <w:szCs w:val="24"/>
        </w:rPr>
        <w:t xml:space="preserve">new opportunities that are </w:t>
      </w:r>
      <w:r w:rsidR="002103EF">
        <w:rPr>
          <w:rFonts w:eastAsia="TimesNewRomanPSMT" w:cs="TimesNewRomanPSMT"/>
          <w:bCs/>
          <w:color w:val="000000"/>
          <w:szCs w:val="24"/>
        </w:rPr>
        <w:t xml:space="preserve">now </w:t>
      </w:r>
      <w:r w:rsidR="00B243EC">
        <w:rPr>
          <w:rFonts w:eastAsia="TimesNewRomanPSMT" w:cs="TimesNewRomanPSMT"/>
          <w:bCs/>
          <w:color w:val="000000"/>
          <w:szCs w:val="24"/>
        </w:rPr>
        <w:t xml:space="preserve">available because of </w:t>
      </w:r>
      <w:r w:rsidR="002103EF">
        <w:rPr>
          <w:rFonts w:eastAsia="TimesNewRomanPSMT" w:cs="TimesNewRomanPSMT"/>
          <w:bCs/>
          <w:color w:val="000000"/>
          <w:szCs w:val="24"/>
        </w:rPr>
        <w:t xml:space="preserve">this </w:t>
      </w:r>
      <w:r w:rsidR="001B2D8B">
        <w:rPr>
          <w:rFonts w:eastAsia="TimesNewRomanPSMT" w:cs="TimesNewRomanPSMT"/>
          <w:bCs/>
          <w:color w:val="000000"/>
          <w:szCs w:val="24"/>
        </w:rPr>
        <w:t>fundamental change.</w:t>
      </w:r>
      <w:r w:rsidR="002103EF">
        <w:rPr>
          <w:rFonts w:eastAsia="TimesNewRomanPSMT" w:cs="TimesNewRomanPSMT"/>
          <w:bCs/>
          <w:color w:val="000000"/>
          <w:szCs w:val="24"/>
        </w:rPr>
        <w:t xml:space="preserve"> </w:t>
      </w:r>
      <w:r w:rsidR="001B2D8B">
        <w:rPr>
          <w:rFonts w:eastAsia="TimesNewRomanPSMT" w:cs="TimesNewRomanPSMT"/>
          <w:bCs/>
          <w:color w:val="000000"/>
          <w:szCs w:val="24"/>
        </w:rPr>
        <w:t xml:space="preserve"> </w:t>
      </w:r>
    </w:p>
    <w:p w14:paraId="6AA5717F" w14:textId="77777777" w:rsidR="00AE53A0" w:rsidRDefault="00AE53A0" w:rsidP="00AA2310">
      <w:pPr>
        <w:spacing w:after="0" w:line="240" w:lineRule="auto"/>
        <w:rPr>
          <w:rFonts w:eastAsia="TimesNewRomanPSMT" w:cs="TimesNewRomanPSMT"/>
          <w:color w:val="000000"/>
          <w:szCs w:val="24"/>
        </w:rPr>
      </w:pPr>
    </w:p>
    <w:p w14:paraId="60701355" w14:textId="3715E2BF" w:rsidR="00B404C6" w:rsidRPr="004A66A3" w:rsidRDefault="00B404C6" w:rsidP="008A21B4">
      <w:pPr>
        <w:pStyle w:val="Heading2"/>
        <w:rPr>
          <w:b/>
          <w:bCs/>
          <w:u w:val="single"/>
        </w:rPr>
      </w:pPr>
      <w:bookmarkStart w:id="48" w:name="_Toc156728645"/>
      <w:r w:rsidRPr="004A66A3">
        <w:rPr>
          <w:b/>
          <w:bCs/>
          <w:u w:val="single"/>
        </w:rPr>
        <w:t>Conclusion</w:t>
      </w:r>
      <w:bookmarkEnd w:id="48"/>
      <w:r w:rsidRPr="004A66A3">
        <w:rPr>
          <w:b/>
          <w:bCs/>
          <w:u w:val="single"/>
        </w:rPr>
        <w:t xml:space="preserve"> </w:t>
      </w:r>
      <w:r w:rsidR="00082E8D">
        <w:rPr>
          <w:b/>
          <w:bCs/>
          <w:u w:val="single"/>
        </w:rPr>
        <w:t xml:space="preserve"> </w:t>
      </w:r>
    </w:p>
    <w:p w14:paraId="4A787A66" w14:textId="28E44F08" w:rsidR="009D27AD" w:rsidRDefault="007D4A4C" w:rsidP="004627E1">
      <w:pPr>
        <w:spacing w:line="240" w:lineRule="auto"/>
      </w:pPr>
      <w:r>
        <w:t xml:space="preserve">The result of this paper is the </w:t>
      </w:r>
      <w:r w:rsidR="00B94303">
        <w:t xml:space="preserve">development and </w:t>
      </w:r>
      <w:r>
        <w:t xml:space="preserve">presentation of a structured, </w:t>
      </w:r>
      <w:r w:rsidR="00C61C4D">
        <w:t xml:space="preserve">universal </w:t>
      </w:r>
      <w:r>
        <w:t xml:space="preserve">approach to assessing the </w:t>
      </w:r>
      <w:r w:rsidR="00EC42E0">
        <w:t>Benefit-Risk</w:t>
      </w:r>
      <w:r>
        <w:t xml:space="preserve"> Analysis of any medical treatment.  This method has the advantage</w:t>
      </w:r>
      <w:r w:rsidR="009D27AD">
        <w:t>s</w:t>
      </w:r>
      <w:r>
        <w:t xml:space="preserve"> that</w:t>
      </w:r>
      <w:r w:rsidR="00C61C4D">
        <w:t xml:space="preserve"> it</w:t>
      </w:r>
      <w:r w:rsidR="009D27AD">
        <w:t>:</w:t>
      </w:r>
    </w:p>
    <w:p w14:paraId="5CAF2AB2" w14:textId="1E33C47C" w:rsidR="009D27AD" w:rsidRDefault="009D27AD">
      <w:pPr>
        <w:pStyle w:val="ListParagraph"/>
        <w:numPr>
          <w:ilvl w:val="0"/>
          <w:numId w:val="16"/>
        </w:numPr>
        <w:spacing w:line="240" w:lineRule="auto"/>
      </w:pPr>
      <w:r>
        <w:t xml:space="preserve">Can incorporate multiple harms and benefits into the </w:t>
      </w:r>
      <w:r w:rsidR="00EC42E0">
        <w:t>Benefit-Risk</w:t>
      </w:r>
      <w:r>
        <w:t xml:space="preserve"> Analysis. </w:t>
      </w:r>
    </w:p>
    <w:p w14:paraId="0E4CB865" w14:textId="14A0F304" w:rsidR="009D27AD" w:rsidRDefault="009D27AD">
      <w:pPr>
        <w:pStyle w:val="ListParagraph"/>
        <w:numPr>
          <w:ilvl w:val="0"/>
          <w:numId w:val="16"/>
        </w:numPr>
        <w:spacing w:line="240" w:lineRule="auto"/>
      </w:pPr>
      <w:r>
        <w:t xml:space="preserve">Can </w:t>
      </w:r>
      <w:r w:rsidR="00C61C4D">
        <w:t>accommodate both objective harms and subjective benefits</w:t>
      </w:r>
      <w:r>
        <w:t xml:space="preserve">.  </w:t>
      </w:r>
    </w:p>
    <w:p w14:paraId="6C481417" w14:textId="0A7647ED" w:rsidR="00415BB8" w:rsidRDefault="00415BB8">
      <w:pPr>
        <w:pStyle w:val="ListParagraph"/>
        <w:numPr>
          <w:ilvl w:val="0"/>
          <w:numId w:val="16"/>
        </w:numPr>
        <w:spacing w:line="240" w:lineRule="auto"/>
      </w:pPr>
      <w:r>
        <w:t xml:space="preserve">Avoids the invalid assumption of a linear relationship between severity and risk, as is present in methods or benefit-risk analysis that assign integers from 1 to 5 to the five categories of severity in Table 4 of TR 24971.  </w:t>
      </w:r>
    </w:p>
    <w:p w14:paraId="233EA371" w14:textId="48276894" w:rsidR="009D27AD" w:rsidRDefault="009D27AD">
      <w:pPr>
        <w:pStyle w:val="ListParagraph"/>
        <w:numPr>
          <w:ilvl w:val="0"/>
          <w:numId w:val="16"/>
        </w:numPr>
        <w:spacing w:line="240" w:lineRule="auto"/>
      </w:pPr>
      <w:r>
        <w:t xml:space="preserve">Is significantly more objective than </w:t>
      </w:r>
      <w:r w:rsidR="00C61C4D">
        <w:t xml:space="preserve">prior </w:t>
      </w:r>
      <w:r w:rsidR="00EC42E0">
        <w:t>Benefit-Risk</w:t>
      </w:r>
      <w:r>
        <w:t xml:space="preserve"> Analysis techniques</w:t>
      </w:r>
      <w:r w:rsidR="00C61C4D">
        <w:t xml:space="preserve">, including guidelines </w:t>
      </w:r>
      <w:r>
        <w:t xml:space="preserve">suggested </w:t>
      </w:r>
      <w:r w:rsidR="00C61C4D">
        <w:t xml:space="preserve">by </w:t>
      </w:r>
      <w:r>
        <w:t>FDA</w:t>
      </w:r>
      <w:r w:rsidRPr="009D27AD">
        <w:rPr>
          <w:vertAlign w:val="superscript"/>
        </w:rPr>
        <w:fldChar w:fldCharType="begin"/>
      </w:r>
      <w:r w:rsidRPr="009D27AD">
        <w:rPr>
          <w:vertAlign w:val="superscript"/>
        </w:rPr>
        <w:instrText xml:space="preserve"> NOTEREF _Ref146116270 \h </w:instrText>
      </w:r>
      <w:r>
        <w:rPr>
          <w:vertAlign w:val="superscript"/>
        </w:rPr>
        <w:instrText xml:space="preserve"> \* MERGEFORMAT </w:instrText>
      </w:r>
      <w:r w:rsidRPr="009D27AD">
        <w:rPr>
          <w:vertAlign w:val="superscript"/>
        </w:rPr>
      </w:r>
      <w:r w:rsidRPr="009D27AD">
        <w:rPr>
          <w:vertAlign w:val="superscript"/>
        </w:rPr>
        <w:fldChar w:fldCharType="separate"/>
      </w:r>
      <w:r w:rsidR="001E41EA">
        <w:rPr>
          <w:vertAlign w:val="superscript"/>
        </w:rPr>
        <w:t>5</w:t>
      </w:r>
      <w:r w:rsidRPr="009D27AD">
        <w:rPr>
          <w:vertAlign w:val="superscript"/>
        </w:rPr>
        <w:fldChar w:fldCharType="end"/>
      </w:r>
      <w:r>
        <w:t>.</w:t>
      </w:r>
      <w:r w:rsidR="00C61C4D">
        <w:t xml:space="preserve"> </w:t>
      </w:r>
      <w:r>
        <w:t xml:space="preserve"> </w:t>
      </w:r>
    </w:p>
    <w:p w14:paraId="32D23499" w14:textId="71DDE7BA" w:rsidR="00C61C4D" w:rsidRPr="00C61C4D" w:rsidRDefault="009D27AD">
      <w:pPr>
        <w:pStyle w:val="ListParagraph"/>
        <w:numPr>
          <w:ilvl w:val="0"/>
          <w:numId w:val="16"/>
        </w:numPr>
        <w:spacing w:line="240" w:lineRule="auto"/>
      </w:pPr>
      <w:r>
        <w:t>T</w:t>
      </w:r>
      <w:r w:rsidR="007D4A4C">
        <w:t xml:space="preserve">he steps used to simplify </w:t>
      </w:r>
      <m:oMath>
        <m:r>
          <w:rPr>
            <w:rFonts w:ascii="Cambria Math" w:hAnsi="Cambria Math"/>
          </w:rPr>
          <m:t>B&gt;R</m:t>
        </m:r>
      </m:oMath>
      <w:r w:rsidR="007D4A4C" w:rsidRPr="009D27AD">
        <w:rPr>
          <w:rFonts w:eastAsiaTheme="minorEastAsia"/>
        </w:rPr>
        <w:t xml:space="preserve"> are intuitively obvious</w:t>
      </w:r>
      <w:r w:rsidR="00C61C4D" w:rsidRPr="009D27AD">
        <w:rPr>
          <w:rFonts w:eastAsiaTheme="minorEastAsia"/>
        </w:rPr>
        <w:t xml:space="preserve">, making acceptance of the analysis’ conclusion easier than with less-intuitive analysis methods.  </w:t>
      </w:r>
      <w:r w:rsidR="00C61C4D">
        <w:rPr>
          <w:rFonts w:eastAsiaTheme="minorEastAsia"/>
        </w:rPr>
        <w:t xml:space="preserve"> </w:t>
      </w:r>
    </w:p>
    <w:p w14:paraId="7A61A644" w14:textId="7BE06205" w:rsidR="007D4A4C" w:rsidRPr="009D27AD" w:rsidRDefault="00C61C4D">
      <w:pPr>
        <w:pStyle w:val="ListParagraph"/>
        <w:numPr>
          <w:ilvl w:val="0"/>
          <w:numId w:val="16"/>
        </w:numPr>
        <w:spacing w:line="240" w:lineRule="auto"/>
      </w:pPr>
      <w:r>
        <w:rPr>
          <w:rFonts w:eastAsiaTheme="minorEastAsia"/>
        </w:rPr>
        <w:t>The conclusion is normally intuitively obvious</w:t>
      </w:r>
      <w:r w:rsidR="009D27AD" w:rsidRPr="009D27AD">
        <w:rPr>
          <w:rFonts w:eastAsiaTheme="minorEastAsia"/>
        </w:rPr>
        <w:t xml:space="preserve">, making acceptance of the analysis’ conclusion easier than with less-intuitive analysis methods.  </w:t>
      </w:r>
    </w:p>
    <w:p w14:paraId="512D2AAD" w14:textId="74E93000" w:rsidR="009D27AD" w:rsidRDefault="00C61C4D">
      <w:pPr>
        <w:pStyle w:val="ListParagraph"/>
        <w:numPr>
          <w:ilvl w:val="0"/>
          <w:numId w:val="16"/>
        </w:numPr>
        <w:spacing w:line="240" w:lineRule="auto"/>
      </w:pPr>
      <w:r>
        <w:t xml:space="preserve">Can incorporate the preferences of individuals. </w:t>
      </w:r>
    </w:p>
    <w:p w14:paraId="1F9C54EB" w14:textId="60D2AE4D" w:rsidR="00C61C4D" w:rsidRDefault="00C61C4D">
      <w:pPr>
        <w:pStyle w:val="ListParagraph"/>
        <w:numPr>
          <w:ilvl w:val="0"/>
          <w:numId w:val="16"/>
        </w:numPr>
        <w:spacing w:line="240" w:lineRule="auto"/>
      </w:pPr>
      <w:r>
        <w:t xml:space="preserve">Can account for the uncertainty around inputs to the analysis. </w:t>
      </w:r>
    </w:p>
    <w:p w14:paraId="76CDCD60" w14:textId="4A5BF271" w:rsidR="00C61C4D" w:rsidRDefault="00C61C4D">
      <w:pPr>
        <w:pStyle w:val="ListParagraph"/>
        <w:numPr>
          <w:ilvl w:val="0"/>
          <w:numId w:val="16"/>
        </w:numPr>
        <w:spacing w:line="240" w:lineRule="auto"/>
      </w:pPr>
      <w:r>
        <w:t xml:space="preserve">Can account for the duration and timing of risks and benefits, including changes over time. </w:t>
      </w:r>
    </w:p>
    <w:p w14:paraId="35714523" w14:textId="60EE8623" w:rsidR="00C61C4D" w:rsidRDefault="00C61C4D">
      <w:pPr>
        <w:pStyle w:val="ListParagraph"/>
        <w:numPr>
          <w:ilvl w:val="0"/>
          <w:numId w:val="16"/>
        </w:numPr>
        <w:spacing w:line="240" w:lineRule="auto"/>
      </w:pPr>
      <w:r>
        <w:t xml:space="preserve">Is neutral, reaching conclusions that a product’s Benefits exceeds its Risks just as easily as the conclusion that a product’s Risks exceeds its Benefits. </w:t>
      </w:r>
    </w:p>
    <w:p w14:paraId="34567085" w14:textId="34FDC9C7" w:rsidR="00D2002E" w:rsidRPr="00F60A9B" w:rsidRDefault="00292C18" w:rsidP="00292C18">
      <w:pPr>
        <w:spacing w:line="240" w:lineRule="auto"/>
      </w:pPr>
      <w:r>
        <w:t>A</w:t>
      </w:r>
      <w:r w:rsidR="00B94303">
        <w:t>t the</w:t>
      </w:r>
      <w:r>
        <w:t xml:space="preserve"> foundation</w:t>
      </w:r>
      <w:r w:rsidRPr="00F60A9B">
        <w:t>, we have shown how to use ‘risk’ metrics to estimate the ‘benefit’ of a medical treatment.  After establishing this novel use of risk metrics,</w:t>
      </w:r>
      <w:r>
        <w:t xml:space="preserve"> </w:t>
      </w:r>
      <w:r w:rsidR="00FB7662">
        <w:fldChar w:fldCharType="begin"/>
      </w:r>
      <w:r w:rsidR="00FB7662">
        <w:instrText xml:space="preserve"> REF _Ref147639186 \h </w:instrText>
      </w:r>
      <w:r w:rsidR="00FB7662">
        <w:fldChar w:fldCharType="separate"/>
      </w:r>
      <w:r w:rsidR="001E41EA">
        <w:t xml:space="preserve">Equation </w:t>
      </w:r>
      <w:r w:rsidR="001E41EA">
        <w:rPr>
          <w:noProof/>
        </w:rPr>
        <w:t>9</w:t>
      </w:r>
      <w:r w:rsidR="00FB7662">
        <w:fldChar w:fldCharType="end"/>
      </w:r>
      <w:r w:rsidR="00FB7662">
        <w:t xml:space="preserve"> </w:t>
      </w:r>
      <w:r w:rsidRPr="00F60A9B">
        <w:t xml:space="preserve">is derived from the test “does the benefit of </w:t>
      </w:r>
      <w:r w:rsidR="00D2002E">
        <w:t xml:space="preserve">a medical </w:t>
      </w:r>
      <w:r w:rsidRPr="00F60A9B">
        <w:t xml:space="preserve">treating exceed the risk to the patient from </w:t>
      </w:r>
      <w:r w:rsidR="00D2002E">
        <w:t>the treatment</w:t>
      </w:r>
      <w:r w:rsidRPr="00F60A9B">
        <w:t xml:space="preserve">?”, which is summarized in </w:t>
      </w:r>
      <w:r w:rsidRPr="00F60A9B">
        <w:fldChar w:fldCharType="begin"/>
      </w:r>
      <w:r w:rsidRPr="00F60A9B">
        <w:instrText xml:space="preserve"> REF _Ref132953418 \h </w:instrText>
      </w:r>
      <w:r w:rsidRPr="00F60A9B">
        <w:fldChar w:fldCharType="separate"/>
      </w:r>
      <w:r w:rsidR="001E41EA" w:rsidRPr="00F60A9B">
        <w:t xml:space="preserve">Equation </w:t>
      </w:r>
      <w:r w:rsidR="001E41EA">
        <w:rPr>
          <w:noProof/>
        </w:rPr>
        <w:t>1</w:t>
      </w:r>
      <w:r w:rsidRPr="00F60A9B">
        <w:fldChar w:fldCharType="end"/>
      </w:r>
      <w:r w:rsidRPr="00F60A9B">
        <w:t xml:space="preserve"> as </w:t>
      </w:r>
      <m:oMath>
        <m:r>
          <w:rPr>
            <w:rFonts w:ascii="Cambria Math" w:hAnsi="Cambria Math"/>
          </w:rPr>
          <m:t>B&gt;R</m:t>
        </m:r>
      </m:oMath>
      <w:r w:rsidRPr="00292C18">
        <w:rPr>
          <w:rFonts w:eastAsiaTheme="minorEastAsia"/>
        </w:rPr>
        <w:t xml:space="preserve">.  </w:t>
      </w:r>
      <w:r w:rsidR="00D2002E">
        <w:t>T</w:t>
      </w:r>
      <w:r w:rsidRPr="00F60A9B">
        <w:t xml:space="preserve">he ‘risk algebra’ </w:t>
      </w:r>
      <w:r w:rsidR="00D2002E">
        <w:t xml:space="preserve">in Attachment A </w:t>
      </w:r>
      <w:r w:rsidRPr="00F60A9B">
        <w:t xml:space="preserve">will </w:t>
      </w:r>
      <w:r w:rsidR="00D2002E">
        <w:t xml:space="preserve">simplify </w:t>
      </w:r>
      <w:r w:rsidR="00FB7662">
        <w:fldChar w:fldCharType="begin"/>
      </w:r>
      <w:r w:rsidR="00FB7662">
        <w:instrText xml:space="preserve"> REF _Ref147639186 \h </w:instrText>
      </w:r>
      <w:r w:rsidR="00FB7662">
        <w:fldChar w:fldCharType="separate"/>
      </w:r>
      <w:r w:rsidR="001E41EA">
        <w:t xml:space="preserve">Equation </w:t>
      </w:r>
      <w:r w:rsidR="001E41EA">
        <w:rPr>
          <w:noProof/>
        </w:rPr>
        <w:t>9</w:t>
      </w:r>
      <w:r w:rsidR="00FB7662">
        <w:fldChar w:fldCharType="end"/>
      </w:r>
      <w:r w:rsidRPr="00292C18">
        <w:rPr>
          <w:rFonts w:eastAsiaTheme="minorEastAsia"/>
        </w:rPr>
        <w:t xml:space="preserve"> </w:t>
      </w:r>
      <w:r w:rsidR="00D2002E">
        <w:t xml:space="preserve">until </w:t>
      </w:r>
      <w:r w:rsidRPr="00F60A9B">
        <w:t>it is intuitively obvious whether</w:t>
      </w:r>
      <w:r>
        <w:t xml:space="preserve"> </w:t>
      </w:r>
      <w:r w:rsidR="00FB7662">
        <w:fldChar w:fldCharType="begin"/>
      </w:r>
      <w:r w:rsidR="00FB7662">
        <w:instrText xml:space="preserve"> REF _Ref147639186 \h </w:instrText>
      </w:r>
      <w:r w:rsidR="00FB7662">
        <w:fldChar w:fldCharType="separate"/>
      </w:r>
      <w:r w:rsidR="001E41EA">
        <w:t xml:space="preserve">Equation </w:t>
      </w:r>
      <w:r w:rsidR="001E41EA">
        <w:rPr>
          <w:noProof/>
        </w:rPr>
        <w:t>9</w:t>
      </w:r>
      <w:r w:rsidR="00FB7662">
        <w:fldChar w:fldCharType="end"/>
      </w:r>
      <w:r w:rsidR="00FB7662">
        <w:t xml:space="preserve"> </w:t>
      </w:r>
      <w:r>
        <w:t xml:space="preserve"> </w:t>
      </w:r>
      <w:r w:rsidRPr="00F60A9B">
        <w:t xml:space="preserve">is true (i.e., whether benefit outweighs risk) or not.  </w:t>
      </w:r>
    </w:p>
    <w:bookmarkEnd w:id="14"/>
    <w:p w14:paraId="19EA0390" w14:textId="0F1E87C4" w:rsidR="009E27A4" w:rsidRDefault="009E27A4" w:rsidP="00621FD3">
      <w:pPr>
        <w:rPr>
          <w:b/>
          <w:bCs/>
          <w:u w:val="single"/>
        </w:rPr>
        <w:sectPr w:rsidR="009E27A4" w:rsidSect="008F1C32">
          <w:type w:val="continuous"/>
          <w:pgSz w:w="12240" w:h="15840" w:code="1"/>
          <w:pgMar w:top="1152" w:right="1440" w:bottom="1152" w:left="1440" w:header="720" w:footer="720" w:gutter="0"/>
          <w:cols w:space="720"/>
          <w:titlePg/>
          <w:docGrid w:linePitch="360"/>
        </w:sectPr>
      </w:pPr>
    </w:p>
    <w:p w14:paraId="018B3A7D" w14:textId="0E9D00C6" w:rsidR="00CD55F1" w:rsidRPr="00B25A88" w:rsidRDefault="00CD55F1" w:rsidP="008A21B4">
      <w:pPr>
        <w:pStyle w:val="Heading1"/>
        <w:jc w:val="center"/>
        <w:rPr>
          <w:b/>
          <w:bCs/>
          <w:sz w:val="36"/>
          <w:szCs w:val="36"/>
          <w:u w:val="single"/>
        </w:rPr>
      </w:pPr>
      <w:bookmarkStart w:id="49" w:name="_Toc156728646"/>
      <w:bookmarkStart w:id="50" w:name="_Hlk149311740"/>
      <w:r w:rsidRPr="00B25A88">
        <w:rPr>
          <w:b/>
          <w:bCs/>
          <w:sz w:val="36"/>
          <w:szCs w:val="36"/>
          <w:u w:val="single"/>
        </w:rPr>
        <w:lastRenderedPageBreak/>
        <w:t>Attachment A</w:t>
      </w:r>
      <w:r w:rsidR="008A21B4">
        <w:rPr>
          <w:b/>
          <w:bCs/>
          <w:sz w:val="36"/>
          <w:szCs w:val="36"/>
          <w:u w:val="single"/>
        </w:rPr>
        <w:t xml:space="preserve"> - </w:t>
      </w:r>
      <w:r w:rsidRPr="00B25A88">
        <w:rPr>
          <w:b/>
          <w:bCs/>
          <w:sz w:val="36"/>
          <w:szCs w:val="36"/>
          <w:u w:val="single"/>
        </w:rPr>
        <w:t>Risk Algebra</w:t>
      </w:r>
      <w:bookmarkEnd w:id="49"/>
    </w:p>
    <w:p w14:paraId="3E6BAECF" w14:textId="52F81429" w:rsidR="00CD55F1" w:rsidRDefault="00CD55F1" w:rsidP="00CD55F1">
      <w:r>
        <w:t xml:space="preserve">We will explain how to simplify </w:t>
      </w:r>
      <w:r w:rsidR="00D714EF">
        <w:fldChar w:fldCharType="begin"/>
      </w:r>
      <w:r w:rsidR="00D714EF">
        <w:instrText xml:space="preserve"> REF _Ref147639186 \h </w:instrText>
      </w:r>
      <w:r w:rsidR="00D714EF">
        <w:fldChar w:fldCharType="separate"/>
      </w:r>
      <w:r w:rsidR="00D714EF">
        <w:t xml:space="preserve">Equation </w:t>
      </w:r>
      <w:r w:rsidR="00D714EF">
        <w:rPr>
          <w:noProof/>
        </w:rPr>
        <w:t>9</w:t>
      </w:r>
      <w:r w:rsidR="00D714EF">
        <w:fldChar w:fldCharType="end"/>
      </w:r>
      <w:r w:rsidR="00D714EF">
        <w:t xml:space="preserve">‘s </w:t>
      </w:r>
      <w:r>
        <w:t xml:space="preserve">tables </w:t>
      </w:r>
      <w:r w:rsidR="00D714EF">
        <w:t xml:space="preserve">of risks </w:t>
      </w:r>
      <w:r>
        <w:t xml:space="preserve">until </w:t>
      </w:r>
      <w:r>
        <w:fldChar w:fldCharType="begin"/>
      </w:r>
      <w:r>
        <w:instrText xml:space="preserve"> REF _Ref132953418 \h </w:instrText>
      </w:r>
      <w:r>
        <w:fldChar w:fldCharType="separate"/>
      </w:r>
      <w:r w:rsidR="001E41EA" w:rsidRPr="00F60A9B">
        <w:t xml:space="preserve">Equation </w:t>
      </w:r>
      <w:r w:rsidR="001E41EA">
        <w:rPr>
          <w:noProof/>
        </w:rPr>
        <w:t>1</w:t>
      </w:r>
      <w:r>
        <w:fldChar w:fldCharType="end"/>
      </w:r>
      <w:r>
        <w:t xml:space="preserve"> is </w:t>
      </w:r>
      <w:r w:rsidR="00D714EF">
        <w:t xml:space="preserve">shown to be </w:t>
      </w:r>
      <w:r>
        <w:t xml:space="preserve">true or false.  </w:t>
      </w:r>
    </w:p>
    <w:p w14:paraId="7D69440C" w14:textId="77777777" w:rsidR="00CD55F1" w:rsidRDefault="00CD55F1" w:rsidP="00AA2310">
      <w:pPr>
        <w:spacing w:after="0" w:line="240" w:lineRule="auto"/>
        <w:rPr>
          <w:u w:val="single"/>
        </w:rPr>
      </w:pPr>
    </w:p>
    <w:p w14:paraId="4A646A3C" w14:textId="638D39BF" w:rsidR="00CD55F1" w:rsidRPr="00646086" w:rsidRDefault="00CD55F1" w:rsidP="00A600C8">
      <w:pPr>
        <w:pStyle w:val="Heading2"/>
        <w:rPr>
          <w:rFonts w:eastAsia="TimesNewRomanPSMT" w:cs="TimesNewRomanPSMT"/>
          <w:b/>
          <w:color w:val="000000"/>
          <w:u w:val="single"/>
        </w:rPr>
      </w:pPr>
      <w:bookmarkStart w:id="51" w:name="_Toc156728647"/>
      <w:r w:rsidRPr="00646086">
        <w:rPr>
          <w:rFonts w:eastAsia="TimesNewRomanPSMT" w:cs="TimesNewRomanPSMT"/>
          <w:b/>
          <w:color w:val="000000"/>
          <w:u w:val="single"/>
        </w:rPr>
        <w:t>‘Risk Algebra’ Concepts</w:t>
      </w:r>
      <w:bookmarkEnd w:id="51"/>
      <w:r w:rsidRPr="00646086">
        <w:rPr>
          <w:rFonts w:eastAsia="TimesNewRomanPSMT" w:cs="TimesNewRomanPSMT"/>
          <w:b/>
          <w:color w:val="000000"/>
          <w:u w:val="single"/>
        </w:rPr>
        <w:t xml:space="preserve">  </w:t>
      </w:r>
    </w:p>
    <w:p w14:paraId="094C4C9A" w14:textId="4BCCAECB" w:rsidR="00CD55F1" w:rsidRDefault="00CD55F1" w:rsidP="00CD55F1">
      <w:r>
        <w:t xml:space="preserve">Now that we’ve developed </w:t>
      </w:r>
      <w:r w:rsidR="007128BC">
        <w:fldChar w:fldCharType="begin"/>
      </w:r>
      <w:r w:rsidR="007128BC">
        <w:instrText xml:space="preserve"> REF _Ref147639186 \h </w:instrText>
      </w:r>
      <w:r w:rsidR="007128BC">
        <w:fldChar w:fldCharType="separate"/>
      </w:r>
      <w:r w:rsidR="001E41EA">
        <w:t xml:space="preserve">Equation </w:t>
      </w:r>
      <w:r w:rsidR="001E41EA">
        <w:rPr>
          <w:noProof/>
        </w:rPr>
        <w:t>9</w:t>
      </w:r>
      <w:r w:rsidR="007128BC">
        <w:fldChar w:fldCharType="end"/>
      </w:r>
      <w:r>
        <w:t xml:space="preserve">, we need to develop a way to simplify </w:t>
      </w:r>
      <w:r w:rsidR="007128BC">
        <w:fldChar w:fldCharType="begin"/>
      </w:r>
      <w:r w:rsidR="007128BC">
        <w:instrText xml:space="preserve"> REF _Ref147639186 \h </w:instrText>
      </w:r>
      <w:r w:rsidR="007128BC">
        <w:fldChar w:fldCharType="separate"/>
      </w:r>
      <w:r w:rsidR="001E41EA">
        <w:t xml:space="preserve">Equation </w:t>
      </w:r>
      <w:r w:rsidR="001E41EA">
        <w:rPr>
          <w:noProof/>
        </w:rPr>
        <w:t>9</w:t>
      </w:r>
      <w:r w:rsidR="007128BC">
        <w:fldChar w:fldCharType="end"/>
      </w:r>
      <w:r>
        <w:t xml:space="preserve"> until it is clear whether the benefit exceeds the risk, or the risk exceeds the benefit.  Everyone reading this paper will be familiar with using algebra to simplify an equation with numbers until the answer is given.  By analogy, we will determine whether </w:t>
      </w:r>
      <w:r w:rsidR="007128BC">
        <w:fldChar w:fldCharType="begin"/>
      </w:r>
      <w:r w:rsidR="007128BC">
        <w:instrText xml:space="preserve"> REF _Ref147639186 \h </w:instrText>
      </w:r>
      <w:r w:rsidR="007128BC">
        <w:fldChar w:fldCharType="separate"/>
      </w:r>
      <w:r w:rsidR="001E41EA">
        <w:t xml:space="preserve">Equation </w:t>
      </w:r>
      <w:r w:rsidR="001E41EA">
        <w:rPr>
          <w:noProof/>
        </w:rPr>
        <w:t>9</w:t>
      </w:r>
      <w:r w:rsidR="007128BC">
        <w:fldChar w:fldCharType="end"/>
      </w:r>
      <w:r>
        <w:t xml:space="preserve"> is true by using ‘risk algebra’ to simplify </w:t>
      </w:r>
      <w:r w:rsidR="007128BC">
        <w:fldChar w:fldCharType="begin"/>
      </w:r>
      <w:r w:rsidR="007128BC">
        <w:instrText xml:space="preserve"> REF _Ref147639186 \h </w:instrText>
      </w:r>
      <w:r w:rsidR="007128BC">
        <w:fldChar w:fldCharType="separate"/>
      </w:r>
      <w:r w:rsidR="001E41EA">
        <w:t xml:space="preserve">Equation </w:t>
      </w:r>
      <w:r w:rsidR="001E41EA">
        <w:rPr>
          <w:noProof/>
        </w:rPr>
        <w:t>9</w:t>
      </w:r>
      <w:r w:rsidR="007128BC">
        <w:fldChar w:fldCharType="end"/>
      </w:r>
      <w:r>
        <w:t xml:space="preserve"> until the answer is given.  Building on this analogy with using algebra to solve equations with numbers, we will review the steps of solving an equation with numbers before generalizing that process to </w:t>
      </w:r>
      <w:r w:rsidR="007128BC">
        <w:fldChar w:fldCharType="begin"/>
      </w:r>
      <w:r w:rsidR="007128BC">
        <w:instrText xml:space="preserve"> REF _Ref147639186 \h </w:instrText>
      </w:r>
      <w:r w:rsidR="007128BC">
        <w:fldChar w:fldCharType="separate"/>
      </w:r>
      <w:r w:rsidR="001E41EA">
        <w:t xml:space="preserve">Equation </w:t>
      </w:r>
      <w:r w:rsidR="001E41EA">
        <w:rPr>
          <w:noProof/>
        </w:rPr>
        <w:t>9</w:t>
      </w:r>
      <w:r w:rsidR="007128BC">
        <w:fldChar w:fldCharType="end"/>
      </w:r>
      <w:r>
        <w:t xml:space="preserve">.  </w:t>
      </w:r>
    </w:p>
    <w:p w14:paraId="4F236A64" w14:textId="77777777" w:rsidR="00CD55F1" w:rsidRDefault="00CD55F1" w:rsidP="00CD55F1">
      <w:r>
        <w:t xml:space="preserve">If we want to solve the equation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r>
          <m:rPr>
            <m:aln/>
          </m:rPr>
          <w:rPr>
            <w:rFonts w:ascii="Cambria Math" w:hAnsi="Cambria Math"/>
          </w:rPr>
          <m:t>=55</m:t>
        </m:r>
      </m:oMath>
      <w:r>
        <w:rPr>
          <w:rFonts w:eastAsiaTheme="minorEastAsia"/>
        </w:rPr>
        <w:t xml:space="preserve"> </w:t>
      </w:r>
      <w:r>
        <w:t xml:space="preserve">for the number, </w:t>
      </w:r>
      <m:oMath>
        <m:r>
          <w:rPr>
            <w:rFonts w:ascii="Cambria Math" w:hAnsi="Cambria Math"/>
          </w:rPr>
          <m:t>x</m:t>
        </m:r>
      </m:oMath>
      <w:r>
        <w:rPr>
          <w:rFonts w:eastAsiaTheme="minorEastAsia"/>
        </w:rPr>
        <w:t>, the steps are</w:t>
      </w:r>
      <w:r>
        <w:t xml:space="preserve">: </w:t>
      </w:r>
    </w:p>
    <w:tbl>
      <w:tblPr>
        <w:tblStyle w:val="TableGrid"/>
        <w:tblW w:w="7560" w:type="dxa"/>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tblGrid>
      <w:tr w:rsidR="00CD55F1" w14:paraId="3C47AF91" w14:textId="77777777" w:rsidTr="00024DD9">
        <w:trPr>
          <w:trHeight w:val="576"/>
        </w:trPr>
        <w:tc>
          <w:tcPr>
            <w:tcW w:w="3780" w:type="dxa"/>
            <w:vAlign w:val="center"/>
          </w:tcPr>
          <w:p w14:paraId="1CB54BE2" w14:textId="77777777" w:rsidR="00CD55F1" w:rsidRPr="00E61BC6" w:rsidRDefault="00CD55F1" w:rsidP="00024DD9">
            <w:pPr>
              <w:pStyle w:val="ListParagraph"/>
              <w:ind w:left="0"/>
              <w:contextualSpacing w:val="0"/>
              <w:jc w:val="center"/>
              <w:rPr>
                <w:rFonts w:ascii="Calibri" w:eastAsia="Calibri" w:hAnsi="Calibri" w:cs="Times New Roman"/>
                <w:b/>
                <w:bCs/>
                <w:sz w:val="24"/>
                <w:szCs w:val="24"/>
              </w:rPr>
            </w:pPr>
            <w:r w:rsidRPr="00E61BC6">
              <w:rPr>
                <w:rFonts w:ascii="Calibri" w:eastAsia="Calibri" w:hAnsi="Calibri" w:cs="Times New Roman"/>
                <w:b/>
                <w:bCs/>
                <w:sz w:val="24"/>
                <w:szCs w:val="24"/>
              </w:rPr>
              <w:t>Equation</w:t>
            </w:r>
          </w:p>
        </w:tc>
        <w:tc>
          <w:tcPr>
            <w:tcW w:w="3780" w:type="dxa"/>
            <w:vAlign w:val="center"/>
          </w:tcPr>
          <w:p w14:paraId="722CD080" w14:textId="77777777" w:rsidR="00CD55F1" w:rsidRPr="00E61BC6" w:rsidRDefault="00CD55F1" w:rsidP="00024DD9">
            <w:pPr>
              <w:pStyle w:val="ListParagraph"/>
              <w:ind w:left="0"/>
              <w:contextualSpacing w:val="0"/>
              <w:jc w:val="center"/>
              <w:rPr>
                <w:b/>
                <w:bCs/>
                <w:sz w:val="24"/>
                <w:szCs w:val="24"/>
              </w:rPr>
            </w:pPr>
            <w:r w:rsidRPr="00E61BC6">
              <w:rPr>
                <w:b/>
                <w:bCs/>
                <w:sz w:val="24"/>
                <w:szCs w:val="24"/>
              </w:rPr>
              <w:t>Simplification Step</w:t>
            </w:r>
          </w:p>
        </w:tc>
      </w:tr>
      <w:tr w:rsidR="00CD55F1" w14:paraId="02FBB60D" w14:textId="77777777" w:rsidTr="00024DD9">
        <w:trPr>
          <w:trHeight w:val="720"/>
        </w:trPr>
        <w:tc>
          <w:tcPr>
            <w:tcW w:w="3780" w:type="dxa"/>
            <w:vAlign w:val="center"/>
          </w:tcPr>
          <w:p w14:paraId="25272B43" w14:textId="77777777" w:rsidR="00CD55F1"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r>
                  <m:rPr>
                    <m:aln/>
                  </m:rPr>
                  <w:rPr>
                    <w:rFonts w:ascii="Cambria Math" w:hAnsi="Cambria Math"/>
                  </w:rPr>
                  <m:t>=55</m:t>
                </m:r>
              </m:oMath>
            </m:oMathPara>
          </w:p>
        </w:tc>
        <w:tc>
          <w:tcPr>
            <w:tcW w:w="3780" w:type="dxa"/>
            <w:vAlign w:val="center"/>
          </w:tcPr>
          <w:p w14:paraId="6AB37E28" w14:textId="77777777" w:rsidR="00CD55F1" w:rsidRDefault="00CD55F1" w:rsidP="00024DD9">
            <w:pPr>
              <w:pStyle w:val="ListParagraph"/>
              <w:ind w:left="0"/>
              <w:contextualSpacing w:val="0"/>
              <w:jc w:val="center"/>
            </w:pPr>
            <w:r>
              <w:t>Original Equation – No simplification</w:t>
            </w:r>
          </w:p>
        </w:tc>
      </w:tr>
      <w:tr w:rsidR="00CD55F1" w14:paraId="0751A289" w14:textId="77777777" w:rsidTr="00024DD9">
        <w:trPr>
          <w:trHeight w:val="720"/>
        </w:trPr>
        <w:tc>
          <w:tcPr>
            <w:tcW w:w="3780" w:type="dxa"/>
            <w:vAlign w:val="center"/>
          </w:tcPr>
          <w:p w14:paraId="0D83CB52" w14:textId="77777777" w:rsidR="00CD55F1"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+7-7</m:t>
                </m:r>
                <m:r>
                  <m:rPr>
                    <m:aln/>
                  </m:rPr>
                  <w:rPr>
                    <w:rFonts w:ascii="Cambria Math" w:hAnsi="Cambria Math"/>
                  </w:rPr>
                  <m:t>=55-7</m:t>
                </m:r>
              </m:oMath>
            </m:oMathPara>
          </w:p>
        </w:tc>
        <w:tc>
          <w:tcPr>
            <w:tcW w:w="3780" w:type="dxa"/>
            <w:vAlign w:val="center"/>
          </w:tcPr>
          <w:p w14:paraId="141BBDEB" w14:textId="77777777" w:rsidR="00CD55F1" w:rsidRDefault="00CD55F1" w:rsidP="00024DD9">
            <w:pPr>
              <w:pStyle w:val="ListParagraph"/>
              <w:ind w:left="0"/>
              <w:contextualSpacing w:val="0"/>
              <w:jc w:val="center"/>
            </w:pPr>
            <w:r>
              <w:t>Subtract a number from both sides</w:t>
            </w:r>
          </w:p>
        </w:tc>
      </w:tr>
      <w:tr w:rsidR="00CD55F1" w14:paraId="448F0E95" w14:textId="77777777" w:rsidTr="00024DD9">
        <w:trPr>
          <w:trHeight w:val="720"/>
        </w:trPr>
        <w:tc>
          <w:tcPr>
            <w:tcW w:w="3780" w:type="dxa"/>
            <w:vAlign w:val="center"/>
          </w:tcPr>
          <w:p w14:paraId="61D52427" w14:textId="77777777" w:rsidR="00CD55F1" w:rsidRDefault="00CD55F1" w:rsidP="00024DD9">
            <w:pPr>
              <w:pStyle w:val="ListParagraph"/>
              <w:ind w:left="0"/>
              <w:contextualSpacing w:val="0"/>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r>
                  <m:rPr>
                    <m:aln/>
                  </m:rPr>
                  <w:rPr>
                    <w:rFonts w:ascii="Cambria Math" w:hAnsi="Cambria Math"/>
                  </w:rPr>
                  <m:t>=48</m:t>
                </m:r>
              </m:oMath>
            </m:oMathPara>
          </w:p>
        </w:tc>
        <w:tc>
          <w:tcPr>
            <w:tcW w:w="3780" w:type="dxa"/>
            <w:vAlign w:val="center"/>
          </w:tcPr>
          <w:p w14:paraId="48D8E9D3" w14:textId="77777777" w:rsidR="00CD55F1" w:rsidRDefault="00CD55F1" w:rsidP="00024DD9">
            <w:pPr>
              <w:pStyle w:val="ListParagraph"/>
              <w:ind w:left="0"/>
              <w:contextualSpacing w:val="0"/>
              <w:jc w:val="center"/>
            </w:pPr>
            <w:r>
              <w:t>Simplify the Addition on both sides</w:t>
            </w:r>
          </w:p>
        </w:tc>
      </w:tr>
      <w:tr w:rsidR="00CD55F1" w14:paraId="228AE6B6" w14:textId="77777777" w:rsidTr="00024DD9">
        <w:trPr>
          <w:trHeight w:val="720"/>
        </w:trPr>
        <w:tc>
          <w:tcPr>
            <w:tcW w:w="3780" w:type="dxa"/>
            <w:vAlign w:val="center"/>
          </w:tcPr>
          <w:p w14:paraId="3F2F362E" w14:textId="77777777" w:rsidR="00CD55F1" w:rsidRDefault="00000000" w:rsidP="00024DD9">
            <w:pPr>
              <w:pStyle w:val="ListParagraph"/>
              <w:ind w:left="0"/>
              <w:contextualSpacing w:val="0"/>
            </w:pPr>
            <m:oMathPara>
              <m:oMath>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den>
                </m:f>
                <m:r>
                  <m:rPr>
                    <m:aln/>
                  </m:rPr>
                  <w:rPr>
                    <w:rFonts w:ascii="Cambria Math" w:hAnsi="Cambria Math"/>
                  </w:rPr>
                  <m:t>=</m:t>
                </m:r>
                <m:f>
                  <m:fPr>
                    <m:ctrlPr>
                      <w:rPr>
                        <w:rFonts w:ascii="Cambria Math" w:hAnsi="Cambria Math"/>
                        <w:i/>
                      </w:rPr>
                    </m:ctrlPr>
                  </m:fPr>
                  <m:num>
                    <m:r>
                      <w:rPr>
                        <w:rFonts w:ascii="Cambria Math" w:hAnsi="Cambria Math"/>
                      </w:rPr>
                      <m:t>48</m:t>
                    </m:r>
                  </m:num>
                  <m:den>
                    <m:r>
                      <w:rPr>
                        <w:rFonts w:ascii="Cambria Math" w:hAnsi="Cambria Math"/>
                      </w:rPr>
                      <m:t>3</m:t>
                    </m:r>
                  </m:den>
                </m:f>
              </m:oMath>
            </m:oMathPara>
          </w:p>
        </w:tc>
        <w:tc>
          <w:tcPr>
            <w:tcW w:w="3780" w:type="dxa"/>
            <w:vAlign w:val="center"/>
          </w:tcPr>
          <w:p w14:paraId="113E6A91" w14:textId="77777777" w:rsidR="00CD55F1" w:rsidRDefault="00CD55F1" w:rsidP="00024DD9">
            <w:pPr>
              <w:pStyle w:val="ListParagraph"/>
              <w:ind w:left="0"/>
              <w:contextualSpacing w:val="0"/>
              <w:jc w:val="center"/>
            </w:pPr>
            <w:r>
              <w:t>Divide by a number on both sides</w:t>
            </w:r>
          </w:p>
        </w:tc>
      </w:tr>
      <w:tr w:rsidR="00CD55F1" w14:paraId="3317EAD0" w14:textId="77777777" w:rsidTr="00024DD9">
        <w:trPr>
          <w:trHeight w:val="720"/>
        </w:trPr>
        <w:tc>
          <w:tcPr>
            <w:tcW w:w="3780" w:type="dxa"/>
            <w:vAlign w:val="center"/>
          </w:tcPr>
          <w:p w14:paraId="45C1AA23" w14:textId="77777777" w:rsidR="00CD55F1" w:rsidRDefault="00000000" w:rsidP="00024DD9">
            <w:pPr>
              <w:pStyle w:val="ListParagraph"/>
              <w:ind w:left="0"/>
              <w:contextualSpacing w:val="0"/>
            </w:pPr>
            <m:oMathPara>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m:rPr>
                    <m:aln/>
                  </m:rPr>
                  <w:rPr>
                    <w:rFonts w:ascii="Cambria Math" w:hAnsi="Cambria Math"/>
                  </w:rPr>
                  <m:t>=16</m:t>
                </m:r>
              </m:oMath>
            </m:oMathPara>
          </w:p>
        </w:tc>
        <w:tc>
          <w:tcPr>
            <w:tcW w:w="3780" w:type="dxa"/>
            <w:vAlign w:val="center"/>
          </w:tcPr>
          <w:p w14:paraId="31A8C846" w14:textId="77777777" w:rsidR="00CD55F1" w:rsidRDefault="00CD55F1" w:rsidP="00024DD9">
            <w:pPr>
              <w:pStyle w:val="ListParagraph"/>
              <w:ind w:left="0"/>
              <w:contextualSpacing w:val="0"/>
              <w:jc w:val="center"/>
            </w:pPr>
            <w:r>
              <w:t>Simplify the Division on both sides</w:t>
            </w:r>
          </w:p>
        </w:tc>
      </w:tr>
      <w:tr w:rsidR="00CD55F1" w14:paraId="32909898" w14:textId="77777777" w:rsidTr="00024DD9">
        <w:trPr>
          <w:trHeight w:val="720"/>
        </w:trPr>
        <w:tc>
          <w:tcPr>
            <w:tcW w:w="3780" w:type="dxa"/>
            <w:vAlign w:val="center"/>
          </w:tcPr>
          <w:p w14:paraId="37980F0C" w14:textId="77777777" w:rsidR="00CD55F1" w:rsidRDefault="00000000" w:rsidP="00024DD9">
            <w:pPr>
              <w:pStyle w:val="ListParagraph"/>
              <w:ind w:left="0"/>
              <w:contextualSpacing w:val="0"/>
            </w:pPr>
            <m:oMathPara>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m:rPr>
                    <m:aln/>
                  </m:rPr>
                  <w:rPr>
                    <w:rFonts w:ascii="Cambria Math" w:hAnsi="Cambria Math"/>
                  </w:rPr>
                  <m:t>=</m:t>
                </m:r>
                <m:rad>
                  <m:radPr>
                    <m:degHide m:val="1"/>
                    <m:ctrlPr>
                      <w:rPr>
                        <w:rFonts w:ascii="Cambria Math" w:hAnsi="Cambria Math"/>
                        <w:i/>
                      </w:rPr>
                    </m:ctrlPr>
                  </m:radPr>
                  <m:deg/>
                  <m:e>
                    <m:r>
                      <w:rPr>
                        <w:rFonts w:ascii="Cambria Math" w:hAnsi="Cambria Math"/>
                      </w:rPr>
                      <m:t>16</m:t>
                    </m:r>
                  </m:e>
                </m:rad>
              </m:oMath>
            </m:oMathPara>
          </w:p>
        </w:tc>
        <w:tc>
          <w:tcPr>
            <w:tcW w:w="3780" w:type="dxa"/>
            <w:vAlign w:val="center"/>
          </w:tcPr>
          <w:p w14:paraId="5F85FEE6" w14:textId="77777777" w:rsidR="00CD55F1" w:rsidRDefault="00CD55F1" w:rsidP="00024DD9">
            <w:pPr>
              <w:pStyle w:val="ListParagraph"/>
              <w:ind w:left="0"/>
              <w:contextualSpacing w:val="0"/>
              <w:jc w:val="center"/>
            </w:pPr>
            <w:r>
              <w:t>Take the square root of both sides</w:t>
            </w:r>
          </w:p>
        </w:tc>
      </w:tr>
      <w:tr w:rsidR="00CD55F1" w14:paraId="024B1BE5" w14:textId="77777777" w:rsidTr="00024DD9">
        <w:trPr>
          <w:trHeight w:val="720"/>
        </w:trPr>
        <w:tc>
          <w:tcPr>
            <w:tcW w:w="3780" w:type="dxa"/>
            <w:vAlign w:val="center"/>
          </w:tcPr>
          <w:p w14:paraId="703ACD4B" w14:textId="77777777" w:rsidR="00CD55F1" w:rsidRDefault="00CD55F1" w:rsidP="00024DD9">
            <w:pPr>
              <w:pStyle w:val="ListParagraph"/>
              <w:ind w:left="0"/>
              <w:contextualSpacing w:val="0"/>
            </w:pPr>
            <m:oMathPara>
              <m:oMath>
                <m:r>
                  <w:rPr>
                    <w:rFonts w:ascii="Cambria Math" w:hAnsi="Cambria Math"/>
                  </w:rPr>
                  <m:t>x</m:t>
                </m:r>
                <m:r>
                  <m:rPr>
                    <m:brk/>
                    <m:aln/>
                  </m:rPr>
                  <w:rPr>
                    <w:rFonts w:ascii="Cambria Math" w:hAnsi="Cambria Math"/>
                  </w:rPr>
                  <m:t>=4</m:t>
                </m:r>
              </m:oMath>
            </m:oMathPara>
          </w:p>
        </w:tc>
        <w:tc>
          <w:tcPr>
            <w:tcW w:w="3780" w:type="dxa"/>
            <w:vAlign w:val="center"/>
          </w:tcPr>
          <w:p w14:paraId="1AE29A6E" w14:textId="77777777" w:rsidR="00CD55F1" w:rsidRDefault="00CD55F1" w:rsidP="00024DD9">
            <w:pPr>
              <w:pStyle w:val="ListParagraph"/>
              <w:ind w:left="0"/>
              <w:contextualSpacing w:val="0"/>
              <w:jc w:val="center"/>
            </w:pPr>
            <w:r>
              <w:t>The final answer – No simplification</w:t>
            </w:r>
          </w:p>
        </w:tc>
      </w:tr>
    </w:tbl>
    <w:p w14:paraId="1679E0EF" w14:textId="77777777" w:rsidR="00CD55F1" w:rsidRDefault="00CD55F1" w:rsidP="00CD55F1">
      <w:pPr>
        <w:spacing w:before="120"/>
      </w:pPr>
      <w:r>
        <w:t xml:space="preserve">In general, the ‘trick’ to simplifying an equation with numbers is this:  As long as we simplify the equation by doing the same ‘thing’ to both sides of the equation, that ‘thing’ does not change the equation’s equality.  Since our simplification steps do not change the equation’s equality, the answer for the final equation is the same answer as the answer for the first equation.  </w:t>
      </w:r>
    </w:p>
    <w:p w14:paraId="30206385" w14:textId="5002388E" w:rsidR="00CB127E" w:rsidRDefault="00CD55F1" w:rsidP="00CD55F1">
      <w:r>
        <w:t xml:space="preserve">While readers who are familiar with abstract algebra can verify the technical correctness of the following statement, the rule that “we simplify the equation by doing the same ‘thing’ to both sides of the equation, that ‘thing’ does not change the equation’s equality” is just as true for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as it is for the real-number equation we just reviewed.  In other words, as long as we simplify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by adding, subtracting, or rearranging the same risk, in the same way, to both sides of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we can </w:t>
      </w:r>
      <w:r w:rsidR="00A332FE">
        <w:t xml:space="preserve">ensure that, when we simplify </w:t>
      </w:r>
      <w:r w:rsidR="00A332FE">
        <w:fldChar w:fldCharType="begin"/>
      </w:r>
      <w:r w:rsidR="00A332FE">
        <w:instrText xml:space="preserve"> REF _Ref147639186 \h </w:instrText>
      </w:r>
      <w:r w:rsidR="00A332FE">
        <w:fldChar w:fldCharType="separate"/>
      </w:r>
      <w:r w:rsidR="001E41EA">
        <w:t xml:space="preserve">Equation </w:t>
      </w:r>
      <w:r w:rsidR="001E41EA">
        <w:rPr>
          <w:noProof/>
        </w:rPr>
        <w:t>9</w:t>
      </w:r>
      <w:r w:rsidR="00A332FE">
        <w:fldChar w:fldCharType="end"/>
      </w:r>
      <w:r w:rsidR="00A332FE">
        <w:t xml:space="preserve">, we never change a false equation to a true one.  </w:t>
      </w:r>
      <w:r w:rsidR="00CB127E">
        <w:t xml:space="preserve">This enables us to infer, if the simplified version of </w:t>
      </w:r>
      <w:r w:rsidR="00CB127E">
        <w:fldChar w:fldCharType="begin"/>
      </w:r>
      <w:r w:rsidR="00CB127E">
        <w:instrText xml:space="preserve"> REF _Ref147639186 \h </w:instrText>
      </w:r>
      <w:r w:rsidR="00CB127E">
        <w:fldChar w:fldCharType="separate"/>
      </w:r>
      <w:r w:rsidR="001E41EA">
        <w:t xml:space="preserve">Equation </w:t>
      </w:r>
      <w:r w:rsidR="001E41EA">
        <w:rPr>
          <w:noProof/>
        </w:rPr>
        <w:t>9</w:t>
      </w:r>
      <w:r w:rsidR="00CB127E">
        <w:fldChar w:fldCharType="end"/>
      </w:r>
      <w:r w:rsidR="00CB127E">
        <w:t xml:space="preserve"> is true, that </w:t>
      </w:r>
      <w:r w:rsidR="00CB127E">
        <w:fldChar w:fldCharType="begin"/>
      </w:r>
      <w:r w:rsidR="00CB127E">
        <w:instrText xml:space="preserve"> REF _Ref132953418 \h </w:instrText>
      </w:r>
      <w:r w:rsidR="00CB127E">
        <w:fldChar w:fldCharType="separate"/>
      </w:r>
      <w:r w:rsidR="001E41EA" w:rsidRPr="00F60A9B">
        <w:t xml:space="preserve">Equation </w:t>
      </w:r>
      <w:r w:rsidR="001E41EA">
        <w:rPr>
          <w:noProof/>
        </w:rPr>
        <w:t>1</w:t>
      </w:r>
      <w:r w:rsidR="00CB127E">
        <w:fldChar w:fldCharType="end"/>
      </w:r>
      <w:r w:rsidR="00CB127E">
        <w:t xml:space="preserve"> is true.  </w:t>
      </w:r>
    </w:p>
    <w:p w14:paraId="6F054AC9" w14:textId="1D37A9CE" w:rsidR="00CD55F1" w:rsidRDefault="00CD55F1" w:rsidP="00CB127E">
      <w:pPr>
        <w:spacing w:after="0"/>
      </w:pPr>
      <w:r>
        <w:lastRenderedPageBreak/>
        <w:t>We will develop four ‘</w:t>
      </w:r>
      <w:r w:rsidR="00CB127E">
        <w:t xml:space="preserve">risk algebra’ </w:t>
      </w:r>
      <w:r>
        <w:t xml:space="preserve">rules </w:t>
      </w:r>
      <w:r w:rsidR="00796FFB">
        <w:t>for</w:t>
      </w:r>
      <w:r>
        <w:t xml:space="preserve"> simplify</w:t>
      </w:r>
      <w:r w:rsidR="00796FFB">
        <w:t>ing</w:t>
      </w:r>
      <w:r>
        <w:t xml:space="preserve">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w:t>
      </w:r>
    </w:p>
    <w:p w14:paraId="3912E221" w14:textId="515E318D" w:rsidR="00CD55F1" w:rsidRDefault="00CD55F1">
      <w:pPr>
        <w:pStyle w:val="ListParagraph"/>
        <w:numPr>
          <w:ilvl w:val="0"/>
          <w:numId w:val="24"/>
        </w:numPr>
        <w:spacing w:before="80"/>
      </w:pPr>
      <w:r>
        <w:t xml:space="preserve">Two ‘rules’ simplify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by removing risks:</w:t>
      </w:r>
    </w:p>
    <w:p w14:paraId="2479CF0D" w14:textId="77777777" w:rsidR="00CD55F1" w:rsidRDefault="00CD55F1">
      <w:pPr>
        <w:pStyle w:val="ListParagraph"/>
        <w:numPr>
          <w:ilvl w:val="1"/>
          <w:numId w:val="24"/>
        </w:numPr>
      </w:pPr>
      <w:r>
        <w:t>Removing Identical Risks</w:t>
      </w:r>
    </w:p>
    <w:p w14:paraId="7008EF00" w14:textId="77777777" w:rsidR="00CD55F1" w:rsidRDefault="00CD55F1">
      <w:pPr>
        <w:pStyle w:val="ListParagraph"/>
        <w:numPr>
          <w:ilvl w:val="1"/>
          <w:numId w:val="24"/>
        </w:numPr>
        <w:spacing w:after="0"/>
        <w:contextualSpacing w:val="0"/>
      </w:pPr>
      <w:r>
        <w:t>Removing Unequal Risks</w:t>
      </w:r>
    </w:p>
    <w:p w14:paraId="21C5C591" w14:textId="172B0455" w:rsidR="00CD55F1" w:rsidRDefault="00CD55F1">
      <w:pPr>
        <w:pStyle w:val="ListParagraph"/>
        <w:numPr>
          <w:ilvl w:val="0"/>
          <w:numId w:val="24"/>
        </w:numPr>
        <w:spacing w:before="80" w:after="0"/>
        <w:contextualSpacing w:val="0"/>
      </w:pPr>
      <w:r>
        <w:t xml:space="preserve">Two ‘rules’ move Risks </w:t>
      </w:r>
      <w:r w:rsidR="00796FFB">
        <w:t xml:space="preserve">within </w:t>
      </w:r>
      <w:r w:rsidR="0066286A">
        <w:t xml:space="preserve">in </w:t>
      </w:r>
      <w:r w:rsidR="00796FFB">
        <w:fldChar w:fldCharType="begin"/>
      </w:r>
      <w:r w:rsidR="00796FFB">
        <w:instrText xml:space="preserve"> REF _Ref147639186 \h </w:instrText>
      </w:r>
      <w:r w:rsidR="00796FFB">
        <w:fldChar w:fldCharType="separate"/>
      </w:r>
      <w:r w:rsidR="001E41EA">
        <w:t xml:space="preserve">Equation </w:t>
      </w:r>
      <w:r w:rsidR="001E41EA">
        <w:rPr>
          <w:noProof/>
        </w:rPr>
        <w:t>9</w:t>
      </w:r>
      <w:r w:rsidR="00796FFB">
        <w:fldChar w:fldCharType="end"/>
      </w:r>
      <w:r w:rsidR="00796FFB">
        <w:t xml:space="preserve"> in </w:t>
      </w:r>
      <w:r w:rsidR="0066286A">
        <w:t xml:space="preserve">preparation </w:t>
      </w:r>
      <w:r w:rsidR="00796FFB">
        <w:t xml:space="preserve">for the </w:t>
      </w:r>
      <w:r>
        <w:t>previous rules remov</w:t>
      </w:r>
      <w:r w:rsidR="00796FFB">
        <w:t>ing them</w:t>
      </w:r>
      <w:r>
        <w:t xml:space="preserve">: </w:t>
      </w:r>
    </w:p>
    <w:p w14:paraId="3B391B2D" w14:textId="77777777" w:rsidR="00CD55F1" w:rsidRDefault="00CD55F1">
      <w:pPr>
        <w:pStyle w:val="ListParagraph"/>
        <w:numPr>
          <w:ilvl w:val="1"/>
          <w:numId w:val="24"/>
        </w:numPr>
      </w:pPr>
      <w:r>
        <w:t>Moving Repeated Risks</w:t>
      </w:r>
    </w:p>
    <w:p w14:paraId="18D45C7A" w14:textId="77777777" w:rsidR="00CD55F1" w:rsidRDefault="00CD55F1">
      <w:pPr>
        <w:pStyle w:val="ListParagraph"/>
        <w:numPr>
          <w:ilvl w:val="1"/>
          <w:numId w:val="24"/>
        </w:numPr>
      </w:pPr>
      <w:r>
        <w:t>Moving Similar Risks</w:t>
      </w:r>
    </w:p>
    <w:p w14:paraId="7842DB32" w14:textId="77777777" w:rsidR="00CD55F1" w:rsidRPr="00F60A9B" w:rsidRDefault="00CD55F1" w:rsidP="00AA2310">
      <w:pPr>
        <w:spacing w:after="0" w:line="240" w:lineRule="auto"/>
      </w:pPr>
    </w:p>
    <w:p w14:paraId="37DFF28B" w14:textId="15614ADD" w:rsidR="00CD55F1" w:rsidRPr="00646086" w:rsidRDefault="00CD55F1" w:rsidP="00B80650">
      <w:pPr>
        <w:pStyle w:val="Heading2"/>
        <w:rPr>
          <w:rFonts w:eastAsia="TimesNewRomanPSMT" w:cs="TimesNewRomanPSMT"/>
          <w:b/>
          <w:color w:val="000000"/>
          <w:u w:val="single"/>
        </w:rPr>
      </w:pPr>
      <w:bookmarkStart w:id="52" w:name="_Toc156728648"/>
      <w:r w:rsidRPr="00646086">
        <w:rPr>
          <w:rFonts w:eastAsia="TimesNewRomanPSMT" w:cs="TimesNewRomanPSMT"/>
          <w:b/>
          <w:color w:val="000000"/>
          <w:u w:val="single"/>
        </w:rPr>
        <w:t xml:space="preserve">An Example for </w:t>
      </w:r>
      <w:r w:rsidR="00A6566F" w:rsidRPr="00646086">
        <w:rPr>
          <w:rFonts w:eastAsia="TimesNewRomanPSMT" w:cs="TimesNewRomanPSMT"/>
          <w:b/>
          <w:color w:val="000000"/>
          <w:u w:val="single"/>
        </w:rPr>
        <w:t>Illustration</w:t>
      </w:r>
      <w:bookmarkEnd w:id="52"/>
      <w:r w:rsidRPr="00646086">
        <w:rPr>
          <w:rFonts w:eastAsia="TimesNewRomanPSMT" w:cs="TimesNewRomanPSMT"/>
          <w:b/>
          <w:color w:val="000000"/>
          <w:u w:val="single"/>
        </w:rPr>
        <w:t xml:space="preserve"> </w:t>
      </w:r>
    </w:p>
    <w:p w14:paraId="25688F32" w14:textId="1A9E1FD6" w:rsidR="00CD55F1" w:rsidRPr="00672550" w:rsidRDefault="00CD55F1" w:rsidP="00CD55F1">
      <w:r w:rsidRPr="00672550">
        <w:t xml:space="preserve">While illustrating how to use ‘risk algebra’ to simplify </w:t>
      </w:r>
      <w:r w:rsidRPr="00672550">
        <w:fldChar w:fldCharType="begin"/>
      </w:r>
      <w:r w:rsidRPr="00672550">
        <w:instrText xml:space="preserve"> REF _Ref147639186 \h </w:instrText>
      </w:r>
      <w:r>
        <w:instrText xml:space="preserve"> \* MERGEFORMAT </w:instrText>
      </w:r>
      <w:r w:rsidRPr="00672550">
        <w:fldChar w:fldCharType="separate"/>
      </w:r>
      <w:r w:rsidR="001E41EA">
        <w:t xml:space="preserve">Equation </w:t>
      </w:r>
      <w:r w:rsidR="001E41EA">
        <w:rPr>
          <w:noProof/>
        </w:rPr>
        <w:t>9</w:t>
      </w:r>
      <w:r w:rsidRPr="00672550">
        <w:fldChar w:fldCharType="end"/>
      </w:r>
      <w:r w:rsidRPr="00672550">
        <w:t xml:space="preserve">, we will start with the following ‘counts’ in the cells in </w:t>
      </w:r>
      <w:r w:rsidRPr="00672550">
        <w:fldChar w:fldCharType="begin"/>
      </w:r>
      <w:r w:rsidRPr="00672550">
        <w:instrText xml:space="preserve"> REF _Ref147639186 \h </w:instrText>
      </w:r>
      <w:r>
        <w:instrText xml:space="preserve"> \* MERGEFORMAT </w:instrText>
      </w:r>
      <w:r w:rsidRPr="00672550">
        <w:fldChar w:fldCharType="separate"/>
      </w:r>
      <w:r w:rsidR="001E41EA">
        <w:t xml:space="preserve">Equation </w:t>
      </w:r>
      <w:r w:rsidR="001E41EA">
        <w:rPr>
          <w:noProof/>
        </w:rPr>
        <w:t>9</w:t>
      </w:r>
      <w:r w:rsidRPr="00672550">
        <w:fldChar w:fldCharType="end"/>
      </w:r>
      <w:r>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168ADDC1" w14:textId="77777777" w:rsidTr="00024DD9">
        <w:trPr>
          <w:tblHeader/>
          <w:jc w:val="center"/>
        </w:trPr>
        <w:tc>
          <w:tcPr>
            <w:tcW w:w="0" w:type="auto"/>
            <w:tcBorders>
              <w:top w:val="nil"/>
              <w:left w:val="nil"/>
              <w:bottom w:val="single" w:sz="4" w:space="0" w:color="auto"/>
            </w:tcBorders>
            <w:vAlign w:val="center"/>
          </w:tcPr>
          <w:p w14:paraId="374A3CB1"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6072FBD" w14:textId="77777777" w:rsidR="00CD55F1" w:rsidRPr="005B7BEE" w:rsidRDefault="00CD55F1" w:rsidP="00024DD9">
            <w:pPr>
              <w:jc w:val="center"/>
              <w:rPr>
                <w:sz w:val="14"/>
                <w:szCs w:val="14"/>
              </w:rPr>
            </w:pPr>
            <w:r w:rsidRPr="005B7BEE">
              <w:rPr>
                <w:sz w:val="14"/>
                <w:szCs w:val="14"/>
              </w:rPr>
              <w:t>Negligible</w:t>
            </w:r>
          </w:p>
          <w:p w14:paraId="4CBF2C8B" w14:textId="77777777" w:rsidR="00CD55F1" w:rsidRPr="005B7BEE" w:rsidRDefault="00CD55F1" w:rsidP="00024DD9">
            <w:pPr>
              <w:jc w:val="center"/>
              <w:rPr>
                <w:sz w:val="14"/>
                <w:szCs w:val="14"/>
              </w:rPr>
            </w:pPr>
          </w:p>
        </w:tc>
        <w:tc>
          <w:tcPr>
            <w:tcW w:w="0" w:type="auto"/>
            <w:tcBorders>
              <w:top w:val="single" w:sz="4" w:space="0" w:color="auto"/>
              <w:bottom w:val="single" w:sz="12" w:space="0" w:color="auto"/>
            </w:tcBorders>
            <w:vAlign w:val="center"/>
          </w:tcPr>
          <w:p w14:paraId="5D1CA3E4"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2EC8420A"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539A35CD"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E0ECDD7" w14:textId="77777777" w:rsidR="00CD55F1" w:rsidRPr="005B7BEE" w:rsidRDefault="00CD55F1" w:rsidP="00024DD9">
            <w:pPr>
              <w:jc w:val="center"/>
              <w:rPr>
                <w:sz w:val="14"/>
                <w:szCs w:val="14"/>
              </w:rPr>
            </w:pPr>
            <w:r w:rsidRPr="005B7BEE">
              <w:rPr>
                <w:sz w:val="14"/>
                <w:szCs w:val="14"/>
              </w:rPr>
              <w:t xml:space="preserve">Catastrophic </w:t>
            </w:r>
          </w:p>
          <w:p w14:paraId="78FB9F2C"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681654AA"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3BBAFD5C"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F969914" w14:textId="77777777" w:rsidR="00CD55F1" w:rsidRPr="005B7BEE" w:rsidRDefault="00CD55F1" w:rsidP="00024DD9">
            <w:pPr>
              <w:jc w:val="center"/>
              <w:rPr>
                <w:sz w:val="14"/>
                <w:szCs w:val="14"/>
              </w:rPr>
            </w:pPr>
            <w:r w:rsidRPr="005B7BEE">
              <w:rPr>
                <w:sz w:val="14"/>
                <w:szCs w:val="14"/>
              </w:rPr>
              <w:t>Negligible</w:t>
            </w:r>
          </w:p>
          <w:p w14:paraId="1F7B41E6" w14:textId="77777777" w:rsidR="00CD55F1" w:rsidRPr="005B7BEE" w:rsidRDefault="00CD55F1" w:rsidP="00024DD9">
            <w:pPr>
              <w:jc w:val="center"/>
              <w:rPr>
                <w:sz w:val="14"/>
                <w:szCs w:val="14"/>
              </w:rPr>
            </w:pPr>
          </w:p>
        </w:tc>
        <w:tc>
          <w:tcPr>
            <w:tcW w:w="0" w:type="auto"/>
            <w:tcBorders>
              <w:top w:val="single" w:sz="4" w:space="0" w:color="auto"/>
              <w:bottom w:val="single" w:sz="12" w:space="0" w:color="auto"/>
            </w:tcBorders>
            <w:vAlign w:val="center"/>
          </w:tcPr>
          <w:p w14:paraId="569BDFC8"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34E4E395"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BFBA27F"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F95B409" w14:textId="77777777" w:rsidR="00CD55F1" w:rsidRPr="005B7BEE" w:rsidRDefault="00CD55F1" w:rsidP="00024DD9">
            <w:pPr>
              <w:jc w:val="center"/>
              <w:rPr>
                <w:sz w:val="14"/>
                <w:szCs w:val="14"/>
              </w:rPr>
            </w:pPr>
            <w:r w:rsidRPr="005B7BEE">
              <w:rPr>
                <w:sz w:val="14"/>
                <w:szCs w:val="14"/>
              </w:rPr>
              <w:t xml:space="preserve">Catastrophic </w:t>
            </w:r>
          </w:p>
          <w:p w14:paraId="7D288533"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120DD706" w14:textId="77777777" w:rsidTr="00024DD9">
        <w:trPr>
          <w:jc w:val="center"/>
        </w:trPr>
        <w:tc>
          <w:tcPr>
            <w:tcW w:w="0" w:type="auto"/>
            <w:tcBorders>
              <w:top w:val="single" w:sz="4" w:space="0" w:color="auto"/>
              <w:right w:val="single" w:sz="12" w:space="0" w:color="auto"/>
            </w:tcBorders>
          </w:tcPr>
          <w:p w14:paraId="686A0210"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tcPr>
          <w:p w14:paraId="45DE0E8E" w14:textId="77777777" w:rsidR="00CD55F1" w:rsidRPr="00F60A9B" w:rsidRDefault="00CD55F1" w:rsidP="00024DD9">
            <w:pPr>
              <w:jc w:val="center"/>
            </w:pPr>
            <w:r>
              <w:t>0</w:t>
            </w:r>
          </w:p>
        </w:tc>
        <w:tc>
          <w:tcPr>
            <w:tcW w:w="0" w:type="auto"/>
            <w:tcBorders>
              <w:top w:val="single" w:sz="12" w:space="0" w:color="auto"/>
            </w:tcBorders>
          </w:tcPr>
          <w:p w14:paraId="72E14941" w14:textId="77777777" w:rsidR="00CD55F1" w:rsidRPr="00210DD1" w:rsidRDefault="00CD55F1" w:rsidP="00024DD9">
            <w:pPr>
              <w:jc w:val="center"/>
            </w:pPr>
            <w:r>
              <w:t>0</w:t>
            </w:r>
          </w:p>
        </w:tc>
        <w:tc>
          <w:tcPr>
            <w:tcW w:w="0" w:type="auto"/>
            <w:tcBorders>
              <w:top w:val="single" w:sz="12" w:space="0" w:color="auto"/>
            </w:tcBorders>
          </w:tcPr>
          <w:p w14:paraId="47C4437D" w14:textId="77777777" w:rsidR="00CD55F1" w:rsidRPr="00210DD1" w:rsidRDefault="00CD55F1" w:rsidP="00024DD9">
            <w:pPr>
              <w:jc w:val="center"/>
            </w:pPr>
            <w:r>
              <w:t>0</w:t>
            </w:r>
          </w:p>
        </w:tc>
        <w:tc>
          <w:tcPr>
            <w:tcW w:w="0" w:type="auto"/>
            <w:tcBorders>
              <w:top w:val="single" w:sz="12" w:space="0" w:color="auto"/>
            </w:tcBorders>
          </w:tcPr>
          <w:p w14:paraId="4F5DFC6F" w14:textId="77777777" w:rsidR="00CD55F1" w:rsidRPr="00210DD1" w:rsidRDefault="00CD55F1" w:rsidP="00024DD9">
            <w:pPr>
              <w:jc w:val="center"/>
            </w:pPr>
            <w:r>
              <w:t>0</w:t>
            </w:r>
          </w:p>
        </w:tc>
        <w:tc>
          <w:tcPr>
            <w:tcW w:w="0" w:type="auto"/>
            <w:tcBorders>
              <w:top w:val="single" w:sz="12" w:space="0" w:color="auto"/>
            </w:tcBorders>
          </w:tcPr>
          <w:p w14:paraId="63AA08FC" w14:textId="77777777" w:rsidR="00CD55F1" w:rsidRPr="00F60A9B" w:rsidRDefault="00CD55F1" w:rsidP="00024DD9">
            <w:pPr>
              <w:jc w:val="center"/>
            </w:pPr>
            <w:r>
              <w:t>0</w:t>
            </w:r>
          </w:p>
        </w:tc>
        <w:tc>
          <w:tcPr>
            <w:tcW w:w="0" w:type="auto"/>
            <w:tcBorders>
              <w:top w:val="nil"/>
              <w:left w:val="nil"/>
              <w:bottom w:val="nil"/>
              <w:right w:val="nil"/>
            </w:tcBorders>
          </w:tcPr>
          <w:p w14:paraId="0D27A383" w14:textId="77777777" w:rsidR="00CD55F1" w:rsidRDefault="00CD55F1" w:rsidP="00024DD9">
            <w:pPr>
              <w:jc w:val="center"/>
            </w:pPr>
          </w:p>
        </w:tc>
        <w:tc>
          <w:tcPr>
            <w:tcW w:w="0" w:type="auto"/>
            <w:tcBorders>
              <w:top w:val="single" w:sz="12" w:space="0" w:color="auto"/>
            </w:tcBorders>
          </w:tcPr>
          <w:p w14:paraId="44B884A6" w14:textId="77777777" w:rsidR="00CD55F1" w:rsidRDefault="00CD55F1" w:rsidP="00024DD9">
            <w:pPr>
              <w:jc w:val="center"/>
            </w:pPr>
            <w:r>
              <w:rPr>
                <w:sz w:val="14"/>
                <w:szCs w:val="14"/>
              </w:rPr>
              <w:t>Expected</w:t>
            </w:r>
          </w:p>
        </w:tc>
        <w:tc>
          <w:tcPr>
            <w:tcW w:w="0" w:type="auto"/>
            <w:tcBorders>
              <w:top w:val="single" w:sz="12" w:space="0" w:color="auto"/>
            </w:tcBorders>
          </w:tcPr>
          <w:p w14:paraId="75C5A6A6" w14:textId="77777777" w:rsidR="00CD55F1" w:rsidRDefault="00CD55F1" w:rsidP="00024DD9">
            <w:pPr>
              <w:jc w:val="center"/>
            </w:pPr>
            <w:r>
              <w:t>0</w:t>
            </w:r>
          </w:p>
        </w:tc>
        <w:tc>
          <w:tcPr>
            <w:tcW w:w="0" w:type="auto"/>
            <w:tcBorders>
              <w:top w:val="single" w:sz="12" w:space="0" w:color="auto"/>
            </w:tcBorders>
          </w:tcPr>
          <w:p w14:paraId="3A97200C" w14:textId="77777777" w:rsidR="00CD55F1" w:rsidRDefault="00CD55F1" w:rsidP="00024DD9">
            <w:pPr>
              <w:jc w:val="center"/>
            </w:pPr>
            <w:r>
              <w:t>0</w:t>
            </w:r>
          </w:p>
        </w:tc>
        <w:tc>
          <w:tcPr>
            <w:tcW w:w="0" w:type="auto"/>
            <w:tcBorders>
              <w:top w:val="single" w:sz="12" w:space="0" w:color="auto"/>
            </w:tcBorders>
          </w:tcPr>
          <w:p w14:paraId="52B53C02" w14:textId="77777777" w:rsidR="00CD55F1" w:rsidRDefault="00CD55F1" w:rsidP="00024DD9">
            <w:pPr>
              <w:jc w:val="center"/>
            </w:pPr>
            <w:r>
              <w:t>0</w:t>
            </w:r>
          </w:p>
        </w:tc>
        <w:tc>
          <w:tcPr>
            <w:tcW w:w="0" w:type="auto"/>
            <w:tcBorders>
              <w:top w:val="single" w:sz="12" w:space="0" w:color="auto"/>
            </w:tcBorders>
          </w:tcPr>
          <w:p w14:paraId="0DCBF5CA" w14:textId="77777777" w:rsidR="00CD55F1" w:rsidRDefault="00CD55F1" w:rsidP="00024DD9">
            <w:pPr>
              <w:jc w:val="center"/>
            </w:pPr>
            <w:r>
              <w:t>0</w:t>
            </w:r>
          </w:p>
        </w:tc>
        <w:tc>
          <w:tcPr>
            <w:tcW w:w="0" w:type="auto"/>
            <w:tcBorders>
              <w:top w:val="single" w:sz="12" w:space="0" w:color="auto"/>
            </w:tcBorders>
          </w:tcPr>
          <w:p w14:paraId="64A110C9" w14:textId="77777777" w:rsidR="00CD55F1" w:rsidRDefault="00CD55F1" w:rsidP="00024DD9">
            <w:pPr>
              <w:jc w:val="center"/>
            </w:pPr>
            <w:r>
              <w:t>0</w:t>
            </w:r>
          </w:p>
        </w:tc>
      </w:tr>
      <w:tr w:rsidR="00CD55F1" w:rsidRPr="00F60A9B" w14:paraId="3A1CBEBF" w14:textId="77777777" w:rsidTr="00024DD9">
        <w:trPr>
          <w:jc w:val="center"/>
        </w:trPr>
        <w:tc>
          <w:tcPr>
            <w:tcW w:w="0" w:type="auto"/>
            <w:tcBorders>
              <w:right w:val="single" w:sz="12" w:space="0" w:color="auto"/>
            </w:tcBorders>
          </w:tcPr>
          <w:p w14:paraId="37FEB927"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tcPr>
          <w:p w14:paraId="4211DAF2" w14:textId="77777777" w:rsidR="00CD55F1" w:rsidRDefault="00CD55F1" w:rsidP="00024DD9">
            <w:pPr>
              <w:jc w:val="center"/>
            </w:pPr>
            <w:r>
              <w:t>0</w:t>
            </w:r>
          </w:p>
        </w:tc>
        <w:tc>
          <w:tcPr>
            <w:tcW w:w="0" w:type="auto"/>
          </w:tcPr>
          <w:p w14:paraId="42093E38" w14:textId="77777777" w:rsidR="00CD55F1" w:rsidRPr="00210DD1" w:rsidRDefault="00CD55F1" w:rsidP="00024DD9">
            <w:pPr>
              <w:jc w:val="center"/>
            </w:pPr>
            <w:r>
              <w:t>0</w:t>
            </w:r>
          </w:p>
        </w:tc>
        <w:tc>
          <w:tcPr>
            <w:tcW w:w="0" w:type="auto"/>
          </w:tcPr>
          <w:p w14:paraId="77A4CF0B" w14:textId="77777777" w:rsidR="00CD55F1" w:rsidRPr="00210DD1" w:rsidRDefault="00CD55F1" w:rsidP="00024DD9">
            <w:pPr>
              <w:jc w:val="center"/>
            </w:pPr>
            <w:r>
              <w:t>0</w:t>
            </w:r>
          </w:p>
        </w:tc>
        <w:tc>
          <w:tcPr>
            <w:tcW w:w="0" w:type="auto"/>
          </w:tcPr>
          <w:p w14:paraId="08A7DDFF" w14:textId="77777777" w:rsidR="00CD55F1" w:rsidRPr="00210DD1" w:rsidRDefault="00CD55F1" w:rsidP="00024DD9">
            <w:pPr>
              <w:jc w:val="center"/>
            </w:pPr>
            <w:r>
              <w:t>0</w:t>
            </w:r>
          </w:p>
        </w:tc>
        <w:tc>
          <w:tcPr>
            <w:tcW w:w="0" w:type="auto"/>
          </w:tcPr>
          <w:p w14:paraId="2AFC4300" w14:textId="77777777" w:rsidR="00CD55F1" w:rsidRDefault="00CD55F1" w:rsidP="00024DD9">
            <w:pPr>
              <w:jc w:val="center"/>
            </w:pPr>
            <w:r>
              <w:t>0</w:t>
            </w:r>
          </w:p>
        </w:tc>
        <w:tc>
          <w:tcPr>
            <w:tcW w:w="0" w:type="auto"/>
            <w:tcBorders>
              <w:top w:val="nil"/>
              <w:left w:val="nil"/>
              <w:bottom w:val="nil"/>
              <w:right w:val="nil"/>
            </w:tcBorders>
          </w:tcPr>
          <w:p w14:paraId="2AA315CB" w14:textId="77777777" w:rsidR="00CD55F1" w:rsidRDefault="00CD55F1" w:rsidP="00024DD9">
            <w:pPr>
              <w:jc w:val="center"/>
            </w:pPr>
          </w:p>
        </w:tc>
        <w:tc>
          <w:tcPr>
            <w:tcW w:w="0" w:type="auto"/>
          </w:tcPr>
          <w:p w14:paraId="4D87C877" w14:textId="77777777" w:rsidR="00CD55F1" w:rsidRPr="005B7BEE" w:rsidRDefault="00CD55F1" w:rsidP="00024DD9">
            <w:pPr>
              <w:jc w:val="center"/>
              <w:rPr>
                <w:sz w:val="14"/>
                <w:szCs w:val="14"/>
              </w:rPr>
            </w:pPr>
            <w:r>
              <w:rPr>
                <w:sz w:val="14"/>
                <w:szCs w:val="14"/>
              </w:rPr>
              <w:t>Often</w:t>
            </w:r>
          </w:p>
        </w:tc>
        <w:tc>
          <w:tcPr>
            <w:tcW w:w="0" w:type="auto"/>
          </w:tcPr>
          <w:p w14:paraId="6D224E27" w14:textId="77777777" w:rsidR="00CD55F1" w:rsidRDefault="00CD55F1" w:rsidP="00024DD9">
            <w:pPr>
              <w:jc w:val="center"/>
            </w:pPr>
            <w:r>
              <w:t>0</w:t>
            </w:r>
          </w:p>
        </w:tc>
        <w:tc>
          <w:tcPr>
            <w:tcW w:w="0" w:type="auto"/>
          </w:tcPr>
          <w:p w14:paraId="581D0E99" w14:textId="77777777" w:rsidR="00CD55F1" w:rsidRPr="00210DD1" w:rsidRDefault="00CD55F1" w:rsidP="00024DD9">
            <w:pPr>
              <w:jc w:val="center"/>
            </w:pPr>
            <w:r>
              <w:t>0</w:t>
            </w:r>
          </w:p>
        </w:tc>
        <w:tc>
          <w:tcPr>
            <w:tcW w:w="0" w:type="auto"/>
          </w:tcPr>
          <w:p w14:paraId="6DC5FB17" w14:textId="77777777" w:rsidR="00CD55F1" w:rsidRPr="00210DD1" w:rsidRDefault="00CD55F1" w:rsidP="00024DD9">
            <w:pPr>
              <w:jc w:val="center"/>
            </w:pPr>
            <w:r>
              <w:t>0</w:t>
            </w:r>
          </w:p>
        </w:tc>
        <w:tc>
          <w:tcPr>
            <w:tcW w:w="0" w:type="auto"/>
          </w:tcPr>
          <w:p w14:paraId="5F3E96B1" w14:textId="77777777" w:rsidR="00CD55F1" w:rsidRPr="00210DD1" w:rsidRDefault="00CD55F1" w:rsidP="00024DD9">
            <w:pPr>
              <w:jc w:val="center"/>
            </w:pPr>
            <w:r>
              <w:t>0</w:t>
            </w:r>
          </w:p>
        </w:tc>
        <w:tc>
          <w:tcPr>
            <w:tcW w:w="0" w:type="auto"/>
          </w:tcPr>
          <w:p w14:paraId="7F27EF85" w14:textId="77777777" w:rsidR="00CD55F1" w:rsidRDefault="00CD55F1" w:rsidP="00024DD9">
            <w:pPr>
              <w:jc w:val="center"/>
            </w:pPr>
            <w:r>
              <w:t>0</w:t>
            </w:r>
          </w:p>
        </w:tc>
      </w:tr>
      <w:tr w:rsidR="00CD55F1" w:rsidRPr="00F60A9B" w14:paraId="2DDBAF71" w14:textId="77777777" w:rsidTr="00024DD9">
        <w:trPr>
          <w:jc w:val="center"/>
        </w:trPr>
        <w:tc>
          <w:tcPr>
            <w:tcW w:w="0" w:type="auto"/>
            <w:tcBorders>
              <w:right w:val="single" w:sz="12" w:space="0" w:color="auto"/>
            </w:tcBorders>
          </w:tcPr>
          <w:p w14:paraId="7BCE81EB" w14:textId="77777777" w:rsidR="00CD55F1" w:rsidRPr="005B7BEE" w:rsidRDefault="00CD55F1" w:rsidP="00024DD9">
            <w:pPr>
              <w:rPr>
                <w:sz w:val="14"/>
                <w:szCs w:val="14"/>
              </w:rPr>
            </w:pPr>
            <w:r w:rsidRPr="005B7BEE">
              <w:rPr>
                <w:sz w:val="14"/>
                <w:szCs w:val="14"/>
              </w:rPr>
              <w:t>Frequent</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C5B2116" w14:textId="77777777" w:rsidR="00CD55F1" w:rsidRDefault="00CD55F1" w:rsidP="00024DD9">
            <w:pPr>
              <w:jc w:val="center"/>
            </w:pPr>
            <w:r w:rsidRPr="00F60A9B">
              <w:rPr>
                <w:rFonts w:ascii="Calibri" w:hAnsi="Calibri" w:cs="Calibri"/>
              </w:rPr>
              <w:t>4</w:t>
            </w:r>
          </w:p>
        </w:tc>
        <w:tc>
          <w:tcPr>
            <w:tcW w:w="0" w:type="auto"/>
            <w:tcBorders>
              <w:top w:val="single" w:sz="8" w:space="0" w:color="auto"/>
              <w:left w:val="nil"/>
              <w:bottom w:val="single" w:sz="4" w:space="0" w:color="auto"/>
              <w:right w:val="single" w:sz="4" w:space="0" w:color="auto"/>
            </w:tcBorders>
            <w:shd w:val="clear" w:color="auto" w:fill="auto"/>
            <w:vAlign w:val="bottom"/>
          </w:tcPr>
          <w:p w14:paraId="0F1127A1" w14:textId="77777777" w:rsidR="00CD55F1" w:rsidRPr="00210DD1" w:rsidRDefault="00CD55F1" w:rsidP="00024DD9">
            <w:pPr>
              <w:jc w:val="center"/>
            </w:pPr>
            <w:r w:rsidRPr="00F60A9B">
              <w:rPr>
                <w:rFonts w:ascii="Calibri" w:hAnsi="Calibri" w:cs="Calibri"/>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02A0EC7" w14:textId="77777777" w:rsidR="00CD55F1" w:rsidRPr="00210DD1" w:rsidRDefault="00CD55F1" w:rsidP="00024DD9">
            <w:pPr>
              <w:jc w:val="center"/>
            </w:pPr>
            <w:r w:rsidRPr="00F60A9B">
              <w:rPr>
                <w:rFonts w:ascii="Calibri" w:hAnsi="Calibri" w:cs="Calibri"/>
              </w:rPr>
              <w:t>3</w:t>
            </w:r>
          </w:p>
        </w:tc>
        <w:tc>
          <w:tcPr>
            <w:tcW w:w="0" w:type="auto"/>
            <w:tcBorders>
              <w:top w:val="single" w:sz="8" w:space="0" w:color="auto"/>
              <w:left w:val="nil"/>
              <w:bottom w:val="single" w:sz="4" w:space="0" w:color="auto"/>
              <w:right w:val="single" w:sz="4" w:space="0" w:color="auto"/>
            </w:tcBorders>
            <w:shd w:val="clear" w:color="auto" w:fill="auto"/>
            <w:vAlign w:val="bottom"/>
          </w:tcPr>
          <w:p w14:paraId="0885A01E" w14:textId="77777777" w:rsidR="00CD55F1" w:rsidRPr="00210DD1" w:rsidRDefault="00CD55F1" w:rsidP="00024DD9">
            <w:pPr>
              <w:jc w:val="center"/>
            </w:pPr>
            <w:r w:rsidRPr="00F60A9B">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95C5EBE"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tcPr>
          <w:p w14:paraId="37AB4935" w14:textId="77777777" w:rsidR="00CD55F1" w:rsidRDefault="00CD55F1" w:rsidP="00024DD9">
            <w:pPr>
              <w:jc w:val="center"/>
            </w:pPr>
          </w:p>
        </w:tc>
        <w:tc>
          <w:tcPr>
            <w:tcW w:w="0" w:type="auto"/>
          </w:tcPr>
          <w:p w14:paraId="41245A35" w14:textId="77777777" w:rsidR="00CD55F1" w:rsidRPr="005B7BEE" w:rsidRDefault="00CD55F1" w:rsidP="00024DD9">
            <w:pPr>
              <w:jc w:val="center"/>
              <w:rPr>
                <w:sz w:val="14"/>
                <w:szCs w:val="14"/>
              </w:rPr>
            </w:pPr>
            <w:r w:rsidRPr="005B7BEE">
              <w:rPr>
                <w:sz w:val="14"/>
                <w:szCs w:val="14"/>
              </w:rPr>
              <w:t>Frequent</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2AA588EF" w14:textId="77777777" w:rsidR="00CD55F1" w:rsidRDefault="00CD55F1" w:rsidP="00024DD9">
            <w:pPr>
              <w:jc w:val="center"/>
            </w:pPr>
            <w:r w:rsidRPr="00F60A9B">
              <w:rPr>
                <w:rFonts w:ascii="Calibri" w:hAnsi="Calibri" w:cs="Calibri"/>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2B82FEF5" w14:textId="77777777" w:rsidR="00CD55F1" w:rsidRPr="00210DD1" w:rsidRDefault="00CD55F1" w:rsidP="00024DD9">
            <w:pPr>
              <w:jc w:val="center"/>
            </w:pPr>
            <w:r w:rsidRPr="00F60A9B">
              <w:rPr>
                <w:rFonts w:ascii="Calibri" w:hAnsi="Calibri" w:cs="Calibri"/>
              </w:rPr>
              <w:t>4</w:t>
            </w:r>
          </w:p>
        </w:tc>
        <w:tc>
          <w:tcPr>
            <w:tcW w:w="0" w:type="auto"/>
            <w:tcBorders>
              <w:top w:val="single" w:sz="8" w:space="0" w:color="auto"/>
              <w:left w:val="nil"/>
              <w:bottom w:val="single" w:sz="4" w:space="0" w:color="auto"/>
              <w:right w:val="single" w:sz="4" w:space="0" w:color="auto"/>
            </w:tcBorders>
            <w:shd w:val="clear" w:color="auto" w:fill="auto"/>
            <w:vAlign w:val="bottom"/>
          </w:tcPr>
          <w:p w14:paraId="5B7BD771" w14:textId="77777777" w:rsidR="00CD55F1" w:rsidRPr="00210DD1" w:rsidRDefault="00CD55F1" w:rsidP="00024DD9">
            <w:pPr>
              <w:jc w:val="center"/>
            </w:pPr>
            <w:r w:rsidRPr="00F60A9B">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904ED1B" w14:textId="77777777" w:rsidR="00CD55F1" w:rsidRPr="00210DD1" w:rsidRDefault="00CD55F1" w:rsidP="00024DD9">
            <w:pPr>
              <w:jc w:val="center"/>
            </w:pPr>
            <w:r w:rsidRPr="00F60A9B">
              <w:rPr>
                <w:rFonts w:ascii="Calibri" w:hAnsi="Calibri" w:cs="Calibri"/>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D090399" w14:textId="77777777" w:rsidR="00CD55F1" w:rsidRDefault="00CD55F1" w:rsidP="00024DD9">
            <w:pPr>
              <w:jc w:val="center"/>
            </w:pPr>
            <w:r w:rsidRPr="00F60A9B">
              <w:rPr>
                <w:rFonts w:ascii="Calibri" w:hAnsi="Calibri" w:cs="Calibri"/>
              </w:rPr>
              <w:t>0</w:t>
            </w:r>
          </w:p>
        </w:tc>
      </w:tr>
      <w:tr w:rsidR="00CD55F1" w:rsidRPr="00F60A9B" w14:paraId="0D2369B6" w14:textId="77777777" w:rsidTr="00024DD9">
        <w:trPr>
          <w:jc w:val="center"/>
        </w:trPr>
        <w:tc>
          <w:tcPr>
            <w:tcW w:w="0" w:type="auto"/>
            <w:tcBorders>
              <w:right w:val="single" w:sz="12" w:space="0" w:color="auto"/>
            </w:tcBorders>
          </w:tcPr>
          <w:p w14:paraId="5FE657FE" w14:textId="77777777" w:rsidR="00CD55F1" w:rsidRPr="005B7BEE" w:rsidRDefault="00CD55F1" w:rsidP="00024DD9">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2CA923A" w14:textId="77777777" w:rsidR="00CD55F1" w:rsidRPr="00F60A9B"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50588493" w14:textId="77777777" w:rsidR="00CD55F1" w:rsidRPr="00210DD1"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6EE2DC82" w14:textId="77777777" w:rsidR="00CD55F1" w:rsidRPr="00210DD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103250A7" w14:textId="77777777" w:rsidR="00CD55F1" w:rsidRPr="00210DD1" w:rsidRDefault="00CD55F1" w:rsidP="00024DD9">
            <w:pPr>
              <w:jc w:val="center"/>
            </w:pPr>
            <w:r w:rsidRPr="00F60A9B">
              <w:rPr>
                <w:rFonts w:ascii="Calibri" w:hAnsi="Calibri" w:cs="Calibri"/>
              </w:rPr>
              <w:t>0</w:t>
            </w:r>
          </w:p>
        </w:tc>
        <w:tc>
          <w:tcPr>
            <w:tcW w:w="0" w:type="auto"/>
            <w:tcBorders>
              <w:top w:val="nil"/>
              <w:left w:val="nil"/>
              <w:bottom w:val="single" w:sz="4" w:space="0" w:color="auto"/>
              <w:right w:val="single" w:sz="4" w:space="0" w:color="auto"/>
            </w:tcBorders>
            <w:shd w:val="clear" w:color="auto" w:fill="auto"/>
            <w:vAlign w:val="bottom"/>
          </w:tcPr>
          <w:p w14:paraId="754CE005"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tcPr>
          <w:p w14:paraId="213B195A"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73485D25" w14:textId="77777777" w:rsidR="00CD55F1" w:rsidRDefault="00CD55F1" w:rsidP="00024DD9">
            <w:pPr>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A2A5146" w14:textId="77777777" w:rsidR="00CD55F1" w:rsidRDefault="00CD55F1" w:rsidP="00024DD9">
            <w:pPr>
              <w:jc w:val="center"/>
            </w:pPr>
            <w:r w:rsidRPr="00F60A9B">
              <w:rPr>
                <w:rFonts w:ascii="Calibri" w:hAnsi="Calibri" w:cs="Calibri"/>
              </w:rPr>
              <w:t>15</w:t>
            </w:r>
          </w:p>
        </w:tc>
        <w:tc>
          <w:tcPr>
            <w:tcW w:w="0" w:type="auto"/>
            <w:tcBorders>
              <w:top w:val="nil"/>
              <w:left w:val="nil"/>
              <w:bottom w:val="single" w:sz="4" w:space="0" w:color="auto"/>
              <w:right w:val="single" w:sz="4" w:space="0" w:color="auto"/>
            </w:tcBorders>
            <w:shd w:val="clear" w:color="auto" w:fill="auto"/>
            <w:vAlign w:val="bottom"/>
          </w:tcPr>
          <w:p w14:paraId="047CB596" w14:textId="77777777" w:rsidR="00CD55F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3F4EF616" w14:textId="77777777" w:rsidR="00CD55F1" w:rsidRDefault="00CD55F1" w:rsidP="00024DD9">
            <w:pPr>
              <w:jc w:val="center"/>
            </w:pPr>
            <w:r w:rsidRPr="00F60A9B">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5343857B" w14:textId="77777777" w:rsidR="00CD55F1" w:rsidRDefault="00CD55F1" w:rsidP="00024DD9">
            <w:pPr>
              <w:jc w:val="center"/>
            </w:pPr>
            <w:r w:rsidRPr="00F60A9B">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60649134" w14:textId="77777777" w:rsidR="00CD55F1" w:rsidRDefault="00CD55F1" w:rsidP="00024DD9">
            <w:pPr>
              <w:jc w:val="center"/>
            </w:pPr>
            <w:r w:rsidRPr="00F60A9B">
              <w:rPr>
                <w:rFonts w:ascii="Calibri" w:hAnsi="Calibri" w:cs="Calibri"/>
              </w:rPr>
              <w:t>0</w:t>
            </w:r>
          </w:p>
        </w:tc>
      </w:tr>
      <w:tr w:rsidR="00CD55F1" w:rsidRPr="00F60A9B" w14:paraId="3B255AFB" w14:textId="77777777" w:rsidTr="00024DD9">
        <w:trPr>
          <w:jc w:val="center"/>
        </w:trPr>
        <w:tc>
          <w:tcPr>
            <w:tcW w:w="0" w:type="auto"/>
            <w:tcBorders>
              <w:right w:val="single" w:sz="12" w:space="0" w:color="auto"/>
            </w:tcBorders>
          </w:tcPr>
          <w:p w14:paraId="229B1B39" w14:textId="77777777" w:rsidR="00CD55F1" w:rsidRPr="005B7BEE" w:rsidRDefault="00CD55F1" w:rsidP="00024DD9">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37024B6" w14:textId="77777777" w:rsidR="00CD55F1" w:rsidRPr="00F60A9B"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703D2D23" w14:textId="77777777" w:rsidR="00CD55F1" w:rsidRPr="00210DD1" w:rsidRDefault="00CD55F1" w:rsidP="00024DD9">
            <w:pPr>
              <w:jc w:val="center"/>
            </w:pPr>
            <w:r w:rsidRPr="00F60A9B">
              <w:rPr>
                <w:rFonts w:ascii="Calibri" w:hAnsi="Calibri" w:cs="Calibri"/>
              </w:rPr>
              <w:t>0</w:t>
            </w:r>
          </w:p>
        </w:tc>
        <w:tc>
          <w:tcPr>
            <w:tcW w:w="0" w:type="auto"/>
            <w:tcBorders>
              <w:top w:val="nil"/>
              <w:left w:val="nil"/>
              <w:bottom w:val="single" w:sz="4" w:space="0" w:color="auto"/>
              <w:right w:val="single" w:sz="4" w:space="0" w:color="auto"/>
            </w:tcBorders>
            <w:shd w:val="clear" w:color="auto" w:fill="auto"/>
            <w:vAlign w:val="bottom"/>
          </w:tcPr>
          <w:p w14:paraId="75F97B71" w14:textId="77777777" w:rsidR="00CD55F1" w:rsidRPr="00210DD1" w:rsidRDefault="00CD55F1" w:rsidP="00024DD9">
            <w:pPr>
              <w:jc w:val="center"/>
            </w:pPr>
            <w:r w:rsidRPr="00F60A9B">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7F019542" w14:textId="77777777" w:rsidR="00CD55F1" w:rsidRPr="00210DD1"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7AC804E0"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tcPr>
          <w:p w14:paraId="667007F9" w14:textId="77777777" w:rsidR="00CD55F1" w:rsidRDefault="00CD55F1" w:rsidP="00024DD9">
            <w:pPr>
              <w:jc w:val="center"/>
            </w:pPr>
          </w:p>
        </w:tc>
        <w:tc>
          <w:tcPr>
            <w:tcW w:w="0" w:type="auto"/>
          </w:tcPr>
          <w:p w14:paraId="72EECC5F" w14:textId="77777777" w:rsidR="00CD55F1" w:rsidRDefault="00CD55F1" w:rsidP="00024DD9">
            <w:pPr>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E234E73" w14:textId="77777777" w:rsidR="00CD55F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3B856805" w14:textId="77777777" w:rsidR="00CD55F1" w:rsidRDefault="00CD55F1" w:rsidP="00024DD9">
            <w:pPr>
              <w:jc w:val="center"/>
            </w:pPr>
            <w:r w:rsidRPr="00F60A9B">
              <w:rPr>
                <w:rFonts w:ascii="Calibri" w:hAnsi="Calibri" w:cs="Calibri"/>
              </w:rPr>
              <w:t>10</w:t>
            </w:r>
          </w:p>
        </w:tc>
        <w:tc>
          <w:tcPr>
            <w:tcW w:w="0" w:type="auto"/>
            <w:tcBorders>
              <w:top w:val="nil"/>
              <w:left w:val="nil"/>
              <w:bottom w:val="single" w:sz="4" w:space="0" w:color="auto"/>
              <w:right w:val="single" w:sz="4" w:space="0" w:color="auto"/>
            </w:tcBorders>
            <w:shd w:val="clear" w:color="auto" w:fill="auto"/>
            <w:vAlign w:val="bottom"/>
          </w:tcPr>
          <w:p w14:paraId="07F46448" w14:textId="77777777" w:rsidR="00CD55F1" w:rsidRDefault="00CD55F1" w:rsidP="00024DD9">
            <w:pPr>
              <w:jc w:val="center"/>
            </w:pPr>
            <w:r w:rsidRPr="00F60A9B">
              <w:rPr>
                <w:rFonts w:ascii="Calibri" w:hAnsi="Calibri" w:cs="Calibri"/>
              </w:rPr>
              <w:t>2</w:t>
            </w:r>
          </w:p>
        </w:tc>
        <w:tc>
          <w:tcPr>
            <w:tcW w:w="0" w:type="auto"/>
            <w:tcBorders>
              <w:top w:val="nil"/>
              <w:left w:val="nil"/>
              <w:bottom w:val="single" w:sz="4" w:space="0" w:color="auto"/>
              <w:right w:val="single" w:sz="4" w:space="0" w:color="auto"/>
            </w:tcBorders>
            <w:shd w:val="clear" w:color="auto" w:fill="auto"/>
            <w:vAlign w:val="bottom"/>
          </w:tcPr>
          <w:p w14:paraId="45B7D72D" w14:textId="77777777" w:rsidR="00CD55F1" w:rsidRDefault="00CD55F1" w:rsidP="00024DD9">
            <w:pPr>
              <w:jc w:val="center"/>
            </w:pPr>
            <w:r w:rsidRPr="00F60A9B">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38C6BBF4" w14:textId="77777777" w:rsidR="00CD55F1" w:rsidRDefault="00CD55F1" w:rsidP="00024DD9">
            <w:pPr>
              <w:jc w:val="center"/>
            </w:pPr>
            <w:r w:rsidRPr="00F60A9B">
              <w:rPr>
                <w:rFonts w:ascii="Calibri" w:hAnsi="Calibri" w:cs="Calibri"/>
              </w:rPr>
              <w:t>1</w:t>
            </w:r>
          </w:p>
        </w:tc>
      </w:tr>
      <w:tr w:rsidR="00CD55F1" w:rsidRPr="00F60A9B" w14:paraId="4DC368DC" w14:textId="77777777" w:rsidTr="00024DD9">
        <w:trPr>
          <w:jc w:val="center"/>
        </w:trPr>
        <w:tc>
          <w:tcPr>
            <w:tcW w:w="0" w:type="auto"/>
            <w:tcBorders>
              <w:right w:val="single" w:sz="12" w:space="0" w:color="auto"/>
            </w:tcBorders>
          </w:tcPr>
          <w:p w14:paraId="232012C5" w14:textId="77777777" w:rsidR="00CD55F1" w:rsidRPr="005B7BEE" w:rsidRDefault="00CD55F1" w:rsidP="00024DD9">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07CE343" w14:textId="77777777" w:rsidR="00CD55F1" w:rsidRPr="00F60A9B" w:rsidRDefault="00CD55F1" w:rsidP="00024DD9">
            <w:pPr>
              <w:jc w:val="center"/>
            </w:pPr>
            <w:r w:rsidRPr="00F60A9B">
              <w:rPr>
                <w:rFonts w:ascii="Calibri" w:hAnsi="Calibri" w:cs="Calibri"/>
              </w:rPr>
              <w:t>7</w:t>
            </w:r>
          </w:p>
        </w:tc>
        <w:tc>
          <w:tcPr>
            <w:tcW w:w="0" w:type="auto"/>
            <w:tcBorders>
              <w:top w:val="nil"/>
              <w:left w:val="nil"/>
              <w:bottom w:val="single" w:sz="4" w:space="0" w:color="auto"/>
              <w:right w:val="single" w:sz="4" w:space="0" w:color="auto"/>
            </w:tcBorders>
            <w:shd w:val="clear" w:color="auto" w:fill="auto"/>
            <w:vAlign w:val="bottom"/>
          </w:tcPr>
          <w:p w14:paraId="7227570E" w14:textId="77777777" w:rsidR="00CD55F1" w:rsidRPr="00210DD1"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6A43AC7E" w14:textId="77777777" w:rsidR="00CD55F1" w:rsidRPr="00210DD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413D5A14" w14:textId="77777777" w:rsidR="00CD55F1" w:rsidRPr="00210DD1" w:rsidRDefault="00CD55F1" w:rsidP="00024DD9">
            <w:pPr>
              <w:jc w:val="center"/>
            </w:pPr>
            <w:r w:rsidRPr="00F60A9B">
              <w:rPr>
                <w:rFonts w:ascii="Calibri" w:hAnsi="Calibri" w:cs="Calibri"/>
              </w:rPr>
              <w:t>6</w:t>
            </w:r>
          </w:p>
        </w:tc>
        <w:tc>
          <w:tcPr>
            <w:tcW w:w="0" w:type="auto"/>
            <w:tcBorders>
              <w:top w:val="nil"/>
              <w:left w:val="nil"/>
              <w:bottom w:val="single" w:sz="4" w:space="0" w:color="auto"/>
              <w:right w:val="single" w:sz="4" w:space="0" w:color="auto"/>
            </w:tcBorders>
            <w:shd w:val="clear" w:color="auto" w:fill="auto"/>
            <w:vAlign w:val="bottom"/>
          </w:tcPr>
          <w:p w14:paraId="69B59837"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tcPr>
          <w:p w14:paraId="769D65D8" w14:textId="77777777" w:rsidR="00CD55F1" w:rsidRDefault="00CD55F1" w:rsidP="00024DD9">
            <w:pPr>
              <w:jc w:val="center"/>
            </w:pPr>
          </w:p>
        </w:tc>
        <w:tc>
          <w:tcPr>
            <w:tcW w:w="0" w:type="auto"/>
          </w:tcPr>
          <w:p w14:paraId="0F5916F1" w14:textId="77777777" w:rsidR="00CD55F1" w:rsidRDefault="00CD55F1" w:rsidP="00024DD9">
            <w:pPr>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7D1DE9C" w14:textId="77777777" w:rsidR="00CD55F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7955F650" w14:textId="77777777" w:rsidR="00CD55F1" w:rsidRDefault="00CD55F1" w:rsidP="00024DD9">
            <w:pPr>
              <w:jc w:val="center"/>
            </w:pPr>
            <w:r w:rsidRPr="00F60A9B">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71D74DA0" w14:textId="77777777" w:rsidR="00CD55F1" w:rsidRDefault="00CD55F1" w:rsidP="00024DD9">
            <w:pPr>
              <w:jc w:val="center"/>
            </w:pPr>
            <w:r w:rsidRPr="00F60A9B">
              <w:rPr>
                <w:rFonts w:ascii="Calibri" w:hAnsi="Calibri" w:cs="Calibri"/>
              </w:rPr>
              <w:t>4</w:t>
            </w:r>
          </w:p>
        </w:tc>
        <w:tc>
          <w:tcPr>
            <w:tcW w:w="0" w:type="auto"/>
            <w:tcBorders>
              <w:top w:val="nil"/>
              <w:left w:val="nil"/>
              <w:bottom w:val="single" w:sz="4" w:space="0" w:color="auto"/>
              <w:right w:val="single" w:sz="4" w:space="0" w:color="auto"/>
            </w:tcBorders>
            <w:shd w:val="clear" w:color="auto" w:fill="auto"/>
            <w:vAlign w:val="bottom"/>
          </w:tcPr>
          <w:p w14:paraId="6BC9E8FC" w14:textId="77777777" w:rsidR="00CD55F1"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3BFC011C" w14:textId="77777777" w:rsidR="00CD55F1" w:rsidRDefault="00CD55F1" w:rsidP="00024DD9">
            <w:pPr>
              <w:jc w:val="center"/>
            </w:pPr>
            <w:r w:rsidRPr="00F60A9B">
              <w:rPr>
                <w:rFonts w:ascii="Calibri" w:hAnsi="Calibri" w:cs="Calibri"/>
              </w:rPr>
              <w:t>1</w:t>
            </w:r>
          </w:p>
        </w:tc>
      </w:tr>
      <w:tr w:rsidR="00CD55F1" w:rsidRPr="00F60A9B" w14:paraId="507F7377" w14:textId="77777777" w:rsidTr="00024DD9">
        <w:trPr>
          <w:jc w:val="center"/>
        </w:trPr>
        <w:tc>
          <w:tcPr>
            <w:tcW w:w="0" w:type="auto"/>
            <w:tcBorders>
              <w:right w:val="single" w:sz="12" w:space="0" w:color="auto"/>
            </w:tcBorders>
          </w:tcPr>
          <w:p w14:paraId="5C9AAA05" w14:textId="77777777" w:rsidR="00CD55F1" w:rsidRPr="005B7BEE" w:rsidRDefault="00CD55F1" w:rsidP="00024DD9">
            <w:pPr>
              <w:rPr>
                <w:sz w:val="14"/>
                <w:szCs w:val="14"/>
              </w:rPr>
            </w:pPr>
            <w:r w:rsidRPr="005B7BEE">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4796373" w14:textId="77777777" w:rsidR="00CD55F1" w:rsidRPr="00F60A9B" w:rsidRDefault="00CD55F1" w:rsidP="00024DD9">
            <w:pPr>
              <w:jc w:val="center"/>
            </w:pPr>
            <w:r w:rsidRPr="00F60A9B">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2FE90041" w14:textId="77777777" w:rsidR="00CD55F1" w:rsidRPr="00210DD1" w:rsidRDefault="00CD55F1" w:rsidP="00024DD9">
            <w:pPr>
              <w:jc w:val="center"/>
            </w:pPr>
            <w:r w:rsidRPr="00F60A9B">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18BB9069" w14:textId="77777777" w:rsidR="00CD55F1" w:rsidRPr="00210DD1" w:rsidRDefault="00CD55F1" w:rsidP="00024DD9">
            <w:pPr>
              <w:jc w:val="center"/>
            </w:pPr>
            <w:r w:rsidRPr="00F60A9B">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6E9FDAF7" w14:textId="77777777" w:rsidR="00CD55F1" w:rsidRPr="00210DD1" w:rsidRDefault="00CD55F1" w:rsidP="00024DD9">
            <w:pPr>
              <w:jc w:val="center"/>
            </w:pPr>
            <w:r w:rsidRPr="00F60A9B">
              <w:rPr>
                <w:rFonts w:ascii="Calibri" w:hAnsi="Calibri" w:cs="Calibri"/>
              </w:rPr>
              <w:t>3</w:t>
            </w:r>
          </w:p>
        </w:tc>
        <w:tc>
          <w:tcPr>
            <w:tcW w:w="0" w:type="auto"/>
            <w:tcBorders>
              <w:top w:val="nil"/>
              <w:left w:val="nil"/>
              <w:bottom w:val="single" w:sz="4" w:space="0" w:color="auto"/>
              <w:right w:val="single" w:sz="4" w:space="0" w:color="auto"/>
            </w:tcBorders>
            <w:shd w:val="clear" w:color="auto" w:fill="auto"/>
            <w:vAlign w:val="bottom"/>
          </w:tcPr>
          <w:p w14:paraId="05A0393C"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tcPr>
          <w:p w14:paraId="6EC05DE1" w14:textId="77777777" w:rsidR="00CD55F1" w:rsidRDefault="00CD55F1" w:rsidP="00024DD9">
            <w:pPr>
              <w:keepNext/>
              <w:jc w:val="center"/>
            </w:pPr>
          </w:p>
        </w:tc>
        <w:tc>
          <w:tcPr>
            <w:tcW w:w="0" w:type="auto"/>
          </w:tcPr>
          <w:p w14:paraId="64DE6B96" w14:textId="77777777" w:rsidR="00CD55F1" w:rsidRDefault="00CD55F1" w:rsidP="00024DD9">
            <w:pPr>
              <w:keepNext/>
              <w:jc w:val="center"/>
            </w:pPr>
            <w:r w:rsidRPr="005B7BEE">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3D2343B" w14:textId="77777777" w:rsidR="00CD55F1" w:rsidRDefault="00CD55F1" w:rsidP="00024DD9">
            <w:pPr>
              <w:keepNext/>
              <w:jc w:val="center"/>
            </w:pPr>
            <w:r w:rsidRPr="00F60A9B">
              <w:rPr>
                <w:rFonts w:ascii="Calibri" w:hAnsi="Calibri" w:cs="Calibri"/>
              </w:rPr>
              <w:t>5</w:t>
            </w:r>
          </w:p>
        </w:tc>
        <w:tc>
          <w:tcPr>
            <w:tcW w:w="0" w:type="auto"/>
            <w:tcBorders>
              <w:top w:val="nil"/>
              <w:left w:val="nil"/>
              <w:bottom w:val="single" w:sz="4" w:space="0" w:color="auto"/>
              <w:right w:val="single" w:sz="4" w:space="0" w:color="auto"/>
            </w:tcBorders>
            <w:shd w:val="clear" w:color="auto" w:fill="auto"/>
            <w:vAlign w:val="bottom"/>
          </w:tcPr>
          <w:p w14:paraId="722A93FF" w14:textId="77777777" w:rsidR="00CD55F1" w:rsidRDefault="00CD55F1" w:rsidP="00024DD9">
            <w:pPr>
              <w:keepNext/>
              <w:jc w:val="center"/>
            </w:pPr>
            <w:r w:rsidRPr="00F60A9B">
              <w:rPr>
                <w:rFonts w:ascii="Calibri" w:hAnsi="Calibri" w:cs="Calibri"/>
              </w:rPr>
              <w:t>6</w:t>
            </w:r>
          </w:p>
        </w:tc>
        <w:tc>
          <w:tcPr>
            <w:tcW w:w="0" w:type="auto"/>
            <w:tcBorders>
              <w:top w:val="nil"/>
              <w:left w:val="nil"/>
              <w:bottom w:val="single" w:sz="4" w:space="0" w:color="auto"/>
              <w:right w:val="single" w:sz="4" w:space="0" w:color="auto"/>
            </w:tcBorders>
            <w:shd w:val="clear" w:color="auto" w:fill="auto"/>
            <w:vAlign w:val="bottom"/>
          </w:tcPr>
          <w:p w14:paraId="667C924C" w14:textId="77777777" w:rsidR="00CD55F1" w:rsidRDefault="00CD55F1" w:rsidP="00024DD9">
            <w:pPr>
              <w:keepNext/>
              <w:jc w:val="center"/>
            </w:pPr>
            <w:r w:rsidRPr="00F60A9B">
              <w:rPr>
                <w:rFonts w:ascii="Calibri" w:hAnsi="Calibri" w:cs="Calibri"/>
              </w:rPr>
              <w:t>1</w:t>
            </w:r>
          </w:p>
        </w:tc>
        <w:tc>
          <w:tcPr>
            <w:tcW w:w="0" w:type="auto"/>
            <w:tcBorders>
              <w:top w:val="nil"/>
              <w:left w:val="nil"/>
              <w:bottom w:val="single" w:sz="4" w:space="0" w:color="auto"/>
              <w:right w:val="single" w:sz="4" w:space="0" w:color="auto"/>
            </w:tcBorders>
            <w:shd w:val="clear" w:color="auto" w:fill="auto"/>
            <w:vAlign w:val="bottom"/>
          </w:tcPr>
          <w:p w14:paraId="540566C4" w14:textId="77777777" w:rsidR="00CD55F1" w:rsidRDefault="00CD55F1" w:rsidP="00024DD9">
            <w:pPr>
              <w:keepNext/>
              <w:jc w:val="center"/>
            </w:pPr>
            <w:r w:rsidRPr="00F60A9B">
              <w:rPr>
                <w:rFonts w:ascii="Calibri" w:hAnsi="Calibri" w:cs="Calibri"/>
              </w:rPr>
              <w:t>12</w:t>
            </w:r>
          </w:p>
        </w:tc>
        <w:tc>
          <w:tcPr>
            <w:tcW w:w="0" w:type="auto"/>
            <w:tcBorders>
              <w:top w:val="nil"/>
              <w:left w:val="nil"/>
              <w:bottom w:val="single" w:sz="4" w:space="0" w:color="auto"/>
              <w:right w:val="single" w:sz="4" w:space="0" w:color="auto"/>
            </w:tcBorders>
            <w:shd w:val="clear" w:color="auto" w:fill="auto"/>
            <w:vAlign w:val="bottom"/>
          </w:tcPr>
          <w:p w14:paraId="6E446263" w14:textId="77777777" w:rsidR="00CD55F1" w:rsidRDefault="00CD55F1" w:rsidP="00024DD9">
            <w:pPr>
              <w:keepNext/>
              <w:jc w:val="center"/>
            </w:pPr>
            <w:r w:rsidRPr="00F60A9B">
              <w:rPr>
                <w:rFonts w:ascii="Calibri" w:hAnsi="Calibri" w:cs="Calibri"/>
              </w:rPr>
              <w:t>0</w:t>
            </w:r>
          </w:p>
        </w:tc>
      </w:tr>
    </w:tbl>
    <w:p w14:paraId="447D6DAD" w14:textId="65E9E1E8" w:rsidR="00CD55F1" w:rsidRPr="00672550" w:rsidRDefault="00CD55F1" w:rsidP="00CD55F1">
      <w:pPr>
        <w:pStyle w:val="Caption"/>
        <w:keepNext/>
        <w:spacing w:before="120"/>
        <w:jc w:val="center"/>
      </w:pPr>
      <w:bookmarkStart w:id="53" w:name="_Ref147675342"/>
      <w:r>
        <w:t xml:space="preserve">Equation </w:t>
      </w:r>
      <w:r>
        <w:fldChar w:fldCharType="begin"/>
      </w:r>
      <w:r>
        <w:instrText xml:space="preserve"> SEQ Equation \* ARABIC </w:instrText>
      </w:r>
      <w:r>
        <w:fldChar w:fldCharType="separate"/>
      </w:r>
      <w:r w:rsidR="003468AE">
        <w:rPr>
          <w:noProof/>
        </w:rPr>
        <w:t>10</w:t>
      </w:r>
      <w:r>
        <w:rPr>
          <w:noProof/>
        </w:rPr>
        <w:fldChar w:fldCharType="end"/>
      </w:r>
      <w:bookmarkEnd w:id="53"/>
    </w:p>
    <w:p w14:paraId="1AE570B3" w14:textId="72FD0FD7" w:rsidR="00CD55F1" w:rsidRDefault="00CD55F1" w:rsidP="00CD55F1">
      <w:r>
        <w:t xml:space="preserve">This example of counts was designed for illustrating how to use risk algebra and does not represent a true </w:t>
      </w:r>
      <w:r w:rsidR="00EC42E0">
        <w:t>Benefit-Risk</w:t>
      </w:r>
      <w:r>
        <w:t xml:space="preserve"> Analysis.  In contrast, Attachments A and B each contain an example that uses this paper’s method to perform a </w:t>
      </w:r>
      <w:r w:rsidR="00EC42E0">
        <w:t>Benefit-Risk</w:t>
      </w:r>
      <w:r>
        <w:t xml:space="preserve"> Analysis for a medically realistic situation.  </w:t>
      </w:r>
    </w:p>
    <w:p w14:paraId="6F213740" w14:textId="47B22035" w:rsidR="00CD55F1" w:rsidRPr="00672550" w:rsidRDefault="00CD55F1" w:rsidP="00CD55F1">
      <w:r w:rsidRPr="00672550">
        <w:t xml:space="preserve">A cursory review of </w:t>
      </w:r>
      <w:r>
        <w:fldChar w:fldCharType="begin"/>
      </w:r>
      <w:r>
        <w:instrText xml:space="preserve"> REF _Ref147675342 \h </w:instrText>
      </w:r>
      <w:r>
        <w:fldChar w:fldCharType="separate"/>
      </w:r>
      <w:r w:rsidR="001E41EA">
        <w:t xml:space="preserve">Equation </w:t>
      </w:r>
      <w:r w:rsidR="001E41EA">
        <w:rPr>
          <w:noProof/>
        </w:rPr>
        <w:t>10</w:t>
      </w:r>
      <w:r>
        <w:fldChar w:fldCharType="end"/>
      </w:r>
      <w:r>
        <w:t xml:space="preserve"> </w:t>
      </w:r>
      <w:r w:rsidRPr="00672550">
        <w:t xml:space="preserve">shows that the sum of all the numbers on the right-hand side of the equation greater than the sum of the numbers on the left-hand side; i.e., the right-hand side contains more risks than the left-hand side.  Additionally, both tables contain the same number of catastrophic risks.  These observations might lead to the conclusion that the risk after the medical treatment is higher than the risk before; i.e., the medical treatment’s risk exceeds its benefit.  </w:t>
      </w:r>
    </w:p>
    <w:p w14:paraId="6851833D" w14:textId="072DE890" w:rsidR="00CD55F1" w:rsidRPr="00F60A9B" w:rsidRDefault="00CD55F1" w:rsidP="00CD55F1">
      <w:pPr>
        <w:pStyle w:val="ListParagraph"/>
        <w:spacing w:before="160"/>
        <w:ind w:left="0"/>
      </w:pPr>
      <w:r w:rsidRPr="00672550">
        <w:t xml:space="preserve">The next sections of this paper will use ‘Risk Algebra’ to simplify </w:t>
      </w:r>
      <w:r>
        <w:fldChar w:fldCharType="begin"/>
      </w:r>
      <w:r>
        <w:instrText xml:space="preserve"> REF _Ref147675342 \h </w:instrText>
      </w:r>
      <w:r>
        <w:fldChar w:fldCharType="separate"/>
      </w:r>
      <w:r w:rsidR="001E41EA">
        <w:t xml:space="preserve">Equation </w:t>
      </w:r>
      <w:r w:rsidR="001E41EA">
        <w:rPr>
          <w:noProof/>
        </w:rPr>
        <w:t>10</w:t>
      </w:r>
      <w:r>
        <w:fldChar w:fldCharType="end"/>
      </w:r>
      <w:r>
        <w:t>,</w:t>
      </w:r>
      <w:r w:rsidRPr="00672550">
        <w:t xml:space="preserve"> with the goal of simplifying the tables sufficiently that it is intuitively clear whether benefit exceeds risk; i.e., whether the left-had side of </w:t>
      </w:r>
      <w:r>
        <w:fldChar w:fldCharType="begin"/>
      </w:r>
      <w:r>
        <w:instrText xml:space="preserve"> REF _Ref147675342 \h </w:instrText>
      </w:r>
      <w:r>
        <w:fldChar w:fldCharType="separate"/>
      </w:r>
      <w:r w:rsidR="001E41EA">
        <w:t xml:space="preserve">Equation </w:t>
      </w:r>
      <w:r w:rsidR="001E41EA">
        <w:rPr>
          <w:noProof/>
        </w:rPr>
        <w:t>10</w:t>
      </w:r>
      <w:r>
        <w:fldChar w:fldCharType="end"/>
      </w:r>
      <w:r>
        <w:t xml:space="preserve"> </w:t>
      </w:r>
      <w:r w:rsidRPr="00672550">
        <w:t xml:space="preserve">represents more risk than the right-hand side.  Thus, the simplified equation will illustrate the importance of using risk algebra to simplify </w:t>
      </w:r>
      <w:r>
        <w:fldChar w:fldCharType="begin"/>
      </w:r>
      <w:r>
        <w:instrText xml:space="preserve"> REF _Ref147675342 \h </w:instrText>
      </w:r>
      <w:r>
        <w:fldChar w:fldCharType="separate"/>
      </w:r>
      <w:r w:rsidR="001E41EA">
        <w:t xml:space="preserve">Equation </w:t>
      </w:r>
      <w:r w:rsidR="001E41EA">
        <w:rPr>
          <w:noProof/>
        </w:rPr>
        <w:t>10</w:t>
      </w:r>
      <w:r>
        <w:fldChar w:fldCharType="end"/>
      </w:r>
      <w:r w:rsidRPr="00672550">
        <w:t xml:space="preserve"> because the simplified tables will show that the medical treatment’s benefit does exceeds its risk (i.e., show that the tentative conclusion in the previous paragraph is incorrect).</w:t>
      </w:r>
      <w:r w:rsidRPr="00F60A9B">
        <w:t xml:space="preserve">  </w:t>
      </w:r>
    </w:p>
    <w:p w14:paraId="1A24B811" w14:textId="77777777" w:rsidR="00CD55F1" w:rsidRPr="00F60A9B" w:rsidRDefault="00CD55F1" w:rsidP="00AA2310">
      <w:pPr>
        <w:spacing w:after="0" w:line="240" w:lineRule="auto"/>
      </w:pPr>
    </w:p>
    <w:p w14:paraId="0DB63627" w14:textId="5081B1D0" w:rsidR="00CD55F1" w:rsidRPr="00646086" w:rsidRDefault="00CD55F1" w:rsidP="00A600C8">
      <w:pPr>
        <w:pStyle w:val="Heading2"/>
        <w:rPr>
          <w:rFonts w:eastAsia="TimesNewRomanPSMT" w:cs="TimesNewRomanPSMT"/>
          <w:b/>
          <w:color w:val="000000"/>
          <w:u w:val="single"/>
        </w:rPr>
      </w:pPr>
      <w:bookmarkStart w:id="54" w:name="_Ref151218484"/>
      <w:bookmarkStart w:id="55" w:name="_Toc156728649"/>
      <w:r w:rsidRPr="00646086">
        <w:rPr>
          <w:rFonts w:eastAsia="TimesNewRomanPSMT" w:cs="TimesNewRomanPSMT"/>
          <w:b/>
          <w:color w:val="000000"/>
          <w:u w:val="single"/>
        </w:rPr>
        <w:t>Removing Identical Risks</w:t>
      </w:r>
      <w:bookmarkEnd w:id="54"/>
      <w:bookmarkEnd w:id="55"/>
      <w:r w:rsidR="00367C59">
        <w:rPr>
          <w:rFonts w:eastAsia="TimesNewRomanPSMT" w:cs="TimesNewRomanPSMT"/>
          <w:b/>
          <w:color w:val="000000"/>
          <w:u w:val="single"/>
        </w:rPr>
        <w:t xml:space="preserve"> </w:t>
      </w:r>
    </w:p>
    <w:p w14:paraId="22481EB5" w14:textId="5521BDEA" w:rsidR="00CD55F1" w:rsidRPr="00FC7725" w:rsidRDefault="00CD55F1" w:rsidP="00CD55F1">
      <w:pPr>
        <w:pStyle w:val="ListParagraph"/>
        <w:ind w:left="0"/>
        <w:contextualSpacing w:val="0"/>
      </w:pPr>
      <w:r w:rsidRPr="00F60A9B">
        <w:t xml:space="preserve">If </w:t>
      </w:r>
      <w:r>
        <w:t xml:space="preserve">we find recognize that </w:t>
      </w:r>
      <w:r w:rsidRPr="00F60A9B">
        <w:t xml:space="preserve">the same ordered pair,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F60A9B">
        <w:t xml:space="preserve"> </w:t>
      </w:r>
      <w:r>
        <w:t xml:space="preserve">appears </w:t>
      </w:r>
      <w:r w:rsidRPr="00F60A9B">
        <w:t xml:space="preserve">on </w:t>
      </w:r>
      <w:r>
        <w:t xml:space="preserve">both </w:t>
      </w:r>
      <w:r w:rsidRPr="00F60A9B">
        <w:t>side</w:t>
      </w:r>
      <w:r>
        <w:t>s</w:t>
      </w:r>
      <w:r w:rsidRPr="00F60A9B">
        <w:t xml:space="preserve"> of the inequality</w:t>
      </w:r>
      <w:r w:rsidRPr="00F60A9B">
        <w:rPr>
          <w:rFonts w:eastAsiaTheme="minorEastAsia"/>
        </w:rPr>
        <w:t xml:space="preserve"> in</w:t>
      </w:r>
      <w:r>
        <w:rPr>
          <w:rFonts w:eastAsiaTheme="minorEastAsia"/>
        </w:rPr>
        <w:t xml:space="preserve">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rsidRPr="00F60A9B">
        <w:t xml:space="preserve">, then </w:t>
      </w:r>
      <w:r>
        <w:t xml:space="preserve">it makes sense that removing </w:t>
      </w:r>
      <w:r w:rsidRPr="00F60A9B">
        <w:t xml:space="preserve">that </w:t>
      </w:r>
      <w:r>
        <w:t xml:space="preserve">‘same’ </w:t>
      </w:r>
      <w:r w:rsidRPr="00F60A9B">
        <w:t xml:space="preserve">ordered pair </w:t>
      </w:r>
      <w:r>
        <w:t xml:space="preserve">both sides </w:t>
      </w:r>
      <w:r w:rsidRPr="00F60A9B">
        <w:t>of</w:t>
      </w:r>
      <w:r>
        <w:t xml:space="preserve">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does not change which side of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has the greater risk</w:t>
      </w:r>
      <w:r w:rsidRPr="00F60A9B">
        <w:t xml:space="preserve">.  </w:t>
      </w:r>
      <w:r w:rsidRPr="00F60A9B">
        <w:rPr>
          <w:rFonts w:cs="Arial"/>
          <w:iCs/>
        </w:rPr>
        <w:t xml:space="preserve">That is, if </w:t>
      </w:r>
      <m:oMath>
        <m:r>
          <w:rPr>
            <w:rFonts w:ascii="Cambria Math" w:hAnsi="Cambria Math" w:cs="Arial"/>
          </w:rPr>
          <m:t>b</m:t>
        </m:r>
      </m:oMath>
      <w:r w:rsidRPr="00F60A9B">
        <w:rPr>
          <w:rFonts w:eastAsiaTheme="minorEastAsia" w:cs="Arial"/>
          <w:iCs/>
        </w:rPr>
        <w:t xml:space="preserve"> </w:t>
      </w:r>
      <w:r w:rsidRPr="00F60A9B">
        <w:rPr>
          <w:rFonts w:cs="Arial"/>
          <w:iCs/>
        </w:rPr>
        <w:t xml:space="preserve">represents a single ordered pair of probability and severity, then </w:t>
      </w:r>
      <m:oMath>
        <m:d>
          <m:dPr>
            <m:begChr m:val="{"/>
            <m:endChr m:val="}"/>
            <m:ctrlPr>
              <w:rPr>
                <w:rFonts w:ascii="Cambria Math" w:hAnsi="Cambria Math" w:cs="Arial"/>
                <w:i/>
                <w:iCs/>
              </w:rPr>
            </m:ctrlPr>
          </m:dPr>
          <m:e>
            <m:r>
              <w:rPr>
                <w:rFonts w:ascii="Cambria Math" w:hAnsi="Cambria Math" w:cs="Arial"/>
              </w:rPr>
              <m:t>a, 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c,b</m:t>
            </m:r>
          </m:e>
        </m:d>
      </m:oMath>
      <w:r w:rsidRPr="00F60A9B">
        <w:rPr>
          <w:rFonts w:eastAsiaTheme="minorEastAsia" w:cs="Arial"/>
          <w:iCs/>
        </w:rPr>
        <w:t xml:space="preserve"> implies the simpler equation </w:t>
      </w:r>
      <m:oMath>
        <m:d>
          <m:dPr>
            <m:begChr m:val="{"/>
            <m:endChr m:val="}"/>
            <m:ctrlPr>
              <w:rPr>
                <w:rFonts w:ascii="Cambria Math" w:hAnsi="Cambria Math" w:cs="Arial"/>
                <w:i/>
                <w:iCs/>
              </w:rPr>
            </m:ctrlPr>
          </m:dPr>
          <m:e>
            <m:r>
              <w:rPr>
                <w:rFonts w:ascii="Cambria Math" w:hAnsi="Cambria Math" w:cs="Arial"/>
              </w:rPr>
              <m:t>a</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m:t>
            </m:r>
          </m:e>
        </m:d>
      </m:oMath>
      <w:r w:rsidRPr="00F60A9B">
        <w:rPr>
          <w:rFonts w:eastAsiaTheme="minorEastAsia" w:cs="Arial"/>
        </w:rPr>
        <w:t xml:space="preserve">.  </w:t>
      </w:r>
    </w:p>
    <w:p w14:paraId="43CEC37F" w14:textId="13945A26" w:rsidR="00CD55F1" w:rsidRDefault="00CD55F1" w:rsidP="00CD55F1">
      <w:pPr>
        <w:pStyle w:val="ListParagraph"/>
        <w:ind w:left="0"/>
        <w:contextualSpacing w:val="0"/>
        <w:rPr>
          <w:rFonts w:eastAsiaTheme="minorEastAsia" w:cs="Arial"/>
        </w:rPr>
      </w:pPr>
      <w:r>
        <w:rPr>
          <w:rFonts w:eastAsiaTheme="minorEastAsia" w:cs="Arial"/>
        </w:rPr>
        <w:lastRenderedPageBreak/>
        <w:t xml:space="preserve">In order to </w:t>
      </w:r>
      <w:r>
        <w:t xml:space="preserve">recognize that </w:t>
      </w:r>
      <w:r w:rsidRPr="00F60A9B">
        <w:t xml:space="preserve">the same ordered pair,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sidRPr="00F60A9B">
        <w:t xml:space="preserve"> </w:t>
      </w:r>
      <w:r>
        <w:t xml:space="preserve">appears </w:t>
      </w:r>
      <w:r w:rsidRPr="00F60A9B">
        <w:t xml:space="preserve">on </w:t>
      </w:r>
      <w:r>
        <w:t xml:space="preserve">both </w:t>
      </w:r>
      <w:r w:rsidRPr="00F60A9B">
        <w:t>side</w:t>
      </w:r>
      <w:r>
        <w:t>s</w:t>
      </w:r>
      <w:r w:rsidRPr="00F60A9B">
        <w:t xml:space="preserve"> of the inequality</w:t>
      </w:r>
      <w:r w:rsidRPr="00F60A9B">
        <w:rPr>
          <w:rFonts w:eastAsiaTheme="minorEastAsia"/>
        </w:rPr>
        <w:t xml:space="preserve"> in</w:t>
      </w:r>
      <w:r>
        <w:rPr>
          <w:rFonts w:eastAsiaTheme="minorEastAsia"/>
        </w:rPr>
        <w:t xml:space="preserve">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we need to remember that the number that appears in each cell </w:t>
      </w:r>
      <w:r>
        <w:rPr>
          <w:rFonts w:eastAsiaTheme="minorEastAsia"/>
        </w:rPr>
        <w:t xml:space="preserve">of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represents the number of risks that share the probability and severity,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e>
        </m:d>
      </m:oMath>
      <w:r>
        <w:rPr>
          <w:rFonts w:eastAsiaTheme="minorEastAsia"/>
        </w:rPr>
        <w:t>, of that row and column (respectively) of the matrix.  Therefore</w:t>
      </w:r>
      <w:r>
        <w:t xml:space="preserve">, if we look for all of the instances in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where the same cell has a non-zero number on both sides of the equation, then we will identify all of the instances where the same ordered pair appears on both sides of the inequality in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And “removing one (or two or etc.) of these ordered pairs from this cell” means we subtract ‘1’ (or ‘2’, or etc.) from the same cell on both sides of </w:t>
      </w:r>
      <w:r w:rsidR="00367C59">
        <w:fldChar w:fldCharType="begin"/>
      </w:r>
      <w:r w:rsidR="00367C59">
        <w:instrText xml:space="preserve"> REF _Ref147639186 \h </w:instrText>
      </w:r>
      <w:r w:rsidR="00367C59">
        <w:fldChar w:fldCharType="separate"/>
      </w:r>
      <w:r w:rsidR="001E41EA">
        <w:t xml:space="preserve">Equation </w:t>
      </w:r>
      <w:r w:rsidR="001E41EA">
        <w:rPr>
          <w:noProof/>
        </w:rPr>
        <w:t>9</w:t>
      </w:r>
      <w:r w:rsidR="00367C59">
        <w:fldChar w:fldCharType="end"/>
      </w:r>
      <w:r>
        <w:t xml:space="preserve">.  </w:t>
      </w:r>
    </w:p>
    <w:p w14:paraId="6E2EAC63" w14:textId="467040B7" w:rsidR="00CD55F1" w:rsidRDefault="00CD55F1" w:rsidP="00CD55F1">
      <w:r>
        <w:rPr>
          <w:rFonts w:eastAsiaTheme="minorEastAsia" w:cs="Arial"/>
        </w:rPr>
        <w:t>If you look at</w:t>
      </w:r>
      <w:r w:rsidR="00893ED6">
        <w:rPr>
          <w:rFonts w:eastAsiaTheme="minorEastAsia" w:cs="Arial"/>
        </w:rPr>
        <w:t xml:space="preserve"> </w:t>
      </w:r>
      <w:r w:rsidR="00893ED6">
        <w:rPr>
          <w:rFonts w:eastAsiaTheme="minorEastAsia" w:cs="Arial"/>
        </w:rPr>
        <w:fldChar w:fldCharType="begin"/>
      </w:r>
      <w:r w:rsidR="00893ED6">
        <w:rPr>
          <w:rFonts w:eastAsiaTheme="minorEastAsia" w:cs="Arial"/>
        </w:rPr>
        <w:instrText xml:space="preserve"> REF _Ref147675342 \h </w:instrText>
      </w:r>
      <w:r w:rsidR="00893ED6">
        <w:rPr>
          <w:rFonts w:eastAsiaTheme="minorEastAsia" w:cs="Arial"/>
        </w:rPr>
      </w:r>
      <w:r w:rsidR="00893ED6">
        <w:rPr>
          <w:rFonts w:eastAsiaTheme="minorEastAsia" w:cs="Arial"/>
        </w:rPr>
        <w:fldChar w:fldCharType="separate"/>
      </w:r>
      <w:r w:rsidR="001E41EA">
        <w:t xml:space="preserve">Equation </w:t>
      </w:r>
      <w:r w:rsidR="001E41EA">
        <w:rPr>
          <w:noProof/>
        </w:rPr>
        <w:t>10</w:t>
      </w:r>
      <w:r w:rsidR="00893ED6">
        <w:rPr>
          <w:rFonts w:eastAsiaTheme="minorEastAsia" w:cs="Arial"/>
        </w:rPr>
        <w:fldChar w:fldCharType="end"/>
      </w:r>
      <w:r>
        <w:t xml:space="preserve">, you can see that the cell at the junction of ‘Frequent’ and ‘Negligible’ has 4 risks on the left-hand side of </w:t>
      </w:r>
      <w:r w:rsidR="00893ED6">
        <w:rPr>
          <w:rFonts w:eastAsiaTheme="minorEastAsia" w:cs="Arial"/>
        </w:rPr>
        <w:fldChar w:fldCharType="begin"/>
      </w:r>
      <w:r w:rsidR="00893ED6">
        <w:rPr>
          <w:rFonts w:eastAsiaTheme="minorEastAsia" w:cs="Arial"/>
        </w:rPr>
        <w:instrText xml:space="preserve"> REF _Ref147675342 \h </w:instrText>
      </w:r>
      <w:r w:rsidR="00893ED6">
        <w:rPr>
          <w:rFonts w:eastAsiaTheme="minorEastAsia" w:cs="Arial"/>
        </w:rPr>
      </w:r>
      <w:r w:rsidR="00893ED6">
        <w:rPr>
          <w:rFonts w:eastAsiaTheme="minorEastAsia" w:cs="Arial"/>
        </w:rPr>
        <w:fldChar w:fldCharType="separate"/>
      </w:r>
      <w:r w:rsidR="001E41EA">
        <w:t xml:space="preserve">Equation </w:t>
      </w:r>
      <w:r w:rsidR="001E41EA">
        <w:rPr>
          <w:noProof/>
        </w:rPr>
        <w:t>10</w:t>
      </w:r>
      <w:r w:rsidR="00893ED6">
        <w:rPr>
          <w:rFonts w:eastAsiaTheme="minorEastAsia" w:cs="Arial"/>
        </w:rPr>
        <w:fldChar w:fldCharType="end"/>
      </w:r>
      <w:r>
        <w:t xml:space="preserve"> and 2 risks on the right-hand side.  By applying </w:t>
      </w:r>
      <w:bookmarkStart w:id="56" w:name="_Hlk146708704"/>
      <w:r>
        <w:t xml:space="preserve">“Removing Identical Risks” </w:t>
      </w:r>
      <w:bookmarkEnd w:id="56"/>
      <w:r>
        <w:t xml:space="preserve">to both sides of </w:t>
      </w:r>
      <w:r w:rsidR="00893ED6">
        <w:rPr>
          <w:rFonts w:eastAsiaTheme="minorEastAsia" w:cs="Arial"/>
        </w:rPr>
        <w:fldChar w:fldCharType="begin"/>
      </w:r>
      <w:r w:rsidR="00893ED6">
        <w:rPr>
          <w:rFonts w:eastAsiaTheme="minorEastAsia" w:cs="Arial"/>
        </w:rPr>
        <w:instrText xml:space="preserve"> REF _Ref147675342 \h </w:instrText>
      </w:r>
      <w:r w:rsidR="00893ED6">
        <w:rPr>
          <w:rFonts w:eastAsiaTheme="minorEastAsia" w:cs="Arial"/>
        </w:rPr>
      </w:r>
      <w:r w:rsidR="00893ED6">
        <w:rPr>
          <w:rFonts w:eastAsiaTheme="minorEastAsia" w:cs="Arial"/>
        </w:rPr>
        <w:fldChar w:fldCharType="separate"/>
      </w:r>
      <w:r w:rsidR="001E41EA">
        <w:t xml:space="preserve">Equation </w:t>
      </w:r>
      <w:r w:rsidR="001E41EA">
        <w:rPr>
          <w:noProof/>
        </w:rPr>
        <w:t>10</w:t>
      </w:r>
      <w:r w:rsidR="00893ED6">
        <w:rPr>
          <w:rFonts w:eastAsiaTheme="minorEastAsia" w:cs="Arial"/>
        </w:rPr>
        <w:fldChar w:fldCharType="end"/>
      </w:r>
      <w:r>
        <w:t xml:space="preserve">, we can remove two Frequent/Negligible risks from each side of </w:t>
      </w:r>
      <w:r>
        <w:fldChar w:fldCharType="begin"/>
      </w:r>
      <w:r>
        <w:instrText xml:space="preserve"> REF _Ref147675342 \h </w:instrText>
      </w:r>
      <w:r>
        <w:fldChar w:fldCharType="separate"/>
      </w:r>
      <w:r w:rsidR="001E41EA">
        <w:t xml:space="preserve">Equation </w:t>
      </w:r>
      <w:r w:rsidR="001E41EA">
        <w:rPr>
          <w:noProof/>
        </w:rPr>
        <w:t>10</w:t>
      </w:r>
      <w:r>
        <w:fldChar w:fldCharType="end"/>
      </w:r>
      <w:r>
        <w:t xml:space="preserve"> without changing whether the equation is true.  Therefore, we will remove two Frequent/Negligible risks from both sides of </w:t>
      </w:r>
      <w:r w:rsidR="00893ED6">
        <w:rPr>
          <w:rFonts w:eastAsiaTheme="minorEastAsia" w:cs="Arial"/>
        </w:rPr>
        <w:fldChar w:fldCharType="begin"/>
      </w:r>
      <w:r w:rsidR="00893ED6">
        <w:rPr>
          <w:rFonts w:eastAsiaTheme="minorEastAsia" w:cs="Arial"/>
        </w:rPr>
        <w:instrText xml:space="preserve"> REF _Ref147675342 \h </w:instrText>
      </w:r>
      <w:r w:rsidR="00893ED6">
        <w:rPr>
          <w:rFonts w:eastAsiaTheme="minorEastAsia" w:cs="Arial"/>
        </w:rPr>
      </w:r>
      <w:r w:rsidR="00893ED6">
        <w:rPr>
          <w:rFonts w:eastAsiaTheme="minorEastAsia" w:cs="Arial"/>
        </w:rPr>
        <w:fldChar w:fldCharType="separate"/>
      </w:r>
      <w:r w:rsidR="001E41EA">
        <w:t xml:space="preserve">Equation </w:t>
      </w:r>
      <w:r w:rsidR="001E41EA">
        <w:rPr>
          <w:noProof/>
        </w:rPr>
        <w:t>10</w:t>
      </w:r>
      <w:r w:rsidR="00893ED6">
        <w:rPr>
          <w:rFonts w:eastAsiaTheme="minorEastAsia" w:cs="Arial"/>
        </w:rPr>
        <w:fldChar w:fldCharType="end"/>
      </w:r>
      <w:r>
        <w:t xml:space="preserve"> by subtracting 2 from the Frequent/Negligible cell on each side of </w:t>
      </w:r>
      <w:r w:rsidR="00893ED6">
        <w:rPr>
          <w:rFonts w:eastAsiaTheme="minorEastAsia" w:cs="Arial"/>
        </w:rPr>
        <w:fldChar w:fldCharType="begin"/>
      </w:r>
      <w:r w:rsidR="00893ED6">
        <w:rPr>
          <w:rFonts w:eastAsiaTheme="minorEastAsia" w:cs="Arial"/>
        </w:rPr>
        <w:instrText xml:space="preserve"> REF _Ref147675342 \h </w:instrText>
      </w:r>
      <w:r w:rsidR="00893ED6">
        <w:rPr>
          <w:rFonts w:eastAsiaTheme="minorEastAsia" w:cs="Arial"/>
        </w:rPr>
      </w:r>
      <w:r w:rsidR="00893ED6">
        <w:rPr>
          <w:rFonts w:eastAsiaTheme="minorEastAsia" w:cs="Arial"/>
        </w:rPr>
        <w:fldChar w:fldCharType="separate"/>
      </w:r>
      <w:r w:rsidR="001E41EA">
        <w:t xml:space="preserve">Equation </w:t>
      </w:r>
      <w:r w:rsidR="001E41EA">
        <w:rPr>
          <w:noProof/>
        </w:rPr>
        <w:t>10</w:t>
      </w:r>
      <w:r w:rsidR="00893ED6">
        <w:rPr>
          <w:rFonts w:eastAsiaTheme="minorEastAsia" w:cs="Arial"/>
        </w:rPr>
        <w:fldChar w:fldCharType="end"/>
      </w:r>
      <w:r>
        <w:t xml:space="preserve">, as is shown in </w:t>
      </w:r>
      <w:r>
        <w:fldChar w:fldCharType="begin"/>
      </w:r>
      <w:r>
        <w:instrText xml:space="preserve"> REF _Ref146708531 \h </w:instrText>
      </w:r>
      <w:r>
        <w:fldChar w:fldCharType="separate"/>
      </w:r>
      <w:r w:rsidR="001E41EA">
        <w:t xml:space="preserve">Equation </w:t>
      </w:r>
      <w:r w:rsidR="001E41EA">
        <w:rPr>
          <w:noProof/>
        </w:rPr>
        <w:t>11</w:t>
      </w:r>
      <w:r>
        <w:fldChar w:fldCharType="end"/>
      </w:r>
      <w:r w:rsidRPr="00F60A9B">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CD55F1" w:rsidRPr="00F60A9B" w14:paraId="6A26FD92" w14:textId="77777777" w:rsidTr="00024DD9">
        <w:trPr>
          <w:tblHeader/>
          <w:jc w:val="center"/>
        </w:trPr>
        <w:tc>
          <w:tcPr>
            <w:tcW w:w="0" w:type="auto"/>
            <w:tcBorders>
              <w:top w:val="nil"/>
              <w:left w:val="nil"/>
              <w:bottom w:val="single" w:sz="4" w:space="0" w:color="auto"/>
            </w:tcBorders>
            <w:vAlign w:val="center"/>
          </w:tcPr>
          <w:p w14:paraId="0F983639"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5D64DDAE"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199462A"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0256696" w14:textId="77777777" w:rsidR="00CD55F1" w:rsidRPr="005B7BEE" w:rsidRDefault="00CD55F1" w:rsidP="00024DD9">
            <w:pPr>
              <w:jc w:val="center"/>
              <w:rPr>
                <w:sz w:val="14"/>
                <w:szCs w:val="14"/>
              </w:rPr>
            </w:pPr>
            <w:r w:rsidRPr="005B7BEE">
              <w:rPr>
                <w:sz w:val="14"/>
                <w:szCs w:val="14"/>
              </w:rPr>
              <w:t xml:space="preserve">Serious </w:t>
            </w:r>
            <w:r>
              <w:rPr>
                <w:sz w:val="14"/>
                <w:szCs w:val="14"/>
              </w:rPr>
              <w:t xml:space="preserve"> </w:t>
            </w:r>
            <w:r w:rsidRPr="005B7BEE">
              <w:rPr>
                <w:sz w:val="14"/>
                <w:szCs w:val="14"/>
              </w:rPr>
              <w:t>/</w:t>
            </w:r>
            <w:r>
              <w:rPr>
                <w:sz w:val="14"/>
                <w:szCs w:val="14"/>
              </w:rPr>
              <w:t>Major</w:t>
            </w:r>
          </w:p>
        </w:tc>
        <w:tc>
          <w:tcPr>
            <w:tcW w:w="0" w:type="auto"/>
            <w:tcBorders>
              <w:top w:val="single" w:sz="4" w:space="0" w:color="auto"/>
              <w:bottom w:val="single" w:sz="12" w:space="0" w:color="auto"/>
            </w:tcBorders>
            <w:vAlign w:val="center"/>
          </w:tcPr>
          <w:p w14:paraId="65DD8493"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E33D8FC" w14:textId="77777777" w:rsidR="00CD55F1" w:rsidRPr="005B7BEE" w:rsidRDefault="00CD55F1" w:rsidP="00024DD9">
            <w:pPr>
              <w:jc w:val="center"/>
              <w:rPr>
                <w:sz w:val="14"/>
                <w:szCs w:val="14"/>
              </w:rPr>
            </w:pPr>
            <w:r w:rsidRPr="005B7BEE">
              <w:rPr>
                <w:sz w:val="14"/>
                <w:szCs w:val="14"/>
              </w:rPr>
              <w:t xml:space="preserve">Catastrophic </w:t>
            </w:r>
          </w:p>
          <w:p w14:paraId="261836BB"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vAlign w:val="center"/>
          </w:tcPr>
          <w:p w14:paraId="09F86F17"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1ACA7FF4"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59B68C3"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60EF8BA"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768C306"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90E93A5"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F43124E" w14:textId="77777777" w:rsidR="00CD55F1" w:rsidRPr="005B7BEE" w:rsidRDefault="00CD55F1" w:rsidP="00024DD9">
            <w:pPr>
              <w:jc w:val="center"/>
              <w:rPr>
                <w:sz w:val="14"/>
                <w:szCs w:val="14"/>
              </w:rPr>
            </w:pPr>
            <w:r w:rsidRPr="005B7BEE">
              <w:rPr>
                <w:sz w:val="14"/>
                <w:szCs w:val="14"/>
              </w:rPr>
              <w:t xml:space="preserve">Catastrophic </w:t>
            </w:r>
          </w:p>
          <w:p w14:paraId="7B2233B7"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2E473D64" w14:textId="77777777" w:rsidTr="00024DD9">
        <w:trPr>
          <w:jc w:val="center"/>
        </w:trPr>
        <w:tc>
          <w:tcPr>
            <w:tcW w:w="0" w:type="auto"/>
            <w:tcBorders>
              <w:top w:val="single" w:sz="4" w:space="0" w:color="auto"/>
              <w:right w:val="single" w:sz="12" w:space="0" w:color="auto"/>
            </w:tcBorders>
            <w:vAlign w:val="center"/>
          </w:tcPr>
          <w:p w14:paraId="74DAC13F"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07348DB8" w14:textId="77777777" w:rsidR="00CD55F1" w:rsidRPr="00F60A9B" w:rsidRDefault="00CD55F1" w:rsidP="00024DD9">
            <w:pPr>
              <w:jc w:val="center"/>
            </w:pPr>
            <w:r>
              <w:t>0</w:t>
            </w:r>
          </w:p>
        </w:tc>
        <w:tc>
          <w:tcPr>
            <w:tcW w:w="0" w:type="auto"/>
            <w:tcBorders>
              <w:top w:val="single" w:sz="12" w:space="0" w:color="auto"/>
            </w:tcBorders>
            <w:vAlign w:val="center"/>
          </w:tcPr>
          <w:p w14:paraId="062D7AD4" w14:textId="77777777" w:rsidR="00CD55F1" w:rsidRPr="00210DD1" w:rsidRDefault="00CD55F1" w:rsidP="00024DD9">
            <w:pPr>
              <w:jc w:val="center"/>
            </w:pPr>
            <w:r>
              <w:t>0</w:t>
            </w:r>
          </w:p>
        </w:tc>
        <w:tc>
          <w:tcPr>
            <w:tcW w:w="0" w:type="auto"/>
            <w:tcBorders>
              <w:top w:val="single" w:sz="12" w:space="0" w:color="auto"/>
            </w:tcBorders>
            <w:vAlign w:val="center"/>
          </w:tcPr>
          <w:p w14:paraId="19CDC639" w14:textId="77777777" w:rsidR="00CD55F1" w:rsidRPr="00210DD1" w:rsidRDefault="00CD55F1" w:rsidP="00024DD9">
            <w:pPr>
              <w:jc w:val="center"/>
            </w:pPr>
            <w:r>
              <w:t>0</w:t>
            </w:r>
          </w:p>
        </w:tc>
        <w:tc>
          <w:tcPr>
            <w:tcW w:w="0" w:type="auto"/>
            <w:tcBorders>
              <w:top w:val="single" w:sz="12" w:space="0" w:color="auto"/>
            </w:tcBorders>
            <w:vAlign w:val="center"/>
          </w:tcPr>
          <w:p w14:paraId="063A3CD2" w14:textId="77777777" w:rsidR="00CD55F1" w:rsidRPr="00210DD1" w:rsidRDefault="00CD55F1" w:rsidP="00024DD9">
            <w:pPr>
              <w:jc w:val="center"/>
            </w:pPr>
            <w:r>
              <w:t>0</w:t>
            </w:r>
          </w:p>
        </w:tc>
        <w:tc>
          <w:tcPr>
            <w:tcW w:w="0" w:type="auto"/>
            <w:tcBorders>
              <w:top w:val="single" w:sz="12" w:space="0" w:color="auto"/>
            </w:tcBorders>
            <w:vAlign w:val="center"/>
          </w:tcPr>
          <w:p w14:paraId="033BFC0A" w14:textId="77777777" w:rsidR="00CD55F1" w:rsidRPr="00F60A9B" w:rsidRDefault="00CD55F1" w:rsidP="00024DD9">
            <w:pPr>
              <w:jc w:val="center"/>
            </w:pPr>
            <w:r>
              <w:t>0</w:t>
            </w:r>
          </w:p>
        </w:tc>
        <w:tc>
          <w:tcPr>
            <w:tcW w:w="0" w:type="auto"/>
            <w:tcBorders>
              <w:top w:val="nil"/>
              <w:left w:val="nil"/>
              <w:bottom w:val="nil"/>
              <w:right w:val="nil"/>
            </w:tcBorders>
            <w:vAlign w:val="center"/>
          </w:tcPr>
          <w:p w14:paraId="2F40C481" w14:textId="77777777" w:rsidR="00CD55F1" w:rsidRDefault="00CD55F1" w:rsidP="00024DD9">
            <w:pPr>
              <w:jc w:val="center"/>
            </w:pPr>
          </w:p>
        </w:tc>
        <w:tc>
          <w:tcPr>
            <w:tcW w:w="0" w:type="auto"/>
            <w:tcBorders>
              <w:top w:val="single" w:sz="12" w:space="0" w:color="auto"/>
            </w:tcBorders>
            <w:vAlign w:val="center"/>
          </w:tcPr>
          <w:p w14:paraId="62BF5D88"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627424FD" w14:textId="77777777" w:rsidR="00CD55F1" w:rsidRDefault="00CD55F1" w:rsidP="00024DD9">
            <w:pPr>
              <w:jc w:val="center"/>
            </w:pPr>
            <w:r>
              <w:t>0</w:t>
            </w:r>
          </w:p>
        </w:tc>
        <w:tc>
          <w:tcPr>
            <w:tcW w:w="0" w:type="auto"/>
            <w:tcBorders>
              <w:top w:val="single" w:sz="12" w:space="0" w:color="auto"/>
            </w:tcBorders>
            <w:vAlign w:val="center"/>
          </w:tcPr>
          <w:p w14:paraId="1CBBDE0C" w14:textId="77777777" w:rsidR="00CD55F1" w:rsidRDefault="00CD55F1" w:rsidP="00024DD9">
            <w:pPr>
              <w:jc w:val="center"/>
            </w:pPr>
            <w:r>
              <w:t>0</w:t>
            </w:r>
          </w:p>
        </w:tc>
        <w:tc>
          <w:tcPr>
            <w:tcW w:w="0" w:type="auto"/>
            <w:tcBorders>
              <w:top w:val="single" w:sz="12" w:space="0" w:color="auto"/>
            </w:tcBorders>
            <w:vAlign w:val="center"/>
          </w:tcPr>
          <w:p w14:paraId="6E42278E" w14:textId="77777777" w:rsidR="00CD55F1" w:rsidRDefault="00CD55F1" w:rsidP="00024DD9">
            <w:pPr>
              <w:jc w:val="center"/>
            </w:pPr>
            <w:r>
              <w:t>0</w:t>
            </w:r>
          </w:p>
        </w:tc>
        <w:tc>
          <w:tcPr>
            <w:tcW w:w="0" w:type="auto"/>
            <w:tcBorders>
              <w:top w:val="single" w:sz="12" w:space="0" w:color="auto"/>
            </w:tcBorders>
            <w:vAlign w:val="center"/>
          </w:tcPr>
          <w:p w14:paraId="7AF47170" w14:textId="77777777" w:rsidR="00CD55F1" w:rsidRDefault="00CD55F1" w:rsidP="00024DD9">
            <w:pPr>
              <w:jc w:val="center"/>
            </w:pPr>
            <w:r>
              <w:t>0</w:t>
            </w:r>
          </w:p>
        </w:tc>
        <w:tc>
          <w:tcPr>
            <w:tcW w:w="0" w:type="auto"/>
            <w:tcBorders>
              <w:top w:val="single" w:sz="12" w:space="0" w:color="auto"/>
            </w:tcBorders>
            <w:vAlign w:val="center"/>
          </w:tcPr>
          <w:p w14:paraId="0EB0C376" w14:textId="77777777" w:rsidR="00CD55F1" w:rsidRDefault="00CD55F1" w:rsidP="00024DD9">
            <w:pPr>
              <w:jc w:val="center"/>
            </w:pPr>
            <w:r>
              <w:t>0</w:t>
            </w:r>
          </w:p>
        </w:tc>
      </w:tr>
      <w:tr w:rsidR="00CD55F1" w:rsidRPr="00F60A9B" w14:paraId="3E28522D" w14:textId="77777777" w:rsidTr="00024DD9">
        <w:trPr>
          <w:jc w:val="center"/>
        </w:trPr>
        <w:tc>
          <w:tcPr>
            <w:tcW w:w="0" w:type="auto"/>
            <w:tcBorders>
              <w:right w:val="single" w:sz="12" w:space="0" w:color="auto"/>
            </w:tcBorders>
            <w:vAlign w:val="center"/>
          </w:tcPr>
          <w:p w14:paraId="7E0AEFA7"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0498E111" w14:textId="77777777" w:rsidR="00CD55F1" w:rsidRDefault="00CD55F1" w:rsidP="00024DD9">
            <w:pPr>
              <w:jc w:val="center"/>
            </w:pPr>
            <w:r>
              <w:t>0</w:t>
            </w:r>
          </w:p>
        </w:tc>
        <w:tc>
          <w:tcPr>
            <w:tcW w:w="0" w:type="auto"/>
            <w:vAlign w:val="center"/>
          </w:tcPr>
          <w:p w14:paraId="77FF0557" w14:textId="77777777" w:rsidR="00CD55F1" w:rsidRPr="00210DD1" w:rsidRDefault="00CD55F1" w:rsidP="00024DD9">
            <w:pPr>
              <w:jc w:val="center"/>
            </w:pPr>
            <w:r>
              <w:t>0</w:t>
            </w:r>
          </w:p>
        </w:tc>
        <w:tc>
          <w:tcPr>
            <w:tcW w:w="0" w:type="auto"/>
            <w:vAlign w:val="center"/>
          </w:tcPr>
          <w:p w14:paraId="0D7CD557" w14:textId="77777777" w:rsidR="00CD55F1" w:rsidRPr="00210DD1" w:rsidRDefault="00CD55F1" w:rsidP="00024DD9">
            <w:pPr>
              <w:jc w:val="center"/>
            </w:pPr>
            <w:r>
              <w:t>0</w:t>
            </w:r>
          </w:p>
        </w:tc>
        <w:tc>
          <w:tcPr>
            <w:tcW w:w="0" w:type="auto"/>
            <w:vAlign w:val="center"/>
          </w:tcPr>
          <w:p w14:paraId="09113277" w14:textId="77777777" w:rsidR="00CD55F1" w:rsidRPr="00210DD1" w:rsidRDefault="00CD55F1" w:rsidP="00024DD9">
            <w:pPr>
              <w:jc w:val="center"/>
            </w:pPr>
            <w:r>
              <w:t>0</w:t>
            </w:r>
          </w:p>
        </w:tc>
        <w:tc>
          <w:tcPr>
            <w:tcW w:w="0" w:type="auto"/>
            <w:vAlign w:val="center"/>
          </w:tcPr>
          <w:p w14:paraId="73C9BA1F" w14:textId="77777777" w:rsidR="00CD55F1" w:rsidRDefault="00CD55F1" w:rsidP="00024DD9">
            <w:pPr>
              <w:jc w:val="center"/>
            </w:pPr>
            <w:r>
              <w:t>0</w:t>
            </w:r>
          </w:p>
        </w:tc>
        <w:tc>
          <w:tcPr>
            <w:tcW w:w="0" w:type="auto"/>
            <w:tcBorders>
              <w:top w:val="nil"/>
              <w:left w:val="nil"/>
              <w:bottom w:val="nil"/>
              <w:right w:val="nil"/>
            </w:tcBorders>
            <w:vAlign w:val="center"/>
          </w:tcPr>
          <w:p w14:paraId="1CF62EA0" w14:textId="77777777" w:rsidR="00CD55F1" w:rsidRDefault="00CD55F1" w:rsidP="00024DD9">
            <w:pPr>
              <w:jc w:val="center"/>
            </w:pPr>
          </w:p>
        </w:tc>
        <w:tc>
          <w:tcPr>
            <w:tcW w:w="0" w:type="auto"/>
            <w:vAlign w:val="center"/>
          </w:tcPr>
          <w:p w14:paraId="2B67713D" w14:textId="77777777" w:rsidR="00CD55F1" w:rsidRPr="005B7BEE" w:rsidRDefault="00CD55F1" w:rsidP="00024DD9">
            <w:pPr>
              <w:jc w:val="center"/>
              <w:rPr>
                <w:sz w:val="14"/>
                <w:szCs w:val="14"/>
              </w:rPr>
            </w:pPr>
            <w:r>
              <w:rPr>
                <w:sz w:val="14"/>
                <w:szCs w:val="14"/>
              </w:rPr>
              <w:t>Often</w:t>
            </w:r>
          </w:p>
        </w:tc>
        <w:tc>
          <w:tcPr>
            <w:tcW w:w="0" w:type="auto"/>
            <w:vAlign w:val="center"/>
          </w:tcPr>
          <w:p w14:paraId="3A700515" w14:textId="77777777" w:rsidR="00CD55F1" w:rsidRDefault="00CD55F1" w:rsidP="00024DD9">
            <w:pPr>
              <w:jc w:val="center"/>
            </w:pPr>
            <w:r>
              <w:t>0</w:t>
            </w:r>
          </w:p>
        </w:tc>
        <w:tc>
          <w:tcPr>
            <w:tcW w:w="0" w:type="auto"/>
            <w:vAlign w:val="center"/>
          </w:tcPr>
          <w:p w14:paraId="767FBAE3" w14:textId="77777777" w:rsidR="00CD55F1" w:rsidRPr="00210DD1" w:rsidRDefault="00CD55F1" w:rsidP="00024DD9">
            <w:pPr>
              <w:jc w:val="center"/>
            </w:pPr>
            <w:r>
              <w:t>0</w:t>
            </w:r>
          </w:p>
        </w:tc>
        <w:tc>
          <w:tcPr>
            <w:tcW w:w="0" w:type="auto"/>
            <w:vAlign w:val="center"/>
          </w:tcPr>
          <w:p w14:paraId="1D318284" w14:textId="77777777" w:rsidR="00CD55F1" w:rsidRPr="00210DD1" w:rsidRDefault="00CD55F1" w:rsidP="00024DD9">
            <w:pPr>
              <w:jc w:val="center"/>
            </w:pPr>
            <w:r>
              <w:t>0</w:t>
            </w:r>
          </w:p>
        </w:tc>
        <w:tc>
          <w:tcPr>
            <w:tcW w:w="0" w:type="auto"/>
            <w:vAlign w:val="center"/>
          </w:tcPr>
          <w:p w14:paraId="0F68B2BC" w14:textId="77777777" w:rsidR="00CD55F1" w:rsidRPr="00210DD1" w:rsidRDefault="00CD55F1" w:rsidP="00024DD9">
            <w:pPr>
              <w:jc w:val="center"/>
            </w:pPr>
            <w:r>
              <w:t>0</w:t>
            </w:r>
          </w:p>
        </w:tc>
        <w:tc>
          <w:tcPr>
            <w:tcW w:w="0" w:type="auto"/>
            <w:vAlign w:val="center"/>
          </w:tcPr>
          <w:p w14:paraId="3E9D934A" w14:textId="77777777" w:rsidR="00CD55F1" w:rsidRDefault="00CD55F1" w:rsidP="00024DD9">
            <w:pPr>
              <w:jc w:val="center"/>
            </w:pPr>
            <w:r>
              <w:t>0</w:t>
            </w:r>
          </w:p>
        </w:tc>
      </w:tr>
      <w:tr w:rsidR="00CD55F1" w:rsidRPr="00F60A9B" w14:paraId="13ACA95E" w14:textId="77777777" w:rsidTr="00024DD9">
        <w:trPr>
          <w:jc w:val="center"/>
        </w:trPr>
        <w:tc>
          <w:tcPr>
            <w:tcW w:w="0" w:type="auto"/>
            <w:tcBorders>
              <w:right w:val="single" w:sz="12" w:space="0" w:color="auto"/>
            </w:tcBorders>
            <w:vAlign w:val="center"/>
          </w:tcPr>
          <w:p w14:paraId="2BE56F73"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shd w:val="clear" w:color="auto" w:fill="D9E2F3" w:themeFill="accent1" w:themeFillTint="33"/>
            <w:vAlign w:val="center"/>
          </w:tcPr>
          <w:p w14:paraId="1BF16639" w14:textId="77777777" w:rsidR="00CD55F1" w:rsidRDefault="00CD55F1" w:rsidP="00024DD9">
            <w:pPr>
              <w:jc w:val="center"/>
            </w:pPr>
            <w:r w:rsidRPr="00F60A9B">
              <w:rPr>
                <w:rFonts w:ascii="Calibri" w:hAnsi="Calibri" w:cs="Calibri"/>
              </w:rPr>
              <w:t>4</w:t>
            </w:r>
            <w:r>
              <w:rPr>
                <w:rFonts w:ascii="Calibri" w:hAnsi="Calibri" w:cs="Calibri"/>
              </w:rPr>
              <w:t>-2 = 2</w:t>
            </w:r>
          </w:p>
        </w:tc>
        <w:tc>
          <w:tcPr>
            <w:tcW w:w="0" w:type="auto"/>
            <w:vAlign w:val="center"/>
          </w:tcPr>
          <w:p w14:paraId="16EB4B36" w14:textId="77777777" w:rsidR="00CD55F1" w:rsidRPr="00210DD1" w:rsidRDefault="00CD55F1" w:rsidP="00024DD9">
            <w:pPr>
              <w:jc w:val="center"/>
            </w:pPr>
            <w:r w:rsidRPr="00F60A9B">
              <w:rPr>
                <w:rFonts w:ascii="Calibri" w:hAnsi="Calibri" w:cs="Calibri"/>
              </w:rPr>
              <w:t>1</w:t>
            </w:r>
          </w:p>
        </w:tc>
        <w:tc>
          <w:tcPr>
            <w:tcW w:w="0" w:type="auto"/>
            <w:vAlign w:val="center"/>
          </w:tcPr>
          <w:p w14:paraId="5BB11A6D" w14:textId="77777777" w:rsidR="00CD55F1" w:rsidRPr="00210DD1" w:rsidRDefault="00CD55F1" w:rsidP="00024DD9">
            <w:pPr>
              <w:jc w:val="center"/>
            </w:pPr>
            <w:r w:rsidRPr="00F60A9B">
              <w:rPr>
                <w:rFonts w:ascii="Calibri" w:hAnsi="Calibri" w:cs="Calibri"/>
              </w:rPr>
              <w:t>3</w:t>
            </w:r>
          </w:p>
        </w:tc>
        <w:tc>
          <w:tcPr>
            <w:tcW w:w="0" w:type="auto"/>
            <w:vAlign w:val="center"/>
          </w:tcPr>
          <w:p w14:paraId="344FB033" w14:textId="77777777" w:rsidR="00CD55F1" w:rsidRPr="00210DD1" w:rsidRDefault="00CD55F1" w:rsidP="00024DD9">
            <w:pPr>
              <w:jc w:val="center"/>
            </w:pPr>
            <w:r w:rsidRPr="00F60A9B">
              <w:rPr>
                <w:rFonts w:ascii="Calibri" w:hAnsi="Calibri" w:cs="Calibri"/>
              </w:rPr>
              <w:t>0</w:t>
            </w:r>
          </w:p>
        </w:tc>
        <w:tc>
          <w:tcPr>
            <w:tcW w:w="0" w:type="auto"/>
            <w:vAlign w:val="center"/>
          </w:tcPr>
          <w:p w14:paraId="70275DE1"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31497A46" w14:textId="77777777" w:rsidR="00CD55F1" w:rsidRDefault="00CD55F1" w:rsidP="00024DD9">
            <w:pPr>
              <w:jc w:val="center"/>
            </w:pPr>
          </w:p>
        </w:tc>
        <w:tc>
          <w:tcPr>
            <w:tcW w:w="0" w:type="auto"/>
            <w:vAlign w:val="center"/>
          </w:tcPr>
          <w:p w14:paraId="6AE49AE1" w14:textId="77777777" w:rsidR="00CD55F1" w:rsidRPr="005B7BEE" w:rsidRDefault="00CD55F1" w:rsidP="00024DD9">
            <w:pPr>
              <w:jc w:val="center"/>
              <w:rPr>
                <w:sz w:val="14"/>
                <w:szCs w:val="14"/>
              </w:rPr>
            </w:pPr>
            <w:r w:rsidRPr="005B7BEE">
              <w:rPr>
                <w:sz w:val="14"/>
                <w:szCs w:val="14"/>
              </w:rPr>
              <w:t>Frequent</w:t>
            </w:r>
          </w:p>
        </w:tc>
        <w:tc>
          <w:tcPr>
            <w:tcW w:w="0" w:type="auto"/>
            <w:shd w:val="clear" w:color="auto" w:fill="D9E2F3" w:themeFill="accent1" w:themeFillTint="33"/>
            <w:vAlign w:val="center"/>
          </w:tcPr>
          <w:p w14:paraId="5F16A691" w14:textId="77777777" w:rsidR="00CD55F1" w:rsidRDefault="00CD55F1" w:rsidP="00024DD9">
            <w:pPr>
              <w:jc w:val="center"/>
            </w:pPr>
            <w:r w:rsidRPr="00F60A9B">
              <w:rPr>
                <w:rFonts w:ascii="Calibri" w:hAnsi="Calibri" w:cs="Calibri"/>
              </w:rPr>
              <w:t>2</w:t>
            </w:r>
            <w:r>
              <w:rPr>
                <w:rFonts w:ascii="Calibri" w:hAnsi="Calibri" w:cs="Calibri"/>
              </w:rPr>
              <w:t>-2 = 0</w:t>
            </w:r>
          </w:p>
        </w:tc>
        <w:tc>
          <w:tcPr>
            <w:tcW w:w="0" w:type="auto"/>
            <w:vAlign w:val="center"/>
          </w:tcPr>
          <w:p w14:paraId="0300FA32" w14:textId="77777777" w:rsidR="00CD55F1" w:rsidRPr="00210DD1" w:rsidRDefault="00CD55F1" w:rsidP="00024DD9">
            <w:pPr>
              <w:jc w:val="center"/>
            </w:pPr>
            <w:r w:rsidRPr="00F60A9B">
              <w:rPr>
                <w:rFonts w:ascii="Calibri" w:hAnsi="Calibri" w:cs="Calibri"/>
              </w:rPr>
              <w:t>4</w:t>
            </w:r>
          </w:p>
        </w:tc>
        <w:tc>
          <w:tcPr>
            <w:tcW w:w="0" w:type="auto"/>
            <w:vAlign w:val="center"/>
          </w:tcPr>
          <w:p w14:paraId="578B0AC2" w14:textId="77777777" w:rsidR="00CD55F1" w:rsidRPr="00210DD1" w:rsidRDefault="00CD55F1" w:rsidP="00024DD9">
            <w:pPr>
              <w:jc w:val="center"/>
            </w:pPr>
            <w:r w:rsidRPr="00F60A9B">
              <w:rPr>
                <w:rFonts w:ascii="Calibri" w:hAnsi="Calibri" w:cs="Calibri"/>
              </w:rPr>
              <w:t>0</w:t>
            </w:r>
          </w:p>
        </w:tc>
        <w:tc>
          <w:tcPr>
            <w:tcW w:w="0" w:type="auto"/>
            <w:vAlign w:val="center"/>
          </w:tcPr>
          <w:p w14:paraId="0C288FF8" w14:textId="77777777" w:rsidR="00CD55F1" w:rsidRPr="00210DD1" w:rsidRDefault="00CD55F1" w:rsidP="00024DD9">
            <w:pPr>
              <w:jc w:val="center"/>
            </w:pPr>
            <w:r w:rsidRPr="00F60A9B">
              <w:rPr>
                <w:rFonts w:ascii="Calibri" w:hAnsi="Calibri" w:cs="Calibri"/>
              </w:rPr>
              <w:t>0</w:t>
            </w:r>
          </w:p>
        </w:tc>
        <w:tc>
          <w:tcPr>
            <w:tcW w:w="0" w:type="auto"/>
            <w:vAlign w:val="center"/>
          </w:tcPr>
          <w:p w14:paraId="0B27DF42" w14:textId="77777777" w:rsidR="00CD55F1" w:rsidRDefault="00CD55F1" w:rsidP="00024DD9">
            <w:pPr>
              <w:jc w:val="center"/>
            </w:pPr>
            <w:r w:rsidRPr="00F60A9B">
              <w:rPr>
                <w:rFonts w:ascii="Calibri" w:hAnsi="Calibri" w:cs="Calibri"/>
              </w:rPr>
              <w:t>0</w:t>
            </w:r>
          </w:p>
        </w:tc>
      </w:tr>
      <w:tr w:rsidR="00CD55F1" w:rsidRPr="00F60A9B" w14:paraId="2A57BAFF" w14:textId="77777777" w:rsidTr="00024DD9">
        <w:trPr>
          <w:jc w:val="center"/>
        </w:trPr>
        <w:tc>
          <w:tcPr>
            <w:tcW w:w="0" w:type="auto"/>
            <w:tcBorders>
              <w:right w:val="single" w:sz="12" w:space="0" w:color="auto"/>
            </w:tcBorders>
            <w:vAlign w:val="center"/>
          </w:tcPr>
          <w:p w14:paraId="61EA2C13"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vAlign w:val="center"/>
          </w:tcPr>
          <w:p w14:paraId="6FA9C631" w14:textId="77777777" w:rsidR="00CD55F1" w:rsidRPr="00F60A9B" w:rsidRDefault="00CD55F1" w:rsidP="00024DD9">
            <w:pPr>
              <w:jc w:val="center"/>
            </w:pPr>
            <w:r w:rsidRPr="00F60A9B">
              <w:rPr>
                <w:rFonts w:ascii="Calibri" w:hAnsi="Calibri" w:cs="Calibri"/>
              </w:rPr>
              <w:t>4</w:t>
            </w:r>
          </w:p>
        </w:tc>
        <w:tc>
          <w:tcPr>
            <w:tcW w:w="0" w:type="auto"/>
            <w:vAlign w:val="center"/>
          </w:tcPr>
          <w:p w14:paraId="5F253837" w14:textId="77777777" w:rsidR="00CD55F1" w:rsidRPr="00210DD1" w:rsidRDefault="00CD55F1" w:rsidP="00024DD9">
            <w:pPr>
              <w:jc w:val="center"/>
            </w:pPr>
            <w:r w:rsidRPr="00F60A9B">
              <w:rPr>
                <w:rFonts w:ascii="Calibri" w:hAnsi="Calibri" w:cs="Calibri"/>
              </w:rPr>
              <w:t>3</w:t>
            </w:r>
          </w:p>
        </w:tc>
        <w:tc>
          <w:tcPr>
            <w:tcW w:w="0" w:type="auto"/>
            <w:vAlign w:val="center"/>
          </w:tcPr>
          <w:p w14:paraId="31EA7DE8" w14:textId="77777777" w:rsidR="00CD55F1" w:rsidRPr="00210DD1" w:rsidRDefault="00CD55F1" w:rsidP="00024DD9">
            <w:pPr>
              <w:jc w:val="center"/>
            </w:pPr>
            <w:r w:rsidRPr="00F60A9B">
              <w:rPr>
                <w:rFonts w:ascii="Calibri" w:hAnsi="Calibri" w:cs="Calibri"/>
              </w:rPr>
              <w:t>4</w:t>
            </w:r>
          </w:p>
        </w:tc>
        <w:tc>
          <w:tcPr>
            <w:tcW w:w="0" w:type="auto"/>
            <w:vAlign w:val="center"/>
          </w:tcPr>
          <w:p w14:paraId="0BED04A7" w14:textId="77777777" w:rsidR="00CD55F1" w:rsidRPr="00210DD1" w:rsidRDefault="00CD55F1" w:rsidP="00024DD9">
            <w:pPr>
              <w:jc w:val="center"/>
            </w:pPr>
            <w:r w:rsidRPr="00F60A9B">
              <w:rPr>
                <w:rFonts w:ascii="Calibri" w:hAnsi="Calibri" w:cs="Calibri"/>
              </w:rPr>
              <w:t>0</w:t>
            </w:r>
          </w:p>
        </w:tc>
        <w:tc>
          <w:tcPr>
            <w:tcW w:w="0" w:type="auto"/>
            <w:vAlign w:val="center"/>
          </w:tcPr>
          <w:p w14:paraId="1ED82634"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tcMar>
              <w:left w:w="115" w:type="dxa"/>
              <w:right w:w="144" w:type="dxa"/>
            </w:tcMar>
            <w:vAlign w:val="center"/>
          </w:tcPr>
          <w:p w14:paraId="653E60D2"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25154084" w14:textId="77777777" w:rsidR="00CD55F1" w:rsidRDefault="00CD55F1" w:rsidP="00024DD9">
            <w:pPr>
              <w:jc w:val="center"/>
            </w:pPr>
            <w:r w:rsidRPr="005B7BEE">
              <w:rPr>
                <w:sz w:val="14"/>
                <w:szCs w:val="14"/>
              </w:rPr>
              <w:t>Probable</w:t>
            </w:r>
          </w:p>
        </w:tc>
        <w:tc>
          <w:tcPr>
            <w:tcW w:w="0" w:type="auto"/>
            <w:vAlign w:val="center"/>
          </w:tcPr>
          <w:p w14:paraId="3B58D4D5" w14:textId="77777777" w:rsidR="00CD55F1" w:rsidRDefault="00CD55F1" w:rsidP="00024DD9">
            <w:pPr>
              <w:jc w:val="center"/>
            </w:pPr>
            <w:r w:rsidRPr="00F60A9B">
              <w:rPr>
                <w:rFonts w:ascii="Calibri" w:hAnsi="Calibri" w:cs="Calibri"/>
              </w:rPr>
              <w:t>15</w:t>
            </w:r>
          </w:p>
        </w:tc>
        <w:tc>
          <w:tcPr>
            <w:tcW w:w="0" w:type="auto"/>
            <w:vAlign w:val="center"/>
          </w:tcPr>
          <w:p w14:paraId="59E9B0CA" w14:textId="77777777" w:rsidR="00CD55F1" w:rsidRDefault="00CD55F1" w:rsidP="00024DD9">
            <w:pPr>
              <w:jc w:val="center"/>
            </w:pPr>
            <w:r w:rsidRPr="00F60A9B">
              <w:rPr>
                <w:rFonts w:ascii="Calibri" w:hAnsi="Calibri" w:cs="Calibri"/>
              </w:rPr>
              <w:t>4</w:t>
            </w:r>
          </w:p>
        </w:tc>
        <w:tc>
          <w:tcPr>
            <w:tcW w:w="0" w:type="auto"/>
            <w:vAlign w:val="center"/>
          </w:tcPr>
          <w:p w14:paraId="7530252C" w14:textId="77777777" w:rsidR="00CD55F1" w:rsidRDefault="00CD55F1" w:rsidP="00024DD9">
            <w:pPr>
              <w:jc w:val="center"/>
            </w:pPr>
            <w:r w:rsidRPr="00F60A9B">
              <w:rPr>
                <w:rFonts w:ascii="Calibri" w:hAnsi="Calibri" w:cs="Calibri"/>
              </w:rPr>
              <w:t>2</w:t>
            </w:r>
          </w:p>
        </w:tc>
        <w:tc>
          <w:tcPr>
            <w:tcW w:w="0" w:type="auto"/>
            <w:vAlign w:val="center"/>
          </w:tcPr>
          <w:p w14:paraId="530F097C" w14:textId="77777777" w:rsidR="00CD55F1" w:rsidRDefault="00CD55F1" w:rsidP="00024DD9">
            <w:pPr>
              <w:jc w:val="center"/>
            </w:pPr>
            <w:r w:rsidRPr="00F60A9B">
              <w:rPr>
                <w:rFonts w:ascii="Calibri" w:hAnsi="Calibri" w:cs="Calibri"/>
              </w:rPr>
              <w:t>1</w:t>
            </w:r>
          </w:p>
        </w:tc>
        <w:tc>
          <w:tcPr>
            <w:tcW w:w="0" w:type="auto"/>
            <w:vAlign w:val="center"/>
          </w:tcPr>
          <w:p w14:paraId="02EBC7AC" w14:textId="77777777" w:rsidR="00CD55F1" w:rsidRDefault="00CD55F1" w:rsidP="00024DD9">
            <w:pPr>
              <w:jc w:val="center"/>
            </w:pPr>
            <w:r w:rsidRPr="00F60A9B">
              <w:rPr>
                <w:rFonts w:ascii="Calibri" w:hAnsi="Calibri" w:cs="Calibri"/>
              </w:rPr>
              <w:t>0</w:t>
            </w:r>
          </w:p>
        </w:tc>
      </w:tr>
      <w:tr w:rsidR="00CD55F1" w:rsidRPr="00F60A9B" w14:paraId="382CC972" w14:textId="77777777" w:rsidTr="00024DD9">
        <w:trPr>
          <w:jc w:val="center"/>
        </w:trPr>
        <w:tc>
          <w:tcPr>
            <w:tcW w:w="0" w:type="auto"/>
            <w:tcBorders>
              <w:right w:val="single" w:sz="12" w:space="0" w:color="auto"/>
            </w:tcBorders>
            <w:vAlign w:val="center"/>
          </w:tcPr>
          <w:p w14:paraId="02AD943F"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vAlign w:val="center"/>
          </w:tcPr>
          <w:p w14:paraId="581CE391" w14:textId="77777777" w:rsidR="00CD55F1" w:rsidRPr="00F60A9B" w:rsidRDefault="00CD55F1" w:rsidP="00024DD9">
            <w:pPr>
              <w:jc w:val="center"/>
            </w:pPr>
            <w:r w:rsidRPr="00F60A9B">
              <w:rPr>
                <w:rFonts w:ascii="Calibri" w:hAnsi="Calibri" w:cs="Calibri"/>
              </w:rPr>
              <w:t>3</w:t>
            </w:r>
          </w:p>
        </w:tc>
        <w:tc>
          <w:tcPr>
            <w:tcW w:w="0" w:type="auto"/>
            <w:vAlign w:val="center"/>
          </w:tcPr>
          <w:p w14:paraId="675311BC" w14:textId="77777777" w:rsidR="00CD55F1" w:rsidRPr="00210DD1" w:rsidRDefault="00CD55F1" w:rsidP="00024DD9">
            <w:pPr>
              <w:jc w:val="center"/>
            </w:pPr>
            <w:r w:rsidRPr="00F60A9B">
              <w:rPr>
                <w:rFonts w:ascii="Calibri" w:hAnsi="Calibri" w:cs="Calibri"/>
              </w:rPr>
              <w:t>0</w:t>
            </w:r>
          </w:p>
        </w:tc>
        <w:tc>
          <w:tcPr>
            <w:tcW w:w="0" w:type="auto"/>
            <w:vAlign w:val="center"/>
          </w:tcPr>
          <w:p w14:paraId="78DC44E4" w14:textId="77777777" w:rsidR="00CD55F1" w:rsidRPr="00210DD1" w:rsidRDefault="00CD55F1" w:rsidP="00024DD9">
            <w:pPr>
              <w:jc w:val="center"/>
            </w:pPr>
            <w:r w:rsidRPr="00F60A9B">
              <w:rPr>
                <w:rFonts w:ascii="Calibri" w:hAnsi="Calibri" w:cs="Calibri"/>
              </w:rPr>
              <w:t>2</w:t>
            </w:r>
          </w:p>
        </w:tc>
        <w:tc>
          <w:tcPr>
            <w:tcW w:w="0" w:type="auto"/>
            <w:vAlign w:val="center"/>
          </w:tcPr>
          <w:p w14:paraId="354BD8BD" w14:textId="77777777" w:rsidR="00CD55F1" w:rsidRPr="00210DD1" w:rsidRDefault="00CD55F1" w:rsidP="00024DD9">
            <w:pPr>
              <w:jc w:val="center"/>
            </w:pPr>
            <w:r w:rsidRPr="00F60A9B">
              <w:rPr>
                <w:rFonts w:ascii="Calibri" w:hAnsi="Calibri" w:cs="Calibri"/>
              </w:rPr>
              <w:t>3</w:t>
            </w:r>
          </w:p>
        </w:tc>
        <w:tc>
          <w:tcPr>
            <w:tcW w:w="0" w:type="auto"/>
            <w:vAlign w:val="center"/>
          </w:tcPr>
          <w:p w14:paraId="39C69284"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11EFB337" w14:textId="77777777" w:rsidR="00CD55F1" w:rsidRDefault="00CD55F1" w:rsidP="00024DD9">
            <w:pPr>
              <w:jc w:val="center"/>
            </w:pPr>
          </w:p>
        </w:tc>
        <w:tc>
          <w:tcPr>
            <w:tcW w:w="0" w:type="auto"/>
            <w:vAlign w:val="center"/>
          </w:tcPr>
          <w:p w14:paraId="33BAEF9E" w14:textId="77777777" w:rsidR="00CD55F1" w:rsidRDefault="00CD55F1" w:rsidP="00024DD9">
            <w:pPr>
              <w:jc w:val="center"/>
            </w:pPr>
            <w:r w:rsidRPr="005B7BEE">
              <w:rPr>
                <w:sz w:val="14"/>
                <w:szCs w:val="14"/>
              </w:rPr>
              <w:t>Occasional</w:t>
            </w:r>
          </w:p>
        </w:tc>
        <w:tc>
          <w:tcPr>
            <w:tcW w:w="0" w:type="auto"/>
            <w:vAlign w:val="center"/>
          </w:tcPr>
          <w:p w14:paraId="25874170" w14:textId="77777777" w:rsidR="00CD55F1" w:rsidRDefault="00CD55F1" w:rsidP="00024DD9">
            <w:pPr>
              <w:jc w:val="center"/>
            </w:pPr>
            <w:r w:rsidRPr="00F60A9B">
              <w:rPr>
                <w:rFonts w:ascii="Calibri" w:hAnsi="Calibri" w:cs="Calibri"/>
              </w:rPr>
              <w:t>4</w:t>
            </w:r>
          </w:p>
        </w:tc>
        <w:tc>
          <w:tcPr>
            <w:tcW w:w="0" w:type="auto"/>
            <w:vAlign w:val="center"/>
          </w:tcPr>
          <w:p w14:paraId="50E632A3" w14:textId="77777777" w:rsidR="00CD55F1" w:rsidRDefault="00CD55F1" w:rsidP="00024DD9">
            <w:pPr>
              <w:jc w:val="center"/>
            </w:pPr>
            <w:r w:rsidRPr="00F60A9B">
              <w:rPr>
                <w:rFonts w:ascii="Calibri" w:hAnsi="Calibri" w:cs="Calibri"/>
              </w:rPr>
              <w:t>10</w:t>
            </w:r>
          </w:p>
        </w:tc>
        <w:tc>
          <w:tcPr>
            <w:tcW w:w="0" w:type="auto"/>
            <w:vAlign w:val="center"/>
          </w:tcPr>
          <w:p w14:paraId="2A3185F6" w14:textId="77777777" w:rsidR="00CD55F1" w:rsidRDefault="00CD55F1" w:rsidP="00024DD9">
            <w:pPr>
              <w:jc w:val="center"/>
            </w:pPr>
            <w:r w:rsidRPr="00F60A9B">
              <w:rPr>
                <w:rFonts w:ascii="Calibri" w:hAnsi="Calibri" w:cs="Calibri"/>
              </w:rPr>
              <w:t>2</w:t>
            </w:r>
          </w:p>
        </w:tc>
        <w:tc>
          <w:tcPr>
            <w:tcW w:w="0" w:type="auto"/>
            <w:vAlign w:val="center"/>
          </w:tcPr>
          <w:p w14:paraId="48ECF3AD" w14:textId="77777777" w:rsidR="00CD55F1" w:rsidRDefault="00CD55F1" w:rsidP="00024DD9">
            <w:pPr>
              <w:jc w:val="center"/>
            </w:pPr>
            <w:r w:rsidRPr="00F60A9B">
              <w:rPr>
                <w:rFonts w:ascii="Calibri" w:hAnsi="Calibri" w:cs="Calibri"/>
              </w:rPr>
              <w:t>1</w:t>
            </w:r>
          </w:p>
        </w:tc>
        <w:tc>
          <w:tcPr>
            <w:tcW w:w="0" w:type="auto"/>
            <w:vAlign w:val="center"/>
          </w:tcPr>
          <w:p w14:paraId="454D0E5C" w14:textId="77777777" w:rsidR="00CD55F1" w:rsidRDefault="00CD55F1" w:rsidP="00024DD9">
            <w:pPr>
              <w:jc w:val="center"/>
            </w:pPr>
            <w:r w:rsidRPr="00F60A9B">
              <w:rPr>
                <w:rFonts w:ascii="Calibri" w:hAnsi="Calibri" w:cs="Calibri"/>
              </w:rPr>
              <w:t>1</w:t>
            </w:r>
          </w:p>
        </w:tc>
      </w:tr>
      <w:tr w:rsidR="00CD55F1" w:rsidRPr="00F60A9B" w14:paraId="3B65B8D5" w14:textId="77777777" w:rsidTr="00024DD9">
        <w:trPr>
          <w:jc w:val="center"/>
        </w:trPr>
        <w:tc>
          <w:tcPr>
            <w:tcW w:w="0" w:type="auto"/>
            <w:tcBorders>
              <w:right w:val="single" w:sz="12" w:space="0" w:color="auto"/>
            </w:tcBorders>
            <w:vAlign w:val="center"/>
          </w:tcPr>
          <w:p w14:paraId="2938F514"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vAlign w:val="center"/>
          </w:tcPr>
          <w:p w14:paraId="091ED1DE" w14:textId="77777777" w:rsidR="00CD55F1" w:rsidRPr="00F60A9B" w:rsidRDefault="00CD55F1" w:rsidP="00024DD9">
            <w:pPr>
              <w:jc w:val="center"/>
            </w:pPr>
            <w:r w:rsidRPr="00F60A9B">
              <w:rPr>
                <w:rFonts w:ascii="Calibri" w:hAnsi="Calibri" w:cs="Calibri"/>
              </w:rPr>
              <w:t>7</w:t>
            </w:r>
          </w:p>
        </w:tc>
        <w:tc>
          <w:tcPr>
            <w:tcW w:w="0" w:type="auto"/>
            <w:vAlign w:val="center"/>
          </w:tcPr>
          <w:p w14:paraId="7E65DDB4" w14:textId="77777777" w:rsidR="00CD55F1" w:rsidRPr="00210DD1" w:rsidRDefault="00CD55F1" w:rsidP="00024DD9">
            <w:pPr>
              <w:jc w:val="center"/>
            </w:pPr>
            <w:r w:rsidRPr="00F60A9B">
              <w:rPr>
                <w:rFonts w:ascii="Calibri" w:hAnsi="Calibri" w:cs="Calibri"/>
              </w:rPr>
              <w:t>3</w:t>
            </w:r>
          </w:p>
        </w:tc>
        <w:tc>
          <w:tcPr>
            <w:tcW w:w="0" w:type="auto"/>
            <w:vAlign w:val="center"/>
          </w:tcPr>
          <w:p w14:paraId="24F73B1A" w14:textId="77777777" w:rsidR="00CD55F1" w:rsidRPr="00210DD1" w:rsidRDefault="00CD55F1" w:rsidP="00024DD9">
            <w:pPr>
              <w:jc w:val="center"/>
            </w:pPr>
            <w:r w:rsidRPr="00F60A9B">
              <w:rPr>
                <w:rFonts w:ascii="Calibri" w:hAnsi="Calibri" w:cs="Calibri"/>
              </w:rPr>
              <w:t>4</w:t>
            </w:r>
          </w:p>
        </w:tc>
        <w:tc>
          <w:tcPr>
            <w:tcW w:w="0" w:type="auto"/>
            <w:vAlign w:val="center"/>
          </w:tcPr>
          <w:p w14:paraId="3BA31FE6" w14:textId="77777777" w:rsidR="00CD55F1" w:rsidRPr="00210DD1" w:rsidRDefault="00CD55F1" w:rsidP="00024DD9">
            <w:pPr>
              <w:jc w:val="center"/>
            </w:pPr>
            <w:r w:rsidRPr="00F60A9B">
              <w:rPr>
                <w:rFonts w:ascii="Calibri" w:hAnsi="Calibri" w:cs="Calibri"/>
              </w:rPr>
              <w:t>6</w:t>
            </w:r>
          </w:p>
        </w:tc>
        <w:tc>
          <w:tcPr>
            <w:tcW w:w="0" w:type="auto"/>
            <w:vAlign w:val="center"/>
          </w:tcPr>
          <w:p w14:paraId="7C0B9105"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62C75E2E" w14:textId="77777777" w:rsidR="00CD55F1" w:rsidRDefault="00CD55F1" w:rsidP="00024DD9">
            <w:pPr>
              <w:jc w:val="center"/>
            </w:pPr>
          </w:p>
        </w:tc>
        <w:tc>
          <w:tcPr>
            <w:tcW w:w="0" w:type="auto"/>
            <w:vAlign w:val="center"/>
          </w:tcPr>
          <w:p w14:paraId="1575042C" w14:textId="77777777" w:rsidR="00CD55F1" w:rsidRDefault="00CD55F1" w:rsidP="00024DD9">
            <w:pPr>
              <w:jc w:val="center"/>
            </w:pPr>
            <w:r w:rsidRPr="005B7BEE">
              <w:rPr>
                <w:sz w:val="14"/>
                <w:szCs w:val="14"/>
              </w:rPr>
              <w:t>Remote</w:t>
            </w:r>
          </w:p>
        </w:tc>
        <w:tc>
          <w:tcPr>
            <w:tcW w:w="0" w:type="auto"/>
            <w:vAlign w:val="center"/>
          </w:tcPr>
          <w:p w14:paraId="452DD052" w14:textId="77777777" w:rsidR="00CD55F1" w:rsidRDefault="00CD55F1" w:rsidP="00024DD9">
            <w:pPr>
              <w:jc w:val="center"/>
            </w:pPr>
            <w:r w:rsidRPr="00F60A9B">
              <w:rPr>
                <w:rFonts w:ascii="Calibri" w:hAnsi="Calibri" w:cs="Calibri"/>
              </w:rPr>
              <w:t>4</w:t>
            </w:r>
          </w:p>
        </w:tc>
        <w:tc>
          <w:tcPr>
            <w:tcW w:w="0" w:type="auto"/>
            <w:vAlign w:val="center"/>
          </w:tcPr>
          <w:p w14:paraId="099DA672" w14:textId="77777777" w:rsidR="00CD55F1" w:rsidRDefault="00CD55F1" w:rsidP="00024DD9">
            <w:pPr>
              <w:jc w:val="center"/>
            </w:pPr>
            <w:r w:rsidRPr="00F60A9B">
              <w:rPr>
                <w:rFonts w:ascii="Calibri" w:hAnsi="Calibri" w:cs="Calibri"/>
              </w:rPr>
              <w:t>5</w:t>
            </w:r>
          </w:p>
        </w:tc>
        <w:tc>
          <w:tcPr>
            <w:tcW w:w="0" w:type="auto"/>
            <w:vAlign w:val="center"/>
          </w:tcPr>
          <w:p w14:paraId="00070FED" w14:textId="77777777" w:rsidR="00CD55F1" w:rsidRDefault="00CD55F1" w:rsidP="00024DD9">
            <w:pPr>
              <w:jc w:val="center"/>
            </w:pPr>
            <w:r w:rsidRPr="00F60A9B">
              <w:rPr>
                <w:rFonts w:ascii="Calibri" w:hAnsi="Calibri" w:cs="Calibri"/>
              </w:rPr>
              <w:t>4</w:t>
            </w:r>
          </w:p>
        </w:tc>
        <w:tc>
          <w:tcPr>
            <w:tcW w:w="0" w:type="auto"/>
            <w:vAlign w:val="center"/>
          </w:tcPr>
          <w:p w14:paraId="29FAA687" w14:textId="77777777" w:rsidR="00CD55F1" w:rsidRDefault="00CD55F1" w:rsidP="00024DD9">
            <w:pPr>
              <w:jc w:val="center"/>
            </w:pPr>
            <w:r w:rsidRPr="00F60A9B">
              <w:rPr>
                <w:rFonts w:ascii="Calibri" w:hAnsi="Calibri" w:cs="Calibri"/>
              </w:rPr>
              <w:t>3</w:t>
            </w:r>
          </w:p>
        </w:tc>
        <w:tc>
          <w:tcPr>
            <w:tcW w:w="0" w:type="auto"/>
            <w:vAlign w:val="center"/>
          </w:tcPr>
          <w:p w14:paraId="0FD36210" w14:textId="77777777" w:rsidR="00CD55F1" w:rsidRDefault="00CD55F1" w:rsidP="00024DD9">
            <w:pPr>
              <w:jc w:val="center"/>
            </w:pPr>
            <w:r w:rsidRPr="00F60A9B">
              <w:rPr>
                <w:rFonts w:ascii="Calibri" w:hAnsi="Calibri" w:cs="Calibri"/>
              </w:rPr>
              <w:t>1</w:t>
            </w:r>
          </w:p>
        </w:tc>
      </w:tr>
      <w:tr w:rsidR="00CD55F1" w:rsidRPr="00F60A9B" w14:paraId="79303A2C" w14:textId="77777777" w:rsidTr="00024DD9">
        <w:trPr>
          <w:jc w:val="center"/>
        </w:trPr>
        <w:tc>
          <w:tcPr>
            <w:tcW w:w="0" w:type="auto"/>
            <w:tcBorders>
              <w:right w:val="single" w:sz="12" w:space="0" w:color="auto"/>
            </w:tcBorders>
            <w:vAlign w:val="center"/>
          </w:tcPr>
          <w:p w14:paraId="4870A5FC"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vAlign w:val="center"/>
          </w:tcPr>
          <w:p w14:paraId="249C8FE3" w14:textId="77777777" w:rsidR="00CD55F1" w:rsidRPr="00F60A9B" w:rsidRDefault="00CD55F1" w:rsidP="00024DD9">
            <w:pPr>
              <w:jc w:val="center"/>
            </w:pPr>
            <w:r w:rsidRPr="00F60A9B">
              <w:rPr>
                <w:rFonts w:ascii="Calibri" w:hAnsi="Calibri" w:cs="Calibri"/>
              </w:rPr>
              <w:t>5</w:t>
            </w:r>
          </w:p>
        </w:tc>
        <w:tc>
          <w:tcPr>
            <w:tcW w:w="0" w:type="auto"/>
            <w:vAlign w:val="center"/>
          </w:tcPr>
          <w:p w14:paraId="2548BB0D" w14:textId="77777777" w:rsidR="00CD55F1" w:rsidRPr="00210DD1" w:rsidRDefault="00CD55F1" w:rsidP="00024DD9">
            <w:pPr>
              <w:jc w:val="center"/>
            </w:pPr>
            <w:r w:rsidRPr="00F60A9B">
              <w:rPr>
                <w:rFonts w:ascii="Calibri" w:hAnsi="Calibri" w:cs="Calibri"/>
              </w:rPr>
              <w:t>5</w:t>
            </w:r>
          </w:p>
        </w:tc>
        <w:tc>
          <w:tcPr>
            <w:tcW w:w="0" w:type="auto"/>
            <w:vAlign w:val="center"/>
          </w:tcPr>
          <w:p w14:paraId="723CB56A" w14:textId="77777777" w:rsidR="00CD55F1" w:rsidRPr="00210DD1" w:rsidRDefault="00CD55F1" w:rsidP="00024DD9">
            <w:pPr>
              <w:jc w:val="center"/>
            </w:pPr>
            <w:r w:rsidRPr="00F60A9B">
              <w:rPr>
                <w:rFonts w:ascii="Calibri" w:hAnsi="Calibri" w:cs="Calibri"/>
              </w:rPr>
              <w:t>1</w:t>
            </w:r>
          </w:p>
        </w:tc>
        <w:tc>
          <w:tcPr>
            <w:tcW w:w="0" w:type="auto"/>
            <w:vAlign w:val="center"/>
          </w:tcPr>
          <w:p w14:paraId="1E089F97" w14:textId="77777777" w:rsidR="00CD55F1" w:rsidRPr="00210DD1" w:rsidRDefault="00CD55F1" w:rsidP="00024DD9">
            <w:pPr>
              <w:jc w:val="center"/>
            </w:pPr>
            <w:r w:rsidRPr="00F60A9B">
              <w:rPr>
                <w:rFonts w:ascii="Calibri" w:hAnsi="Calibri" w:cs="Calibri"/>
              </w:rPr>
              <w:t>3</w:t>
            </w:r>
          </w:p>
        </w:tc>
        <w:tc>
          <w:tcPr>
            <w:tcW w:w="0" w:type="auto"/>
            <w:vAlign w:val="center"/>
          </w:tcPr>
          <w:p w14:paraId="4BDF35E7"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4D23B4C9" w14:textId="77777777" w:rsidR="00CD55F1" w:rsidRDefault="00CD55F1" w:rsidP="00024DD9">
            <w:pPr>
              <w:keepNext/>
              <w:jc w:val="center"/>
            </w:pPr>
          </w:p>
        </w:tc>
        <w:tc>
          <w:tcPr>
            <w:tcW w:w="0" w:type="auto"/>
            <w:vAlign w:val="center"/>
          </w:tcPr>
          <w:p w14:paraId="6DDB6300" w14:textId="77777777" w:rsidR="00CD55F1" w:rsidRDefault="00CD55F1" w:rsidP="00024DD9">
            <w:pPr>
              <w:keepNext/>
              <w:jc w:val="center"/>
            </w:pPr>
            <w:r w:rsidRPr="005B7BEE">
              <w:rPr>
                <w:sz w:val="14"/>
                <w:szCs w:val="14"/>
              </w:rPr>
              <w:t>Improbable</w:t>
            </w:r>
          </w:p>
        </w:tc>
        <w:tc>
          <w:tcPr>
            <w:tcW w:w="0" w:type="auto"/>
            <w:vAlign w:val="center"/>
          </w:tcPr>
          <w:p w14:paraId="1471EAFE" w14:textId="77777777" w:rsidR="00CD55F1" w:rsidRDefault="00CD55F1" w:rsidP="00024DD9">
            <w:pPr>
              <w:keepNext/>
              <w:jc w:val="center"/>
            </w:pPr>
            <w:r w:rsidRPr="00F60A9B">
              <w:rPr>
                <w:rFonts w:ascii="Calibri" w:hAnsi="Calibri" w:cs="Calibri"/>
              </w:rPr>
              <w:t>5</w:t>
            </w:r>
          </w:p>
        </w:tc>
        <w:tc>
          <w:tcPr>
            <w:tcW w:w="0" w:type="auto"/>
            <w:vAlign w:val="center"/>
          </w:tcPr>
          <w:p w14:paraId="7150CCA4" w14:textId="77777777" w:rsidR="00CD55F1" w:rsidRDefault="00CD55F1" w:rsidP="00024DD9">
            <w:pPr>
              <w:keepNext/>
              <w:jc w:val="center"/>
            </w:pPr>
            <w:r w:rsidRPr="00F60A9B">
              <w:rPr>
                <w:rFonts w:ascii="Calibri" w:hAnsi="Calibri" w:cs="Calibri"/>
              </w:rPr>
              <w:t>6</w:t>
            </w:r>
          </w:p>
        </w:tc>
        <w:tc>
          <w:tcPr>
            <w:tcW w:w="0" w:type="auto"/>
            <w:vAlign w:val="center"/>
          </w:tcPr>
          <w:p w14:paraId="43C79C86" w14:textId="77777777" w:rsidR="00CD55F1" w:rsidRDefault="00CD55F1" w:rsidP="00024DD9">
            <w:pPr>
              <w:keepNext/>
              <w:jc w:val="center"/>
            </w:pPr>
            <w:r w:rsidRPr="00F60A9B">
              <w:rPr>
                <w:rFonts w:ascii="Calibri" w:hAnsi="Calibri" w:cs="Calibri"/>
              </w:rPr>
              <w:t>1</w:t>
            </w:r>
          </w:p>
        </w:tc>
        <w:tc>
          <w:tcPr>
            <w:tcW w:w="0" w:type="auto"/>
            <w:vAlign w:val="center"/>
          </w:tcPr>
          <w:p w14:paraId="5BCC9EB7" w14:textId="77777777" w:rsidR="00CD55F1" w:rsidRDefault="00CD55F1" w:rsidP="00024DD9">
            <w:pPr>
              <w:keepNext/>
              <w:jc w:val="center"/>
            </w:pPr>
            <w:r w:rsidRPr="00F60A9B">
              <w:rPr>
                <w:rFonts w:ascii="Calibri" w:hAnsi="Calibri" w:cs="Calibri"/>
              </w:rPr>
              <w:t>12</w:t>
            </w:r>
          </w:p>
        </w:tc>
        <w:tc>
          <w:tcPr>
            <w:tcW w:w="0" w:type="auto"/>
            <w:vAlign w:val="center"/>
          </w:tcPr>
          <w:p w14:paraId="53F1AABF" w14:textId="77777777" w:rsidR="00CD55F1" w:rsidRDefault="00CD55F1" w:rsidP="00024DD9">
            <w:pPr>
              <w:keepNext/>
              <w:jc w:val="center"/>
            </w:pPr>
            <w:r w:rsidRPr="00F60A9B">
              <w:rPr>
                <w:rFonts w:ascii="Calibri" w:hAnsi="Calibri" w:cs="Calibri"/>
              </w:rPr>
              <w:t>0</w:t>
            </w:r>
          </w:p>
        </w:tc>
      </w:tr>
    </w:tbl>
    <w:p w14:paraId="4A34B38D" w14:textId="60B44B80" w:rsidR="00CD55F1" w:rsidRDefault="00CD55F1" w:rsidP="00FD6C43">
      <w:pPr>
        <w:pStyle w:val="Caption"/>
        <w:spacing w:before="120"/>
        <w:jc w:val="center"/>
      </w:pPr>
      <w:bookmarkStart w:id="57" w:name="_Ref146708531"/>
      <w:r>
        <w:t xml:space="preserve">Equation </w:t>
      </w:r>
      <w:r>
        <w:fldChar w:fldCharType="begin"/>
      </w:r>
      <w:r>
        <w:instrText xml:space="preserve"> SEQ Equation \* ARABIC </w:instrText>
      </w:r>
      <w:r>
        <w:fldChar w:fldCharType="separate"/>
      </w:r>
      <w:r w:rsidR="003468AE">
        <w:rPr>
          <w:noProof/>
        </w:rPr>
        <w:t>11</w:t>
      </w:r>
      <w:r>
        <w:rPr>
          <w:noProof/>
        </w:rPr>
        <w:fldChar w:fldCharType="end"/>
      </w:r>
      <w:bookmarkEnd w:id="57"/>
    </w:p>
    <w:p w14:paraId="62D914F1" w14:textId="77777777" w:rsidR="00CD55F1" w:rsidRDefault="00CD55F1" w:rsidP="00FD6C43">
      <w:pPr>
        <w:spacing w:before="120"/>
      </w:pPr>
      <w:r>
        <w:t>After the have been performed,</w:t>
      </w:r>
      <w:r w:rsidRPr="00F60A9B">
        <w:t xml:space="preserve"> </w:t>
      </w:r>
      <w:r>
        <w:t xml:space="preserve">the previous equation simplifies to: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4955941A" w14:textId="77777777" w:rsidTr="00024DD9">
        <w:trPr>
          <w:tblHeader/>
          <w:jc w:val="center"/>
        </w:trPr>
        <w:tc>
          <w:tcPr>
            <w:tcW w:w="0" w:type="auto"/>
            <w:tcBorders>
              <w:top w:val="nil"/>
              <w:left w:val="nil"/>
              <w:bottom w:val="single" w:sz="4" w:space="0" w:color="auto"/>
            </w:tcBorders>
            <w:vAlign w:val="center"/>
          </w:tcPr>
          <w:p w14:paraId="3D0550E5" w14:textId="77777777" w:rsidR="00CD55F1" w:rsidRPr="00F60A9B" w:rsidRDefault="00000000" w:rsidP="00FD6C43">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FFD37E3" w14:textId="77777777" w:rsidR="00CD55F1" w:rsidRPr="005B7BEE" w:rsidRDefault="00CD55F1" w:rsidP="00FD6C43">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055B904" w14:textId="77777777" w:rsidR="00CD55F1" w:rsidRPr="005B7BEE" w:rsidRDefault="00CD55F1" w:rsidP="00FD6C43">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3A76EBF" w14:textId="77777777" w:rsidR="00CD55F1" w:rsidRPr="005B7BEE" w:rsidRDefault="00CD55F1" w:rsidP="00FD6C43">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9507A3D" w14:textId="77777777" w:rsidR="00CD55F1" w:rsidRPr="005B7BEE" w:rsidRDefault="00CD55F1" w:rsidP="00FD6C43">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1F6E711F" w14:textId="77777777" w:rsidR="00CD55F1" w:rsidRPr="005B7BEE" w:rsidRDefault="00CD55F1" w:rsidP="00FD6C43">
            <w:pPr>
              <w:jc w:val="center"/>
              <w:rPr>
                <w:sz w:val="14"/>
                <w:szCs w:val="14"/>
              </w:rPr>
            </w:pPr>
            <w:r w:rsidRPr="005B7BEE">
              <w:rPr>
                <w:sz w:val="14"/>
                <w:szCs w:val="14"/>
              </w:rPr>
              <w:t xml:space="preserve">Catastrophic </w:t>
            </w:r>
          </w:p>
          <w:p w14:paraId="6AF66895" w14:textId="77777777" w:rsidR="00CD55F1" w:rsidRPr="005B7BEE" w:rsidRDefault="00CD55F1" w:rsidP="00FD6C43">
            <w:pPr>
              <w:jc w:val="center"/>
              <w:rPr>
                <w:sz w:val="14"/>
                <w:szCs w:val="14"/>
              </w:rPr>
            </w:pPr>
            <w:r w:rsidRPr="005B7BEE">
              <w:rPr>
                <w:sz w:val="14"/>
                <w:szCs w:val="14"/>
              </w:rPr>
              <w:t>/ Fatal</w:t>
            </w:r>
          </w:p>
        </w:tc>
        <w:tc>
          <w:tcPr>
            <w:tcW w:w="0" w:type="auto"/>
            <w:tcBorders>
              <w:top w:val="nil"/>
              <w:left w:val="nil"/>
              <w:bottom w:val="nil"/>
              <w:right w:val="nil"/>
            </w:tcBorders>
          </w:tcPr>
          <w:p w14:paraId="0A17106C" w14:textId="77777777" w:rsidR="00CD55F1" w:rsidRPr="005B7BEE" w:rsidRDefault="00CD55F1" w:rsidP="00FD6C43">
            <w:pPr>
              <w:jc w:val="center"/>
              <w:rPr>
                <w:sz w:val="14"/>
                <w:szCs w:val="14"/>
              </w:rPr>
            </w:pPr>
          </w:p>
        </w:tc>
        <w:tc>
          <w:tcPr>
            <w:tcW w:w="0" w:type="auto"/>
            <w:tcBorders>
              <w:top w:val="nil"/>
              <w:left w:val="nil"/>
              <w:bottom w:val="single" w:sz="12" w:space="0" w:color="auto"/>
            </w:tcBorders>
            <w:vAlign w:val="center"/>
          </w:tcPr>
          <w:p w14:paraId="31DDAF1D" w14:textId="77777777" w:rsidR="00CD55F1" w:rsidRPr="005B7BEE" w:rsidRDefault="00000000" w:rsidP="00FD6C43">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093C800" w14:textId="77777777" w:rsidR="00CD55F1" w:rsidRPr="005B7BEE" w:rsidRDefault="00CD55F1" w:rsidP="00FD6C43">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606C6105" w14:textId="77777777" w:rsidR="00CD55F1" w:rsidRPr="005B7BEE" w:rsidRDefault="00CD55F1" w:rsidP="00FD6C43">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38D2DF6C" w14:textId="77777777" w:rsidR="00CD55F1" w:rsidRPr="005B7BEE" w:rsidRDefault="00CD55F1" w:rsidP="00FD6C43">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0CD20D93" w14:textId="77777777" w:rsidR="00CD55F1" w:rsidRPr="005B7BEE" w:rsidRDefault="00CD55F1" w:rsidP="00FD6C43">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15F83FC" w14:textId="77777777" w:rsidR="00CD55F1" w:rsidRPr="005B7BEE" w:rsidRDefault="00CD55F1" w:rsidP="00FD6C43">
            <w:pPr>
              <w:jc w:val="center"/>
              <w:rPr>
                <w:sz w:val="14"/>
                <w:szCs w:val="14"/>
              </w:rPr>
            </w:pPr>
            <w:r w:rsidRPr="005B7BEE">
              <w:rPr>
                <w:sz w:val="14"/>
                <w:szCs w:val="14"/>
              </w:rPr>
              <w:t xml:space="preserve">Catastrophic </w:t>
            </w:r>
          </w:p>
          <w:p w14:paraId="7857549A" w14:textId="77777777" w:rsidR="00CD55F1" w:rsidRDefault="00CD55F1" w:rsidP="00FD6C43">
            <w:pPr>
              <w:jc w:val="center"/>
              <w:rPr>
                <w:rFonts w:ascii="Calibri" w:eastAsia="Calibri" w:hAnsi="Calibri" w:cs="Times New Roman"/>
              </w:rPr>
            </w:pPr>
            <w:r w:rsidRPr="005B7BEE">
              <w:rPr>
                <w:sz w:val="14"/>
                <w:szCs w:val="14"/>
              </w:rPr>
              <w:t>/ Fatal</w:t>
            </w:r>
          </w:p>
        </w:tc>
      </w:tr>
      <w:tr w:rsidR="00CD55F1" w:rsidRPr="00F60A9B" w14:paraId="4AEECEE2" w14:textId="77777777" w:rsidTr="00024DD9">
        <w:trPr>
          <w:jc w:val="center"/>
        </w:trPr>
        <w:tc>
          <w:tcPr>
            <w:tcW w:w="0" w:type="auto"/>
            <w:tcBorders>
              <w:top w:val="single" w:sz="4" w:space="0" w:color="auto"/>
              <w:right w:val="single" w:sz="12" w:space="0" w:color="auto"/>
            </w:tcBorders>
          </w:tcPr>
          <w:p w14:paraId="731F8288"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1ADF9A7D" w14:textId="77777777" w:rsidR="00CD55F1" w:rsidRPr="00F60A9B" w:rsidRDefault="00CD55F1" w:rsidP="00024DD9">
            <w:pPr>
              <w:jc w:val="center"/>
            </w:pPr>
            <w:r>
              <w:t>0</w:t>
            </w:r>
          </w:p>
        </w:tc>
        <w:tc>
          <w:tcPr>
            <w:tcW w:w="0" w:type="auto"/>
            <w:tcBorders>
              <w:top w:val="single" w:sz="12" w:space="0" w:color="auto"/>
            </w:tcBorders>
            <w:vAlign w:val="center"/>
          </w:tcPr>
          <w:p w14:paraId="0F366349" w14:textId="77777777" w:rsidR="00CD55F1" w:rsidRPr="00210DD1" w:rsidRDefault="00CD55F1" w:rsidP="00024DD9">
            <w:pPr>
              <w:jc w:val="center"/>
            </w:pPr>
            <w:r>
              <w:t>0</w:t>
            </w:r>
          </w:p>
        </w:tc>
        <w:tc>
          <w:tcPr>
            <w:tcW w:w="0" w:type="auto"/>
            <w:tcBorders>
              <w:top w:val="single" w:sz="12" w:space="0" w:color="auto"/>
            </w:tcBorders>
            <w:vAlign w:val="center"/>
          </w:tcPr>
          <w:p w14:paraId="348BB200" w14:textId="77777777" w:rsidR="00CD55F1" w:rsidRPr="00210DD1" w:rsidRDefault="00CD55F1" w:rsidP="00024DD9">
            <w:pPr>
              <w:jc w:val="center"/>
            </w:pPr>
            <w:r>
              <w:t>0</w:t>
            </w:r>
          </w:p>
        </w:tc>
        <w:tc>
          <w:tcPr>
            <w:tcW w:w="0" w:type="auto"/>
            <w:tcBorders>
              <w:top w:val="single" w:sz="12" w:space="0" w:color="auto"/>
            </w:tcBorders>
            <w:vAlign w:val="center"/>
          </w:tcPr>
          <w:p w14:paraId="6E38729A" w14:textId="77777777" w:rsidR="00CD55F1" w:rsidRPr="00210DD1" w:rsidRDefault="00CD55F1" w:rsidP="00024DD9">
            <w:pPr>
              <w:jc w:val="center"/>
            </w:pPr>
            <w:r>
              <w:t>0</w:t>
            </w:r>
          </w:p>
        </w:tc>
        <w:tc>
          <w:tcPr>
            <w:tcW w:w="0" w:type="auto"/>
            <w:tcBorders>
              <w:top w:val="single" w:sz="12" w:space="0" w:color="auto"/>
            </w:tcBorders>
            <w:vAlign w:val="center"/>
          </w:tcPr>
          <w:p w14:paraId="06917E87" w14:textId="77777777" w:rsidR="00CD55F1" w:rsidRPr="00F60A9B" w:rsidRDefault="00CD55F1" w:rsidP="00024DD9">
            <w:pPr>
              <w:jc w:val="center"/>
            </w:pPr>
            <w:r>
              <w:t>0</w:t>
            </w:r>
          </w:p>
        </w:tc>
        <w:tc>
          <w:tcPr>
            <w:tcW w:w="0" w:type="auto"/>
            <w:tcBorders>
              <w:top w:val="nil"/>
              <w:left w:val="nil"/>
              <w:bottom w:val="nil"/>
              <w:right w:val="nil"/>
            </w:tcBorders>
            <w:vAlign w:val="center"/>
          </w:tcPr>
          <w:p w14:paraId="16AFA8D5" w14:textId="77777777" w:rsidR="00CD55F1" w:rsidRDefault="00CD55F1" w:rsidP="00024DD9">
            <w:pPr>
              <w:jc w:val="center"/>
            </w:pPr>
          </w:p>
        </w:tc>
        <w:tc>
          <w:tcPr>
            <w:tcW w:w="0" w:type="auto"/>
            <w:tcBorders>
              <w:top w:val="single" w:sz="12" w:space="0" w:color="auto"/>
            </w:tcBorders>
            <w:vAlign w:val="center"/>
          </w:tcPr>
          <w:p w14:paraId="6BECB829"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7361F35A" w14:textId="77777777" w:rsidR="00CD55F1" w:rsidRDefault="00CD55F1" w:rsidP="00024DD9">
            <w:pPr>
              <w:jc w:val="center"/>
            </w:pPr>
            <w:r>
              <w:t>0</w:t>
            </w:r>
          </w:p>
        </w:tc>
        <w:tc>
          <w:tcPr>
            <w:tcW w:w="0" w:type="auto"/>
            <w:tcBorders>
              <w:top w:val="single" w:sz="12" w:space="0" w:color="auto"/>
            </w:tcBorders>
            <w:vAlign w:val="center"/>
          </w:tcPr>
          <w:p w14:paraId="0FC1CAA5" w14:textId="77777777" w:rsidR="00CD55F1" w:rsidRDefault="00CD55F1" w:rsidP="00024DD9">
            <w:pPr>
              <w:jc w:val="center"/>
            </w:pPr>
            <w:r>
              <w:t>0</w:t>
            </w:r>
          </w:p>
        </w:tc>
        <w:tc>
          <w:tcPr>
            <w:tcW w:w="0" w:type="auto"/>
            <w:tcBorders>
              <w:top w:val="single" w:sz="12" w:space="0" w:color="auto"/>
            </w:tcBorders>
            <w:vAlign w:val="center"/>
          </w:tcPr>
          <w:p w14:paraId="1887D4AA" w14:textId="77777777" w:rsidR="00CD55F1" w:rsidRDefault="00CD55F1" w:rsidP="00024DD9">
            <w:pPr>
              <w:jc w:val="center"/>
            </w:pPr>
            <w:r>
              <w:t>0</w:t>
            </w:r>
          </w:p>
        </w:tc>
        <w:tc>
          <w:tcPr>
            <w:tcW w:w="0" w:type="auto"/>
            <w:tcBorders>
              <w:top w:val="single" w:sz="12" w:space="0" w:color="auto"/>
            </w:tcBorders>
            <w:vAlign w:val="center"/>
          </w:tcPr>
          <w:p w14:paraId="2DF6447E" w14:textId="77777777" w:rsidR="00CD55F1" w:rsidRDefault="00CD55F1" w:rsidP="00024DD9">
            <w:pPr>
              <w:jc w:val="center"/>
            </w:pPr>
            <w:r>
              <w:t>0</w:t>
            </w:r>
          </w:p>
        </w:tc>
        <w:tc>
          <w:tcPr>
            <w:tcW w:w="0" w:type="auto"/>
            <w:tcBorders>
              <w:top w:val="single" w:sz="12" w:space="0" w:color="auto"/>
            </w:tcBorders>
            <w:vAlign w:val="center"/>
          </w:tcPr>
          <w:p w14:paraId="5BAE5B3B" w14:textId="77777777" w:rsidR="00CD55F1" w:rsidRDefault="00CD55F1" w:rsidP="00024DD9">
            <w:pPr>
              <w:jc w:val="center"/>
            </w:pPr>
            <w:r>
              <w:t>0</w:t>
            </w:r>
          </w:p>
        </w:tc>
      </w:tr>
      <w:tr w:rsidR="00CD55F1" w:rsidRPr="00F60A9B" w14:paraId="3A10C3B6" w14:textId="77777777" w:rsidTr="00024DD9">
        <w:trPr>
          <w:jc w:val="center"/>
        </w:trPr>
        <w:tc>
          <w:tcPr>
            <w:tcW w:w="0" w:type="auto"/>
            <w:tcBorders>
              <w:right w:val="single" w:sz="12" w:space="0" w:color="auto"/>
            </w:tcBorders>
          </w:tcPr>
          <w:p w14:paraId="468395E2"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4119DA84" w14:textId="77777777" w:rsidR="00CD55F1" w:rsidRDefault="00CD55F1" w:rsidP="00024DD9">
            <w:pPr>
              <w:jc w:val="center"/>
            </w:pPr>
            <w:r>
              <w:t>0</w:t>
            </w:r>
          </w:p>
        </w:tc>
        <w:tc>
          <w:tcPr>
            <w:tcW w:w="0" w:type="auto"/>
            <w:vAlign w:val="center"/>
          </w:tcPr>
          <w:p w14:paraId="17E0C482" w14:textId="77777777" w:rsidR="00CD55F1" w:rsidRPr="00210DD1" w:rsidRDefault="00CD55F1" w:rsidP="00024DD9">
            <w:pPr>
              <w:jc w:val="center"/>
            </w:pPr>
            <w:r>
              <w:t>0</w:t>
            </w:r>
          </w:p>
        </w:tc>
        <w:tc>
          <w:tcPr>
            <w:tcW w:w="0" w:type="auto"/>
            <w:vAlign w:val="center"/>
          </w:tcPr>
          <w:p w14:paraId="24DF7ECD" w14:textId="77777777" w:rsidR="00CD55F1" w:rsidRPr="00210DD1" w:rsidRDefault="00CD55F1" w:rsidP="00024DD9">
            <w:pPr>
              <w:jc w:val="center"/>
            </w:pPr>
            <w:r>
              <w:t>0</w:t>
            </w:r>
          </w:p>
        </w:tc>
        <w:tc>
          <w:tcPr>
            <w:tcW w:w="0" w:type="auto"/>
            <w:vAlign w:val="center"/>
          </w:tcPr>
          <w:p w14:paraId="2D105491" w14:textId="77777777" w:rsidR="00CD55F1" w:rsidRPr="00210DD1" w:rsidRDefault="00CD55F1" w:rsidP="00024DD9">
            <w:pPr>
              <w:jc w:val="center"/>
            </w:pPr>
            <w:r>
              <w:t>0</w:t>
            </w:r>
          </w:p>
        </w:tc>
        <w:tc>
          <w:tcPr>
            <w:tcW w:w="0" w:type="auto"/>
            <w:vAlign w:val="center"/>
          </w:tcPr>
          <w:p w14:paraId="66890D33" w14:textId="77777777" w:rsidR="00CD55F1" w:rsidRDefault="00CD55F1" w:rsidP="00024DD9">
            <w:pPr>
              <w:jc w:val="center"/>
            </w:pPr>
            <w:r>
              <w:t>0</w:t>
            </w:r>
          </w:p>
        </w:tc>
        <w:tc>
          <w:tcPr>
            <w:tcW w:w="0" w:type="auto"/>
            <w:tcBorders>
              <w:top w:val="nil"/>
              <w:left w:val="nil"/>
              <w:bottom w:val="nil"/>
              <w:right w:val="nil"/>
            </w:tcBorders>
            <w:vAlign w:val="center"/>
          </w:tcPr>
          <w:p w14:paraId="32CC4528" w14:textId="77777777" w:rsidR="00CD55F1" w:rsidRDefault="00CD55F1" w:rsidP="00024DD9">
            <w:pPr>
              <w:jc w:val="center"/>
            </w:pPr>
          </w:p>
        </w:tc>
        <w:tc>
          <w:tcPr>
            <w:tcW w:w="0" w:type="auto"/>
            <w:vAlign w:val="center"/>
          </w:tcPr>
          <w:p w14:paraId="6185CB06" w14:textId="77777777" w:rsidR="00CD55F1" w:rsidRPr="005B7BEE" w:rsidRDefault="00CD55F1" w:rsidP="00024DD9">
            <w:pPr>
              <w:jc w:val="center"/>
              <w:rPr>
                <w:sz w:val="14"/>
                <w:szCs w:val="14"/>
              </w:rPr>
            </w:pPr>
            <w:r>
              <w:rPr>
                <w:sz w:val="14"/>
                <w:szCs w:val="14"/>
              </w:rPr>
              <w:t>Often</w:t>
            </w:r>
          </w:p>
        </w:tc>
        <w:tc>
          <w:tcPr>
            <w:tcW w:w="0" w:type="auto"/>
            <w:vAlign w:val="center"/>
          </w:tcPr>
          <w:p w14:paraId="64CA878F" w14:textId="77777777" w:rsidR="00CD55F1" w:rsidRDefault="00CD55F1" w:rsidP="00024DD9">
            <w:pPr>
              <w:jc w:val="center"/>
            </w:pPr>
            <w:r>
              <w:t>0</w:t>
            </w:r>
          </w:p>
        </w:tc>
        <w:tc>
          <w:tcPr>
            <w:tcW w:w="0" w:type="auto"/>
            <w:vAlign w:val="center"/>
          </w:tcPr>
          <w:p w14:paraId="48BF65BF" w14:textId="77777777" w:rsidR="00CD55F1" w:rsidRPr="00210DD1" w:rsidRDefault="00CD55F1" w:rsidP="00024DD9">
            <w:pPr>
              <w:jc w:val="center"/>
            </w:pPr>
            <w:r>
              <w:t>0</w:t>
            </w:r>
          </w:p>
        </w:tc>
        <w:tc>
          <w:tcPr>
            <w:tcW w:w="0" w:type="auto"/>
            <w:vAlign w:val="center"/>
          </w:tcPr>
          <w:p w14:paraId="71AF2055" w14:textId="77777777" w:rsidR="00CD55F1" w:rsidRPr="00210DD1" w:rsidRDefault="00CD55F1" w:rsidP="00024DD9">
            <w:pPr>
              <w:jc w:val="center"/>
            </w:pPr>
            <w:r>
              <w:t>0</w:t>
            </w:r>
          </w:p>
        </w:tc>
        <w:tc>
          <w:tcPr>
            <w:tcW w:w="0" w:type="auto"/>
            <w:vAlign w:val="center"/>
          </w:tcPr>
          <w:p w14:paraId="667855D0" w14:textId="77777777" w:rsidR="00CD55F1" w:rsidRPr="00210DD1" w:rsidRDefault="00CD55F1" w:rsidP="00024DD9">
            <w:pPr>
              <w:jc w:val="center"/>
            </w:pPr>
            <w:r>
              <w:t>0</w:t>
            </w:r>
          </w:p>
        </w:tc>
        <w:tc>
          <w:tcPr>
            <w:tcW w:w="0" w:type="auto"/>
            <w:vAlign w:val="center"/>
          </w:tcPr>
          <w:p w14:paraId="3180ECFF" w14:textId="77777777" w:rsidR="00CD55F1" w:rsidRDefault="00CD55F1" w:rsidP="00024DD9">
            <w:pPr>
              <w:jc w:val="center"/>
            </w:pPr>
            <w:r>
              <w:t>0</w:t>
            </w:r>
          </w:p>
        </w:tc>
      </w:tr>
      <w:tr w:rsidR="00CD55F1" w:rsidRPr="00F60A9B" w14:paraId="033CD0BD" w14:textId="77777777" w:rsidTr="00374958">
        <w:trPr>
          <w:jc w:val="center"/>
        </w:trPr>
        <w:tc>
          <w:tcPr>
            <w:tcW w:w="0" w:type="auto"/>
            <w:tcBorders>
              <w:right w:val="single" w:sz="12" w:space="0" w:color="auto"/>
            </w:tcBorders>
          </w:tcPr>
          <w:p w14:paraId="3030E520"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shd w:val="clear" w:color="auto" w:fill="D5DCE4" w:themeFill="text2" w:themeFillTint="33"/>
            <w:vAlign w:val="center"/>
          </w:tcPr>
          <w:p w14:paraId="5ED2C574" w14:textId="77777777" w:rsidR="00CD55F1" w:rsidRDefault="00CD55F1" w:rsidP="00024DD9">
            <w:pPr>
              <w:jc w:val="center"/>
            </w:pPr>
            <w:r>
              <w:rPr>
                <w:rFonts w:ascii="Calibri" w:hAnsi="Calibri" w:cs="Calibri"/>
              </w:rPr>
              <w:t>2</w:t>
            </w:r>
          </w:p>
        </w:tc>
        <w:tc>
          <w:tcPr>
            <w:tcW w:w="0" w:type="auto"/>
            <w:vAlign w:val="center"/>
          </w:tcPr>
          <w:p w14:paraId="56EDE242" w14:textId="77777777" w:rsidR="00CD55F1" w:rsidRPr="00210DD1" w:rsidRDefault="00CD55F1" w:rsidP="00024DD9">
            <w:pPr>
              <w:jc w:val="center"/>
            </w:pPr>
            <w:r w:rsidRPr="00F60A9B">
              <w:rPr>
                <w:rFonts w:ascii="Calibri" w:hAnsi="Calibri" w:cs="Calibri"/>
              </w:rPr>
              <w:t>1</w:t>
            </w:r>
          </w:p>
        </w:tc>
        <w:tc>
          <w:tcPr>
            <w:tcW w:w="0" w:type="auto"/>
            <w:vAlign w:val="center"/>
          </w:tcPr>
          <w:p w14:paraId="7F0DE620" w14:textId="77777777" w:rsidR="00CD55F1" w:rsidRPr="00210DD1" w:rsidRDefault="00CD55F1" w:rsidP="00024DD9">
            <w:pPr>
              <w:jc w:val="center"/>
            </w:pPr>
            <w:r w:rsidRPr="00F60A9B">
              <w:rPr>
                <w:rFonts w:ascii="Calibri" w:hAnsi="Calibri" w:cs="Calibri"/>
              </w:rPr>
              <w:t>3</w:t>
            </w:r>
          </w:p>
        </w:tc>
        <w:tc>
          <w:tcPr>
            <w:tcW w:w="0" w:type="auto"/>
            <w:vAlign w:val="center"/>
          </w:tcPr>
          <w:p w14:paraId="534245E5" w14:textId="77777777" w:rsidR="00CD55F1" w:rsidRPr="00210DD1" w:rsidRDefault="00CD55F1" w:rsidP="00024DD9">
            <w:pPr>
              <w:jc w:val="center"/>
            </w:pPr>
            <w:r w:rsidRPr="00F60A9B">
              <w:rPr>
                <w:rFonts w:ascii="Calibri" w:hAnsi="Calibri" w:cs="Calibri"/>
              </w:rPr>
              <w:t>0</w:t>
            </w:r>
          </w:p>
        </w:tc>
        <w:tc>
          <w:tcPr>
            <w:tcW w:w="0" w:type="auto"/>
            <w:vAlign w:val="center"/>
          </w:tcPr>
          <w:p w14:paraId="30804E2A"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45437148" w14:textId="77777777" w:rsidR="00CD55F1" w:rsidRDefault="00CD55F1" w:rsidP="00024DD9">
            <w:pPr>
              <w:jc w:val="center"/>
            </w:pPr>
          </w:p>
        </w:tc>
        <w:tc>
          <w:tcPr>
            <w:tcW w:w="0" w:type="auto"/>
            <w:vAlign w:val="center"/>
          </w:tcPr>
          <w:p w14:paraId="475DB0B2" w14:textId="77777777" w:rsidR="00CD55F1" w:rsidRPr="005B7BEE" w:rsidRDefault="00CD55F1" w:rsidP="00024DD9">
            <w:pPr>
              <w:jc w:val="center"/>
              <w:rPr>
                <w:sz w:val="14"/>
                <w:szCs w:val="14"/>
              </w:rPr>
            </w:pPr>
            <w:r w:rsidRPr="005B7BEE">
              <w:rPr>
                <w:sz w:val="14"/>
                <w:szCs w:val="14"/>
              </w:rPr>
              <w:t>Frequent</w:t>
            </w:r>
          </w:p>
        </w:tc>
        <w:tc>
          <w:tcPr>
            <w:tcW w:w="0" w:type="auto"/>
            <w:shd w:val="clear" w:color="auto" w:fill="D5DCE4" w:themeFill="text2" w:themeFillTint="33"/>
            <w:vAlign w:val="center"/>
          </w:tcPr>
          <w:p w14:paraId="705078D3" w14:textId="77777777" w:rsidR="00CD55F1" w:rsidRDefault="00CD55F1" w:rsidP="00024DD9">
            <w:pPr>
              <w:jc w:val="center"/>
            </w:pPr>
            <w:r>
              <w:rPr>
                <w:rFonts w:ascii="Calibri" w:hAnsi="Calibri" w:cs="Calibri"/>
              </w:rPr>
              <w:t>0</w:t>
            </w:r>
          </w:p>
        </w:tc>
        <w:tc>
          <w:tcPr>
            <w:tcW w:w="0" w:type="auto"/>
            <w:vAlign w:val="center"/>
          </w:tcPr>
          <w:p w14:paraId="5A382086" w14:textId="77777777" w:rsidR="00CD55F1" w:rsidRPr="00210DD1" w:rsidRDefault="00CD55F1" w:rsidP="00024DD9">
            <w:pPr>
              <w:jc w:val="center"/>
            </w:pPr>
            <w:r w:rsidRPr="00F60A9B">
              <w:rPr>
                <w:rFonts w:ascii="Calibri" w:hAnsi="Calibri" w:cs="Calibri"/>
              </w:rPr>
              <w:t>4</w:t>
            </w:r>
          </w:p>
        </w:tc>
        <w:tc>
          <w:tcPr>
            <w:tcW w:w="0" w:type="auto"/>
            <w:vAlign w:val="center"/>
          </w:tcPr>
          <w:p w14:paraId="3644A7D8" w14:textId="77777777" w:rsidR="00CD55F1" w:rsidRPr="00210DD1" w:rsidRDefault="00CD55F1" w:rsidP="00024DD9">
            <w:pPr>
              <w:jc w:val="center"/>
            </w:pPr>
            <w:r w:rsidRPr="00F60A9B">
              <w:rPr>
                <w:rFonts w:ascii="Calibri" w:hAnsi="Calibri" w:cs="Calibri"/>
              </w:rPr>
              <w:t>0</w:t>
            </w:r>
          </w:p>
        </w:tc>
        <w:tc>
          <w:tcPr>
            <w:tcW w:w="0" w:type="auto"/>
            <w:vAlign w:val="center"/>
          </w:tcPr>
          <w:p w14:paraId="02E7EA48" w14:textId="77777777" w:rsidR="00CD55F1" w:rsidRPr="00210DD1" w:rsidRDefault="00CD55F1" w:rsidP="00024DD9">
            <w:pPr>
              <w:jc w:val="center"/>
            </w:pPr>
            <w:r w:rsidRPr="00F60A9B">
              <w:rPr>
                <w:rFonts w:ascii="Calibri" w:hAnsi="Calibri" w:cs="Calibri"/>
              </w:rPr>
              <w:t>0</w:t>
            </w:r>
          </w:p>
        </w:tc>
        <w:tc>
          <w:tcPr>
            <w:tcW w:w="0" w:type="auto"/>
            <w:vAlign w:val="center"/>
          </w:tcPr>
          <w:p w14:paraId="16137359" w14:textId="77777777" w:rsidR="00CD55F1" w:rsidRDefault="00CD55F1" w:rsidP="00024DD9">
            <w:pPr>
              <w:jc w:val="center"/>
            </w:pPr>
            <w:r w:rsidRPr="00F60A9B">
              <w:rPr>
                <w:rFonts w:ascii="Calibri" w:hAnsi="Calibri" w:cs="Calibri"/>
              </w:rPr>
              <w:t>0</w:t>
            </w:r>
          </w:p>
        </w:tc>
      </w:tr>
      <w:tr w:rsidR="00CD55F1" w:rsidRPr="00F60A9B" w14:paraId="0BC73DEE" w14:textId="77777777" w:rsidTr="00024DD9">
        <w:trPr>
          <w:jc w:val="center"/>
        </w:trPr>
        <w:tc>
          <w:tcPr>
            <w:tcW w:w="0" w:type="auto"/>
            <w:tcBorders>
              <w:right w:val="single" w:sz="12" w:space="0" w:color="auto"/>
            </w:tcBorders>
          </w:tcPr>
          <w:p w14:paraId="4F209E01"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vAlign w:val="center"/>
          </w:tcPr>
          <w:p w14:paraId="315A60D0" w14:textId="77777777" w:rsidR="00CD55F1" w:rsidRPr="00F60A9B" w:rsidRDefault="00CD55F1" w:rsidP="00024DD9">
            <w:pPr>
              <w:jc w:val="center"/>
            </w:pPr>
            <w:r w:rsidRPr="00F60A9B">
              <w:rPr>
                <w:rFonts w:ascii="Calibri" w:hAnsi="Calibri" w:cs="Calibri"/>
              </w:rPr>
              <w:t>4</w:t>
            </w:r>
          </w:p>
        </w:tc>
        <w:tc>
          <w:tcPr>
            <w:tcW w:w="0" w:type="auto"/>
            <w:vAlign w:val="center"/>
          </w:tcPr>
          <w:p w14:paraId="7340CAE0" w14:textId="77777777" w:rsidR="00CD55F1" w:rsidRPr="00210DD1" w:rsidRDefault="00CD55F1" w:rsidP="00024DD9">
            <w:pPr>
              <w:jc w:val="center"/>
            </w:pPr>
            <w:r w:rsidRPr="00F60A9B">
              <w:rPr>
                <w:rFonts w:ascii="Calibri" w:hAnsi="Calibri" w:cs="Calibri"/>
              </w:rPr>
              <w:t>3</w:t>
            </w:r>
          </w:p>
        </w:tc>
        <w:tc>
          <w:tcPr>
            <w:tcW w:w="0" w:type="auto"/>
            <w:vAlign w:val="center"/>
          </w:tcPr>
          <w:p w14:paraId="17B3DFE0" w14:textId="77777777" w:rsidR="00CD55F1" w:rsidRPr="00210DD1" w:rsidRDefault="00CD55F1" w:rsidP="00024DD9">
            <w:pPr>
              <w:jc w:val="center"/>
            </w:pPr>
            <w:r w:rsidRPr="00F60A9B">
              <w:rPr>
                <w:rFonts w:ascii="Calibri" w:hAnsi="Calibri" w:cs="Calibri"/>
              </w:rPr>
              <w:t>4</w:t>
            </w:r>
          </w:p>
        </w:tc>
        <w:tc>
          <w:tcPr>
            <w:tcW w:w="0" w:type="auto"/>
            <w:vAlign w:val="center"/>
          </w:tcPr>
          <w:p w14:paraId="6AA04873" w14:textId="77777777" w:rsidR="00CD55F1" w:rsidRPr="00210DD1" w:rsidRDefault="00CD55F1" w:rsidP="00024DD9">
            <w:pPr>
              <w:jc w:val="center"/>
            </w:pPr>
            <w:r w:rsidRPr="00F60A9B">
              <w:rPr>
                <w:rFonts w:ascii="Calibri" w:hAnsi="Calibri" w:cs="Calibri"/>
              </w:rPr>
              <w:t>0</w:t>
            </w:r>
          </w:p>
        </w:tc>
        <w:tc>
          <w:tcPr>
            <w:tcW w:w="0" w:type="auto"/>
            <w:vAlign w:val="center"/>
          </w:tcPr>
          <w:p w14:paraId="220846D6"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3292382A"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2E81747B" w14:textId="77777777" w:rsidR="00CD55F1" w:rsidRDefault="00CD55F1" w:rsidP="00024DD9">
            <w:pPr>
              <w:jc w:val="center"/>
            </w:pPr>
            <w:r w:rsidRPr="005B7BEE">
              <w:rPr>
                <w:sz w:val="14"/>
                <w:szCs w:val="14"/>
              </w:rPr>
              <w:t>Probable</w:t>
            </w:r>
          </w:p>
        </w:tc>
        <w:tc>
          <w:tcPr>
            <w:tcW w:w="0" w:type="auto"/>
            <w:vAlign w:val="center"/>
          </w:tcPr>
          <w:p w14:paraId="375E68A1" w14:textId="77777777" w:rsidR="00CD55F1" w:rsidRDefault="00CD55F1" w:rsidP="00024DD9">
            <w:pPr>
              <w:jc w:val="center"/>
            </w:pPr>
            <w:r w:rsidRPr="00F60A9B">
              <w:rPr>
                <w:rFonts w:ascii="Calibri" w:hAnsi="Calibri" w:cs="Calibri"/>
              </w:rPr>
              <w:t>15</w:t>
            </w:r>
          </w:p>
        </w:tc>
        <w:tc>
          <w:tcPr>
            <w:tcW w:w="0" w:type="auto"/>
            <w:vAlign w:val="center"/>
          </w:tcPr>
          <w:p w14:paraId="3BE0A914" w14:textId="77777777" w:rsidR="00CD55F1" w:rsidRDefault="00CD55F1" w:rsidP="00024DD9">
            <w:pPr>
              <w:jc w:val="center"/>
            </w:pPr>
            <w:r w:rsidRPr="00F60A9B">
              <w:rPr>
                <w:rFonts w:ascii="Calibri" w:hAnsi="Calibri" w:cs="Calibri"/>
              </w:rPr>
              <w:t>4</w:t>
            </w:r>
          </w:p>
        </w:tc>
        <w:tc>
          <w:tcPr>
            <w:tcW w:w="0" w:type="auto"/>
            <w:vAlign w:val="center"/>
          </w:tcPr>
          <w:p w14:paraId="34C32DC5" w14:textId="77777777" w:rsidR="00CD55F1" w:rsidRDefault="00CD55F1" w:rsidP="00024DD9">
            <w:pPr>
              <w:jc w:val="center"/>
            </w:pPr>
            <w:r w:rsidRPr="00F60A9B">
              <w:rPr>
                <w:rFonts w:ascii="Calibri" w:hAnsi="Calibri" w:cs="Calibri"/>
              </w:rPr>
              <w:t>2</w:t>
            </w:r>
          </w:p>
        </w:tc>
        <w:tc>
          <w:tcPr>
            <w:tcW w:w="0" w:type="auto"/>
            <w:vAlign w:val="center"/>
          </w:tcPr>
          <w:p w14:paraId="3EBFBFAD" w14:textId="77777777" w:rsidR="00CD55F1" w:rsidRDefault="00CD55F1" w:rsidP="00024DD9">
            <w:pPr>
              <w:jc w:val="center"/>
            </w:pPr>
            <w:r w:rsidRPr="00F60A9B">
              <w:rPr>
                <w:rFonts w:ascii="Calibri" w:hAnsi="Calibri" w:cs="Calibri"/>
              </w:rPr>
              <w:t>1</w:t>
            </w:r>
          </w:p>
        </w:tc>
        <w:tc>
          <w:tcPr>
            <w:tcW w:w="0" w:type="auto"/>
            <w:vAlign w:val="center"/>
          </w:tcPr>
          <w:p w14:paraId="5D2912E8" w14:textId="77777777" w:rsidR="00CD55F1" w:rsidRDefault="00CD55F1" w:rsidP="00024DD9">
            <w:pPr>
              <w:jc w:val="center"/>
            </w:pPr>
            <w:r w:rsidRPr="00F60A9B">
              <w:rPr>
                <w:rFonts w:ascii="Calibri" w:hAnsi="Calibri" w:cs="Calibri"/>
              </w:rPr>
              <w:t>0</w:t>
            </w:r>
          </w:p>
        </w:tc>
      </w:tr>
      <w:tr w:rsidR="00CD55F1" w:rsidRPr="00F60A9B" w14:paraId="508FC6BD" w14:textId="77777777" w:rsidTr="00024DD9">
        <w:trPr>
          <w:jc w:val="center"/>
        </w:trPr>
        <w:tc>
          <w:tcPr>
            <w:tcW w:w="0" w:type="auto"/>
            <w:tcBorders>
              <w:right w:val="single" w:sz="12" w:space="0" w:color="auto"/>
            </w:tcBorders>
          </w:tcPr>
          <w:p w14:paraId="759F794C"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vAlign w:val="center"/>
          </w:tcPr>
          <w:p w14:paraId="01FD4E67" w14:textId="77777777" w:rsidR="00CD55F1" w:rsidRPr="00F60A9B" w:rsidRDefault="00CD55F1" w:rsidP="00024DD9">
            <w:pPr>
              <w:jc w:val="center"/>
            </w:pPr>
            <w:r w:rsidRPr="00F60A9B">
              <w:rPr>
                <w:rFonts w:ascii="Calibri" w:hAnsi="Calibri" w:cs="Calibri"/>
              </w:rPr>
              <w:t>3</w:t>
            </w:r>
          </w:p>
        </w:tc>
        <w:tc>
          <w:tcPr>
            <w:tcW w:w="0" w:type="auto"/>
            <w:vAlign w:val="center"/>
          </w:tcPr>
          <w:p w14:paraId="6DB56735" w14:textId="77777777" w:rsidR="00CD55F1" w:rsidRPr="00210DD1" w:rsidRDefault="00CD55F1" w:rsidP="00024DD9">
            <w:pPr>
              <w:jc w:val="center"/>
            </w:pPr>
            <w:r w:rsidRPr="00F60A9B">
              <w:rPr>
                <w:rFonts w:ascii="Calibri" w:hAnsi="Calibri" w:cs="Calibri"/>
              </w:rPr>
              <w:t>0</w:t>
            </w:r>
          </w:p>
        </w:tc>
        <w:tc>
          <w:tcPr>
            <w:tcW w:w="0" w:type="auto"/>
            <w:vAlign w:val="center"/>
          </w:tcPr>
          <w:p w14:paraId="63455962" w14:textId="77777777" w:rsidR="00CD55F1" w:rsidRPr="00210DD1" w:rsidRDefault="00CD55F1" w:rsidP="00024DD9">
            <w:pPr>
              <w:jc w:val="center"/>
            </w:pPr>
            <w:r w:rsidRPr="00F60A9B">
              <w:rPr>
                <w:rFonts w:ascii="Calibri" w:hAnsi="Calibri" w:cs="Calibri"/>
              </w:rPr>
              <w:t>2</w:t>
            </w:r>
          </w:p>
        </w:tc>
        <w:tc>
          <w:tcPr>
            <w:tcW w:w="0" w:type="auto"/>
            <w:vAlign w:val="center"/>
          </w:tcPr>
          <w:p w14:paraId="7683028E" w14:textId="77777777" w:rsidR="00CD55F1" w:rsidRPr="00210DD1" w:rsidRDefault="00CD55F1" w:rsidP="00024DD9">
            <w:pPr>
              <w:jc w:val="center"/>
            </w:pPr>
            <w:r w:rsidRPr="00F60A9B">
              <w:rPr>
                <w:rFonts w:ascii="Calibri" w:hAnsi="Calibri" w:cs="Calibri"/>
              </w:rPr>
              <w:t>3</w:t>
            </w:r>
          </w:p>
        </w:tc>
        <w:tc>
          <w:tcPr>
            <w:tcW w:w="0" w:type="auto"/>
            <w:vAlign w:val="center"/>
          </w:tcPr>
          <w:p w14:paraId="1B05E864"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4CB0FFE5" w14:textId="77777777" w:rsidR="00CD55F1" w:rsidRDefault="00CD55F1" w:rsidP="00024DD9">
            <w:pPr>
              <w:jc w:val="center"/>
            </w:pPr>
          </w:p>
        </w:tc>
        <w:tc>
          <w:tcPr>
            <w:tcW w:w="0" w:type="auto"/>
            <w:vAlign w:val="center"/>
          </w:tcPr>
          <w:p w14:paraId="3D55DD8B" w14:textId="77777777" w:rsidR="00CD55F1" w:rsidRDefault="00CD55F1" w:rsidP="00024DD9">
            <w:pPr>
              <w:jc w:val="center"/>
            </w:pPr>
            <w:r w:rsidRPr="005B7BEE">
              <w:rPr>
                <w:sz w:val="14"/>
                <w:szCs w:val="14"/>
              </w:rPr>
              <w:t>Occasional</w:t>
            </w:r>
          </w:p>
        </w:tc>
        <w:tc>
          <w:tcPr>
            <w:tcW w:w="0" w:type="auto"/>
            <w:vAlign w:val="center"/>
          </w:tcPr>
          <w:p w14:paraId="2220DFCF" w14:textId="77777777" w:rsidR="00CD55F1" w:rsidRDefault="00CD55F1" w:rsidP="00024DD9">
            <w:pPr>
              <w:jc w:val="center"/>
            </w:pPr>
            <w:r w:rsidRPr="00F60A9B">
              <w:rPr>
                <w:rFonts w:ascii="Calibri" w:hAnsi="Calibri" w:cs="Calibri"/>
              </w:rPr>
              <w:t>4</w:t>
            </w:r>
          </w:p>
        </w:tc>
        <w:tc>
          <w:tcPr>
            <w:tcW w:w="0" w:type="auto"/>
            <w:vAlign w:val="center"/>
          </w:tcPr>
          <w:p w14:paraId="6236D885" w14:textId="77777777" w:rsidR="00CD55F1" w:rsidRDefault="00CD55F1" w:rsidP="00024DD9">
            <w:pPr>
              <w:jc w:val="center"/>
            </w:pPr>
            <w:r w:rsidRPr="00F60A9B">
              <w:rPr>
                <w:rFonts w:ascii="Calibri" w:hAnsi="Calibri" w:cs="Calibri"/>
              </w:rPr>
              <w:t>10</w:t>
            </w:r>
          </w:p>
        </w:tc>
        <w:tc>
          <w:tcPr>
            <w:tcW w:w="0" w:type="auto"/>
            <w:vAlign w:val="center"/>
          </w:tcPr>
          <w:p w14:paraId="6D1D5BBA" w14:textId="77777777" w:rsidR="00CD55F1" w:rsidRDefault="00CD55F1" w:rsidP="00024DD9">
            <w:pPr>
              <w:jc w:val="center"/>
            </w:pPr>
            <w:r w:rsidRPr="00F60A9B">
              <w:rPr>
                <w:rFonts w:ascii="Calibri" w:hAnsi="Calibri" w:cs="Calibri"/>
              </w:rPr>
              <w:t>2</w:t>
            </w:r>
          </w:p>
        </w:tc>
        <w:tc>
          <w:tcPr>
            <w:tcW w:w="0" w:type="auto"/>
            <w:vAlign w:val="center"/>
          </w:tcPr>
          <w:p w14:paraId="1A54E09D" w14:textId="77777777" w:rsidR="00CD55F1" w:rsidRDefault="00CD55F1" w:rsidP="00024DD9">
            <w:pPr>
              <w:jc w:val="center"/>
            </w:pPr>
            <w:r w:rsidRPr="00F60A9B">
              <w:rPr>
                <w:rFonts w:ascii="Calibri" w:hAnsi="Calibri" w:cs="Calibri"/>
              </w:rPr>
              <w:t>1</w:t>
            </w:r>
          </w:p>
        </w:tc>
        <w:tc>
          <w:tcPr>
            <w:tcW w:w="0" w:type="auto"/>
            <w:vAlign w:val="center"/>
          </w:tcPr>
          <w:p w14:paraId="4539AC32" w14:textId="77777777" w:rsidR="00CD55F1" w:rsidRDefault="00CD55F1" w:rsidP="00024DD9">
            <w:pPr>
              <w:jc w:val="center"/>
            </w:pPr>
            <w:r w:rsidRPr="00F60A9B">
              <w:rPr>
                <w:rFonts w:ascii="Calibri" w:hAnsi="Calibri" w:cs="Calibri"/>
              </w:rPr>
              <w:t>1</w:t>
            </w:r>
          </w:p>
        </w:tc>
      </w:tr>
      <w:tr w:rsidR="00CD55F1" w:rsidRPr="00F60A9B" w14:paraId="2D692002" w14:textId="77777777" w:rsidTr="00024DD9">
        <w:trPr>
          <w:jc w:val="center"/>
        </w:trPr>
        <w:tc>
          <w:tcPr>
            <w:tcW w:w="0" w:type="auto"/>
            <w:tcBorders>
              <w:right w:val="single" w:sz="12" w:space="0" w:color="auto"/>
            </w:tcBorders>
          </w:tcPr>
          <w:p w14:paraId="36C832ED"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vAlign w:val="center"/>
          </w:tcPr>
          <w:p w14:paraId="39568803" w14:textId="77777777" w:rsidR="00CD55F1" w:rsidRPr="00F60A9B" w:rsidRDefault="00CD55F1" w:rsidP="00024DD9">
            <w:pPr>
              <w:jc w:val="center"/>
            </w:pPr>
            <w:r w:rsidRPr="00F60A9B">
              <w:rPr>
                <w:rFonts w:ascii="Calibri" w:hAnsi="Calibri" w:cs="Calibri"/>
              </w:rPr>
              <w:t>7</w:t>
            </w:r>
          </w:p>
        </w:tc>
        <w:tc>
          <w:tcPr>
            <w:tcW w:w="0" w:type="auto"/>
            <w:vAlign w:val="center"/>
          </w:tcPr>
          <w:p w14:paraId="47ACB3BB" w14:textId="77777777" w:rsidR="00CD55F1" w:rsidRPr="00210DD1" w:rsidRDefault="00CD55F1" w:rsidP="00024DD9">
            <w:pPr>
              <w:jc w:val="center"/>
            </w:pPr>
            <w:r w:rsidRPr="00F60A9B">
              <w:rPr>
                <w:rFonts w:ascii="Calibri" w:hAnsi="Calibri" w:cs="Calibri"/>
              </w:rPr>
              <w:t>3</w:t>
            </w:r>
          </w:p>
        </w:tc>
        <w:tc>
          <w:tcPr>
            <w:tcW w:w="0" w:type="auto"/>
            <w:vAlign w:val="center"/>
          </w:tcPr>
          <w:p w14:paraId="4777E234" w14:textId="77777777" w:rsidR="00CD55F1" w:rsidRPr="00210DD1" w:rsidRDefault="00CD55F1" w:rsidP="00024DD9">
            <w:pPr>
              <w:jc w:val="center"/>
            </w:pPr>
            <w:r w:rsidRPr="00F60A9B">
              <w:rPr>
                <w:rFonts w:ascii="Calibri" w:hAnsi="Calibri" w:cs="Calibri"/>
              </w:rPr>
              <w:t>4</w:t>
            </w:r>
          </w:p>
        </w:tc>
        <w:tc>
          <w:tcPr>
            <w:tcW w:w="0" w:type="auto"/>
            <w:vAlign w:val="center"/>
          </w:tcPr>
          <w:p w14:paraId="5D2DB37D" w14:textId="77777777" w:rsidR="00CD55F1" w:rsidRPr="00210DD1" w:rsidRDefault="00CD55F1" w:rsidP="00024DD9">
            <w:pPr>
              <w:jc w:val="center"/>
            </w:pPr>
            <w:r w:rsidRPr="00F60A9B">
              <w:rPr>
                <w:rFonts w:ascii="Calibri" w:hAnsi="Calibri" w:cs="Calibri"/>
              </w:rPr>
              <w:t>6</w:t>
            </w:r>
          </w:p>
        </w:tc>
        <w:tc>
          <w:tcPr>
            <w:tcW w:w="0" w:type="auto"/>
            <w:vAlign w:val="center"/>
          </w:tcPr>
          <w:p w14:paraId="3D4BB101"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1BD2511A" w14:textId="77777777" w:rsidR="00CD55F1" w:rsidRDefault="00CD55F1" w:rsidP="00024DD9">
            <w:pPr>
              <w:jc w:val="center"/>
            </w:pPr>
          </w:p>
        </w:tc>
        <w:tc>
          <w:tcPr>
            <w:tcW w:w="0" w:type="auto"/>
            <w:vAlign w:val="center"/>
          </w:tcPr>
          <w:p w14:paraId="6E7E0ED6" w14:textId="77777777" w:rsidR="00CD55F1" w:rsidRDefault="00CD55F1" w:rsidP="00024DD9">
            <w:pPr>
              <w:jc w:val="center"/>
            </w:pPr>
            <w:r w:rsidRPr="005B7BEE">
              <w:rPr>
                <w:sz w:val="14"/>
                <w:szCs w:val="14"/>
              </w:rPr>
              <w:t>Remote</w:t>
            </w:r>
          </w:p>
        </w:tc>
        <w:tc>
          <w:tcPr>
            <w:tcW w:w="0" w:type="auto"/>
            <w:vAlign w:val="center"/>
          </w:tcPr>
          <w:p w14:paraId="750C1103" w14:textId="77777777" w:rsidR="00CD55F1" w:rsidRDefault="00CD55F1" w:rsidP="00024DD9">
            <w:pPr>
              <w:jc w:val="center"/>
            </w:pPr>
            <w:r w:rsidRPr="00F60A9B">
              <w:rPr>
                <w:rFonts w:ascii="Calibri" w:hAnsi="Calibri" w:cs="Calibri"/>
              </w:rPr>
              <w:t>4</w:t>
            </w:r>
          </w:p>
        </w:tc>
        <w:tc>
          <w:tcPr>
            <w:tcW w:w="0" w:type="auto"/>
            <w:vAlign w:val="center"/>
          </w:tcPr>
          <w:p w14:paraId="6AF5A83B" w14:textId="77777777" w:rsidR="00CD55F1" w:rsidRDefault="00CD55F1" w:rsidP="00024DD9">
            <w:pPr>
              <w:jc w:val="center"/>
            </w:pPr>
            <w:r w:rsidRPr="00F60A9B">
              <w:rPr>
                <w:rFonts w:ascii="Calibri" w:hAnsi="Calibri" w:cs="Calibri"/>
              </w:rPr>
              <w:t>5</w:t>
            </w:r>
          </w:p>
        </w:tc>
        <w:tc>
          <w:tcPr>
            <w:tcW w:w="0" w:type="auto"/>
            <w:vAlign w:val="center"/>
          </w:tcPr>
          <w:p w14:paraId="6D43E148" w14:textId="77777777" w:rsidR="00CD55F1" w:rsidRDefault="00CD55F1" w:rsidP="00024DD9">
            <w:pPr>
              <w:jc w:val="center"/>
            </w:pPr>
            <w:r w:rsidRPr="00F60A9B">
              <w:rPr>
                <w:rFonts w:ascii="Calibri" w:hAnsi="Calibri" w:cs="Calibri"/>
              </w:rPr>
              <w:t>4</w:t>
            </w:r>
          </w:p>
        </w:tc>
        <w:tc>
          <w:tcPr>
            <w:tcW w:w="0" w:type="auto"/>
            <w:vAlign w:val="center"/>
          </w:tcPr>
          <w:p w14:paraId="60267F1D" w14:textId="77777777" w:rsidR="00CD55F1" w:rsidRDefault="00CD55F1" w:rsidP="00024DD9">
            <w:pPr>
              <w:jc w:val="center"/>
            </w:pPr>
            <w:r w:rsidRPr="00F60A9B">
              <w:rPr>
                <w:rFonts w:ascii="Calibri" w:hAnsi="Calibri" w:cs="Calibri"/>
              </w:rPr>
              <w:t>3</w:t>
            </w:r>
          </w:p>
        </w:tc>
        <w:tc>
          <w:tcPr>
            <w:tcW w:w="0" w:type="auto"/>
            <w:vAlign w:val="center"/>
          </w:tcPr>
          <w:p w14:paraId="3FE77465" w14:textId="77777777" w:rsidR="00CD55F1" w:rsidRDefault="00CD55F1" w:rsidP="00024DD9">
            <w:pPr>
              <w:jc w:val="center"/>
            </w:pPr>
            <w:r w:rsidRPr="00F60A9B">
              <w:rPr>
                <w:rFonts w:ascii="Calibri" w:hAnsi="Calibri" w:cs="Calibri"/>
              </w:rPr>
              <w:t>1</w:t>
            </w:r>
          </w:p>
        </w:tc>
      </w:tr>
      <w:tr w:rsidR="00CD55F1" w:rsidRPr="00F60A9B" w14:paraId="52498240" w14:textId="77777777" w:rsidTr="00024DD9">
        <w:trPr>
          <w:jc w:val="center"/>
        </w:trPr>
        <w:tc>
          <w:tcPr>
            <w:tcW w:w="0" w:type="auto"/>
            <w:tcBorders>
              <w:right w:val="single" w:sz="12" w:space="0" w:color="auto"/>
            </w:tcBorders>
          </w:tcPr>
          <w:p w14:paraId="34FDB3FC"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vAlign w:val="center"/>
          </w:tcPr>
          <w:p w14:paraId="03EE9A6D" w14:textId="77777777" w:rsidR="00CD55F1" w:rsidRPr="00F60A9B" w:rsidRDefault="00CD55F1" w:rsidP="00024DD9">
            <w:pPr>
              <w:jc w:val="center"/>
            </w:pPr>
            <w:r w:rsidRPr="00F60A9B">
              <w:rPr>
                <w:rFonts w:ascii="Calibri" w:hAnsi="Calibri" w:cs="Calibri"/>
              </w:rPr>
              <w:t>5</w:t>
            </w:r>
          </w:p>
        </w:tc>
        <w:tc>
          <w:tcPr>
            <w:tcW w:w="0" w:type="auto"/>
            <w:vAlign w:val="center"/>
          </w:tcPr>
          <w:p w14:paraId="73A6ECD6" w14:textId="77777777" w:rsidR="00CD55F1" w:rsidRPr="00210DD1" w:rsidRDefault="00CD55F1" w:rsidP="00024DD9">
            <w:pPr>
              <w:jc w:val="center"/>
            </w:pPr>
            <w:r w:rsidRPr="00F60A9B">
              <w:rPr>
                <w:rFonts w:ascii="Calibri" w:hAnsi="Calibri" w:cs="Calibri"/>
              </w:rPr>
              <w:t>5</w:t>
            </w:r>
          </w:p>
        </w:tc>
        <w:tc>
          <w:tcPr>
            <w:tcW w:w="0" w:type="auto"/>
            <w:vAlign w:val="center"/>
          </w:tcPr>
          <w:p w14:paraId="65D8B225" w14:textId="77777777" w:rsidR="00CD55F1" w:rsidRPr="00210DD1" w:rsidRDefault="00CD55F1" w:rsidP="00024DD9">
            <w:pPr>
              <w:jc w:val="center"/>
            </w:pPr>
            <w:r w:rsidRPr="00F60A9B">
              <w:rPr>
                <w:rFonts w:ascii="Calibri" w:hAnsi="Calibri" w:cs="Calibri"/>
              </w:rPr>
              <w:t>1</w:t>
            </w:r>
          </w:p>
        </w:tc>
        <w:tc>
          <w:tcPr>
            <w:tcW w:w="0" w:type="auto"/>
            <w:vAlign w:val="center"/>
          </w:tcPr>
          <w:p w14:paraId="45371E91" w14:textId="77777777" w:rsidR="00CD55F1" w:rsidRPr="00210DD1" w:rsidRDefault="00CD55F1" w:rsidP="00024DD9">
            <w:pPr>
              <w:jc w:val="center"/>
            </w:pPr>
            <w:r w:rsidRPr="00F60A9B">
              <w:rPr>
                <w:rFonts w:ascii="Calibri" w:hAnsi="Calibri" w:cs="Calibri"/>
              </w:rPr>
              <w:t>3</w:t>
            </w:r>
          </w:p>
        </w:tc>
        <w:tc>
          <w:tcPr>
            <w:tcW w:w="0" w:type="auto"/>
            <w:vAlign w:val="center"/>
          </w:tcPr>
          <w:p w14:paraId="6E9C7471"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032C161B" w14:textId="77777777" w:rsidR="00CD55F1" w:rsidRDefault="00CD55F1" w:rsidP="00024DD9">
            <w:pPr>
              <w:keepNext/>
              <w:jc w:val="center"/>
            </w:pPr>
          </w:p>
        </w:tc>
        <w:tc>
          <w:tcPr>
            <w:tcW w:w="0" w:type="auto"/>
            <w:vAlign w:val="center"/>
          </w:tcPr>
          <w:p w14:paraId="4D58B172" w14:textId="77777777" w:rsidR="00CD55F1" w:rsidRDefault="00CD55F1" w:rsidP="00024DD9">
            <w:pPr>
              <w:keepNext/>
              <w:jc w:val="center"/>
            </w:pPr>
            <w:r w:rsidRPr="005B7BEE">
              <w:rPr>
                <w:sz w:val="14"/>
                <w:szCs w:val="14"/>
              </w:rPr>
              <w:t>Improbable</w:t>
            </w:r>
          </w:p>
        </w:tc>
        <w:tc>
          <w:tcPr>
            <w:tcW w:w="0" w:type="auto"/>
            <w:vAlign w:val="center"/>
          </w:tcPr>
          <w:p w14:paraId="5E9C3FA0" w14:textId="77777777" w:rsidR="00CD55F1" w:rsidRDefault="00CD55F1" w:rsidP="00024DD9">
            <w:pPr>
              <w:keepNext/>
              <w:jc w:val="center"/>
            </w:pPr>
            <w:r w:rsidRPr="00F60A9B">
              <w:rPr>
                <w:rFonts w:ascii="Calibri" w:hAnsi="Calibri" w:cs="Calibri"/>
              </w:rPr>
              <w:t>5</w:t>
            </w:r>
          </w:p>
        </w:tc>
        <w:tc>
          <w:tcPr>
            <w:tcW w:w="0" w:type="auto"/>
            <w:vAlign w:val="center"/>
          </w:tcPr>
          <w:p w14:paraId="2B41CC78" w14:textId="77777777" w:rsidR="00CD55F1" w:rsidRDefault="00CD55F1" w:rsidP="00024DD9">
            <w:pPr>
              <w:keepNext/>
              <w:jc w:val="center"/>
            </w:pPr>
            <w:r w:rsidRPr="00F60A9B">
              <w:rPr>
                <w:rFonts w:ascii="Calibri" w:hAnsi="Calibri" w:cs="Calibri"/>
              </w:rPr>
              <w:t>6</w:t>
            </w:r>
          </w:p>
        </w:tc>
        <w:tc>
          <w:tcPr>
            <w:tcW w:w="0" w:type="auto"/>
            <w:vAlign w:val="center"/>
          </w:tcPr>
          <w:p w14:paraId="164DEE4A" w14:textId="77777777" w:rsidR="00CD55F1" w:rsidRDefault="00CD55F1" w:rsidP="00024DD9">
            <w:pPr>
              <w:keepNext/>
              <w:jc w:val="center"/>
            </w:pPr>
            <w:r w:rsidRPr="00F60A9B">
              <w:rPr>
                <w:rFonts w:ascii="Calibri" w:hAnsi="Calibri" w:cs="Calibri"/>
              </w:rPr>
              <w:t>1</w:t>
            </w:r>
          </w:p>
        </w:tc>
        <w:tc>
          <w:tcPr>
            <w:tcW w:w="0" w:type="auto"/>
            <w:vAlign w:val="center"/>
          </w:tcPr>
          <w:p w14:paraId="46BB466D" w14:textId="77777777" w:rsidR="00CD55F1" w:rsidRDefault="00CD55F1" w:rsidP="00024DD9">
            <w:pPr>
              <w:keepNext/>
              <w:jc w:val="center"/>
            </w:pPr>
            <w:r w:rsidRPr="00F60A9B">
              <w:rPr>
                <w:rFonts w:ascii="Calibri" w:hAnsi="Calibri" w:cs="Calibri"/>
              </w:rPr>
              <w:t>12</w:t>
            </w:r>
          </w:p>
        </w:tc>
        <w:tc>
          <w:tcPr>
            <w:tcW w:w="0" w:type="auto"/>
            <w:vAlign w:val="center"/>
          </w:tcPr>
          <w:p w14:paraId="1989B09F" w14:textId="77777777" w:rsidR="00CD55F1" w:rsidRDefault="00CD55F1" w:rsidP="00024DD9">
            <w:pPr>
              <w:keepNext/>
              <w:jc w:val="center"/>
            </w:pPr>
            <w:r w:rsidRPr="00F60A9B">
              <w:rPr>
                <w:rFonts w:ascii="Calibri" w:hAnsi="Calibri" w:cs="Calibri"/>
              </w:rPr>
              <w:t>0</w:t>
            </w:r>
          </w:p>
        </w:tc>
      </w:tr>
    </w:tbl>
    <w:p w14:paraId="6916BDD2" w14:textId="1057753E" w:rsidR="00CD55F1" w:rsidRPr="00F60A9B" w:rsidRDefault="00CD55F1" w:rsidP="00CD55F1">
      <w:pPr>
        <w:pStyle w:val="Caption"/>
        <w:keepNext/>
        <w:spacing w:before="120"/>
        <w:jc w:val="center"/>
        <w:rPr>
          <w:color w:val="auto"/>
        </w:rPr>
      </w:pPr>
      <w:bookmarkStart w:id="58" w:name="_Ref146708586"/>
      <w:r>
        <w:t xml:space="preserve">Equation </w:t>
      </w:r>
      <w:r>
        <w:fldChar w:fldCharType="begin"/>
      </w:r>
      <w:r>
        <w:instrText xml:space="preserve"> SEQ Equation \* ARABIC </w:instrText>
      </w:r>
      <w:r>
        <w:fldChar w:fldCharType="separate"/>
      </w:r>
      <w:r w:rsidR="003468AE">
        <w:rPr>
          <w:noProof/>
        </w:rPr>
        <w:t>12</w:t>
      </w:r>
      <w:r>
        <w:rPr>
          <w:noProof/>
        </w:rPr>
        <w:fldChar w:fldCharType="end"/>
      </w:r>
      <w:bookmarkEnd w:id="58"/>
    </w:p>
    <w:p w14:paraId="287D02B3" w14:textId="77777777" w:rsidR="00CD55F1" w:rsidRPr="00F60A9B" w:rsidRDefault="00CD55F1" w:rsidP="00CD55F1">
      <w:pPr>
        <w:pStyle w:val="ListParagraph"/>
        <w:ind w:left="0"/>
        <w:contextualSpacing w:val="0"/>
        <w:rPr>
          <w:rFonts w:eastAsiaTheme="minorEastAsia" w:cs="Arial"/>
        </w:rPr>
      </w:pPr>
    </w:p>
    <w:p w14:paraId="5EDD4599" w14:textId="7C606A23" w:rsidR="00CD55F1" w:rsidRDefault="00CD55F1" w:rsidP="00CD55F1">
      <w:r>
        <w:rPr>
          <w:rFonts w:eastAsiaTheme="minorEastAsia" w:cs="Arial"/>
        </w:rPr>
        <w:t>By a</w:t>
      </w:r>
      <w:r w:rsidRPr="00F60A9B">
        <w:rPr>
          <w:rFonts w:eastAsiaTheme="minorEastAsia" w:cs="Arial"/>
        </w:rPr>
        <w:t xml:space="preserve">pplying </w:t>
      </w:r>
      <w:r>
        <w:t xml:space="preserve">“Removing Identical Risks” </w:t>
      </w:r>
      <w:r w:rsidRPr="00F60A9B">
        <w:t>to</w:t>
      </w:r>
      <w:r>
        <w:t xml:space="preserve"> all of the possible places in </w:t>
      </w:r>
      <w:r>
        <w:fldChar w:fldCharType="begin"/>
      </w:r>
      <w:r>
        <w:instrText xml:space="preserve"> REF _Ref146708586 \h </w:instrText>
      </w:r>
      <w:r>
        <w:fldChar w:fldCharType="separate"/>
      </w:r>
      <w:r w:rsidR="001E41EA">
        <w:t xml:space="preserve">Equation </w:t>
      </w:r>
      <w:r w:rsidR="001E41EA">
        <w:rPr>
          <w:noProof/>
        </w:rPr>
        <w:t>12</w:t>
      </w:r>
      <w:r>
        <w:fldChar w:fldCharType="end"/>
      </w:r>
      <w:r>
        <w:t>, we see the following subtractions to remove identical Risks</w:t>
      </w:r>
      <w:r w:rsidRPr="00F60A9B">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4339148A" w14:textId="77777777" w:rsidTr="00024DD9">
        <w:trPr>
          <w:tblHeader/>
          <w:jc w:val="center"/>
        </w:trPr>
        <w:tc>
          <w:tcPr>
            <w:tcW w:w="0" w:type="auto"/>
            <w:tcBorders>
              <w:top w:val="nil"/>
              <w:left w:val="nil"/>
              <w:bottom w:val="single" w:sz="4" w:space="0" w:color="auto"/>
            </w:tcBorders>
            <w:vAlign w:val="center"/>
          </w:tcPr>
          <w:p w14:paraId="69C3DDBD"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A1E8FBA"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217C93E9"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4343141B"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F672E11"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345F2F59" w14:textId="77777777" w:rsidR="00CD55F1" w:rsidRPr="005B7BEE" w:rsidRDefault="00CD55F1" w:rsidP="00024DD9">
            <w:pPr>
              <w:jc w:val="center"/>
              <w:rPr>
                <w:sz w:val="14"/>
                <w:szCs w:val="14"/>
              </w:rPr>
            </w:pPr>
            <w:r w:rsidRPr="005B7BEE">
              <w:rPr>
                <w:sz w:val="14"/>
                <w:szCs w:val="14"/>
              </w:rPr>
              <w:t xml:space="preserve">Catastrophic </w:t>
            </w:r>
          </w:p>
          <w:p w14:paraId="42A835D5"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4A2617AD"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326725E2"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3A25275E"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3E6419F0"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2143EF65"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643BC0D"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2F9207B4" w14:textId="77777777" w:rsidR="00CD55F1" w:rsidRPr="005B7BEE" w:rsidRDefault="00CD55F1" w:rsidP="00024DD9">
            <w:pPr>
              <w:jc w:val="center"/>
              <w:rPr>
                <w:sz w:val="14"/>
                <w:szCs w:val="14"/>
              </w:rPr>
            </w:pPr>
            <w:r w:rsidRPr="005B7BEE">
              <w:rPr>
                <w:sz w:val="14"/>
                <w:szCs w:val="14"/>
              </w:rPr>
              <w:t xml:space="preserve">Catastrophic </w:t>
            </w:r>
          </w:p>
          <w:p w14:paraId="103E5B16"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4AD53EE7" w14:textId="77777777" w:rsidTr="00024DD9">
        <w:trPr>
          <w:jc w:val="center"/>
        </w:trPr>
        <w:tc>
          <w:tcPr>
            <w:tcW w:w="0" w:type="auto"/>
            <w:tcBorders>
              <w:top w:val="single" w:sz="4" w:space="0" w:color="auto"/>
              <w:right w:val="single" w:sz="12" w:space="0" w:color="auto"/>
            </w:tcBorders>
          </w:tcPr>
          <w:p w14:paraId="7FD5B8C9"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451F023C" w14:textId="77777777" w:rsidR="00CD55F1" w:rsidRPr="00F60A9B" w:rsidRDefault="00CD55F1" w:rsidP="00024DD9">
            <w:pPr>
              <w:jc w:val="center"/>
            </w:pPr>
            <w:r>
              <w:t>0</w:t>
            </w:r>
          </w:p>
        </w:tc>
        <w:tc>
          <w:tcPr>
            <w:tcW w:w="0" w:type="auto"/>
            <w:tcBorders>
              <w:top w:val="single" w:sz="12" w:space="0" w:color="auto"/>
            </w:tcBorders>
            <w:vAlign w:val="center"/>
          </w:tcPr>
          <w:p w14:paraId="51A5A484" w14:textId="77777777" w:rsidR="00CD55F1" w:rsidRPr="00210DD1" w:rsidRDefault="00CD55F1" w:rsidP="00024DD9">
            <w:pPr>
              <w:jc w:val="center"/>
            </w:pPr>
            <w:r>
              <w:t>0</w:t>
            </w:r>
          </w:p>
        </w:tc>
        <w:tc>
          <w:tcPr>
            <w:tcW w:w="0" w:type="auto"/>
            <w:tcBorders>
              <w:top w:val="single" w:sz="12" w:space="0" w:color="auto"/>
            </w:tcBorders>
            <w:vAlign w:val="center"/>
          </w:tcPr>
          <w:p w14:paraId="5AA54B4C" w14:textId="77777777" w:rsidR="00CD55F1" w:rsidRPr="00210DD1" w:rsidRDefault="00CD55F1" w:rsidP="00024DD9">
            <w:pPr>
              <w:jc w:val="center"/>
            </w:pPr>
            <w:r>
              <w:t>0</w:t>
            </w:r>
          </w:p>
        </w:tc>
        <w:tc>
          <w:tcPr>
            <w:tcW w:w="0" w:type="auto"/>
            <w:tcBorders>
              <w:top w:val="single" w:sz="12" w:space="0" w:color="auto"/>
            </w:tcBorders>
            <w:vAlign w:val="center"/>
          </w:tcPr>
          <w:p w14:paraId="1246794E" w14:textId="77777777" w:rsidR="00CD55F1" w:rsidRPr="00210DD1" w:rsidRDefault="00CD55F1" w:rsidP="00024DD9">
            <w:pPr>
              <w:jc w:val="center"/>
            </w:pPr>
            <w:r>
              <w:t>0</w:t>
            </w:r>
          </w:p>
        </w:tc>
        <w:tc>
          <w:tcPr>
            <w:tcW w:w="0" w:type="auto"/>
            <w:tcBorders>
              <w:top w:val="single" w:sz="12" w:space="0" w:color="auto"/>
            </w:tcBorders>
            <w:vAlign w:val="center"/>
          </w:tcPr>
          <w:p w14:paraId="34A85EE2" w14:textId="77777777" w:rsidR="00CD55F1" w:rsidRPr="00F60A9B" w:rsidRDefault="00CD55F1" w:rsidP="00024DD9">
            <w:pPr>
              <w:jc w:val="center"/>
            </w:pPr>
            <w:r>
              <w:t>0</w:t>
            </w:r>
          </w:p>
        </w:tc>
        <w:tc>
          <w:tcPr>
            <w:tcW w:w="0" w:type="auto"/>
            <w:tcBorders>
              <w:top w:val="nil"/>
              <w:left w:val="nil"/>
              <w:bottom w:val="nil"/>
              <w:right w:val="nil"/>
            </w:tcBorders>
            <w:vAlign w:val="center"/>
          </w:tcPr>
          <w:p w14:paraId="3A4CCAC2" w14:textId="77777777" w:rsidR="00CD55F1" w:rsidRDefault="00CD55F1" w:rsidP="00024DD9">
            <w:pPr>
              <w:jc w:val="center"/>
            </w:pPr>
          </w:p>
        </w:tc>
        <w:tc>
          <w:tcPr>
            <w:tcW w:w="0" w:type="auto"/>
            <w:tcBorders>
              <w:top w:val="single" w:sz="12" w:space="0" w:color="auto"/>
            </w:tcBorders>
            <w:vAlign w:val="center"/>
          </w:tcPr>
          <w:p w14:paraId="2F0B5955"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616ED816" w14:textId="77777777" w:rsidR="00CD55F1" w:rsidRDefault="00CD55F1" w:rsidP="00024DD9">
            <w:pPr>
              <w:jc w:val="center"/>
            </w:pPr>
            <w:r>
              <w:t>0</w:t>
            </w:r>
          </w:p>
        </w:tc>
        <w:tc>
          <w:tcPr>
            <w:tcW w:w="0" w:type="auto"/>
            <w:tcBorders>
              <w:top w:val="single" w:sz="12" w:space="0" w:color="auto"/>
            </w:tcBorders>
            <w:vAlign w:val="center"/>
          </w:tcPr>
          <w:p w14:paraId="7464A565" w14:textId="77777777" w:rsidR="00CD55F1" w:rsidRDefault="00CD55F1" w:rsidP="00024DD9">
            <w:pPr>
              <w:jc w:val="center"/>
            </w:pPr>
            <w:r>
              <w:t>0</w:t>
            </w:r>
          </w:p>
        </w:tc>
        <w:tc>
          <w:tcPr>
            <w:tcW w:w="0" w:type="auto"/>
            <w:tcBorders>
              <w:top w:val="single" w:sz="12" w:space="0" w:color="auto"/>
            </w:tcBorders>
            <w:vAlign w:val="center"/>
          </w:tcPr>
          <w:p w14:paraId="542A18FD" w14:textId="77777777" w:rsidR="00CD55F1" w:rsidRDefault="00CD55F1" w:rsidP="00024DD9">
            <w:pPr>
              <w:jc w:val="center"/>
            </w:pPr>
            <w:r>
              <w:t>0</w:t>
            </w:r>
          </w:p>
        </w:tc>
        <w:tc>
          <w:tcPr>
            <w:tcW w:w="0" w:type="auto"/>
            <w:tcBorders>
              <w:top w:val="single" w:sz="12" w:space="0" w:color="auto"/>
            </w:tcBorders>
            <w:vAlign w:val="center"/>
          </w:tcPr>
          <w:p w14:paraId="6E0D8124" w14:textId="77777777" w:rsidR="00CD55F1" w:rsidRDefault="00CD55F1" w:rsidP="00024DD9">
            <w:pPr>
              <w:jc w:val="center"/>
            </w:pPr>
            <w:r>
              <w:t>0</w:t>
            </w:r>
          </w:p>
        </w:tc>
        <w:tc>
          <w:tcPr>
            <w:tcW w:w="0" w:type="auto"/>
            <w:tcBorders>
              <w:top w:val="single" w:sz="12" w:space="0" w:color="auto"/>
            </w:tcBorders>
            <w:vAlign w:val="center"/>
          </w:tcPr>
          <w:p w14:paraId="17203D1D" w14:textId="77777777" w:rsidR="00CD55F1" w:rsidRDefault="00CD55F1" w:rsidP="00024DD9">
            <w:pPr>
              <w:jc w:val="center"/>
            </w:pPr>
            <w:r>
              <w:t>0</w:t>
            </w:r>
          </w:p>
        </w:tc>
      </w:tr>
      <w:tr w:rsidR="00CD55F1" w:rsidRPr="00F60A9B" w14:paraId="628F00DB" w14:textId="77777777" w:rsidTr="00024DD9">
        <w:trPr>
          <w:jc w:val="center"/>
        </w:trPr>
        <w:tc>
          <w:tcPr>
            <w:tcW w:w="0" w:type="auto"/>
            <w:tcBorders>
              <w:right w:val="single" w:sz="12" w:space="0" w:color="auto"/>
            </w:tcBorders>
          </w:tcPr>
          <w:p w14:paraId="71DAF4B0"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77E9FCCB" w14:textId="77777777" w:rsidR="00CD55F1" w:rsidRDefault="00CD55F1" w:rsidP="00024DD9">
            <w:pPr>
              <w:jc w:val="center"/>
            </w:pPr>
            <w:r>
              <w:t>0</w:t>
            </w:r>
          </w:p>
        </w:tc>
        <w:tc>
          <w:tcPr>
            <w:tcW w:w="0" w:type="auto"/>
            <w:vAlign w:val="center"/>
          </w:tcPr>
          <w:p w14:paraId="6693F77F" w14:textId="77777777" w:rsidR="00CD55F1" w:rsidRPr="00210DD1" w:rsidRDefault="00CD55F1" w:rsidP="00024DD9">
            <w:pPr>
              <w:jc w:val="center"/>
            </w:pPr>
            <w:r>
              <w:t>0</w:t>
            </w:r>
          </w:p>
        </w:tc>
        <w:tc>
          <w:tcPr>
            <w:tcW w:w="0" w:type="auto"/>
            <w:vAlign w:val="center"/>
          </w:tcPr>
          <w:p w14:paraId="558AB7CD" w14:textId="77777777" w:rsidR="00CD55F1" w:rsidRPr="00210DD1" w:rsidRDefault="00CD55F1" w:rsidP="00024DD9">
            <w:pPr>
              <w:jc w:val="center"/>
            </w:pPr>
            <w:r>
              <w:t>0</w:t>
            </w:r>
          </w:p>
        </w:tc>
        <w:tc>
          <w:tcPr>
            <w:tcW w:w="0" w:type="auto"/>
            <w:vAlign w:val="center"/>
          </w:tcPr>
          <w:p w14:paraId="45BA0632" w14:textId="77777777" w:rsidR="00CD55F1" w:rsidRPr="00210DD1" w:rsidRDefault="00CD55F1" w:rsidP="00024DD9">
            <w:pPr>
              <w:jc w:val="center"/>
            </w:pPr>
            <w:r>
              <w:t>0</w:t>
            </w:r>
          </w:p>
        </w:tc>
        <w:tc>
          <w:tcPr>
            <w:tcW w:w="0" w:type="auto"/>
            <w:vAlign w:val="center"/>
          </w:tcPr>
          <w:p w14:paraId="0C8C7406" w14:textId="77777777" w:rsidR="00CD55F1" w:rsidRDefault="00CD55F1" w:rsidP="00024DD9">
            <w:pPr>
              <w:jc w:val="center"/>
            </w:pPr>
            <w:r>
              <w:t>0</w:t>
            </w:r>
          </w:p>
        </w:tc>
        <w:tc>
          <w:tcPr>
            <w:tcW w:w="0" w:type="auto"/>
            <w:tcBorders>
              <w:top w:val="nil"/>
              <w:left w:val="nil"/>
              <w:bottom w:val="nil"/>
              <w:right w:val="nil"/>
            </w:tcBorders>
            <w:vAlign w:val="center"/>
          </w:tcPr>
          <w:p w14:paraId="034BC514" w14:textId="77777777" w:rsidR="00CD55F1" w:rsidRDefault="00CD55F1" w:rsidP="00024DD9">
            <w:pPr>
              <w:jc w:val="center"/>
            </w:pPr>
          </w:p>
        </w:tc>
        <w:tc>
          <w:tcPr>
            <w:tcW w:w="0" w:type="auto"/>
            <w:vAlign w:val="center"/>
          </w:tcPr>
          <w:p w14:paraId="0CD43AE7" w14:textId="77777777" w:rsidR="00CD55F1" w:rsidRPr="005B7BEE" w:rsidRDefault="00CD55F1" w:rsidP="00024DD9">
            <w:pPr>
              <w:jc w:val="center"/>
              <w:rPr>
                <w:sz w:val="14"/>
                <w:szCs w:val="14"/>
              </w:rPr>
            </w:pPr>
            <w:r>
              <w:rPr>
                <w:sz w:val="14"/>
                <w:szCs w:val="14"/>
              </w:rPr>
              <w:t>Often</w:t>
            </w:r>
          </w:p>
        </w:tc>
        <w:tc>
          <w:tcPr>
            <w:tcW w:w="0" w:type="auto"/>
            <w:vAlign w:val="center"/>
          </w:tcPr>
          <w:p w14:paraId="44E470F5" w14:textId="77777777" w:rsidR="00CD55F1" w:rsidRDefault="00CD55F1" w:rsidP="00024DD9">
            <w:pPr>
              <w:jc w:val="center"/>
            </w:pPr>
            <w:r>
              <w:t>0</w:t>
            </w:r>
          </w:p>
        </w:tc>
        <w:tc>
          <w:tcPr>
            <w:tcW w:w="0" w:type="auto"/>
            <w:vAlign w:val="center"/>
          </w:tcPr>
          <w:p w14:paraId="0ACE4AF4" w14:textId="77777777" w:rsidR="00CD55F1" w:rsidRPr="00210DD1" w:rsidRDefault="00CD55F1" w:rsidP="00024DD9">
            <w:pPr>
              <w:jc w:val="center"/>
            </w:pPr>
            <w:r>
              <w:t>0</w:t>
            </w:r>
          </w:p>
        </w:tc>
        <w:tc>
          <w:tcPr>
            <w:tcW w:w="0" w:type="auto"/>
            <w:vAlign w:val="center"/>
          </w:tcPr>
          <w:p w14:paraId="271E22AC" w14:textId="77777777" w:rsidR="00CD55F1" w:rsidRPr="00210DD1" w:rsidRDefault="00CD55F1" w:rsidP="00024DD9">
            <w:pPr>
              <w:jc w:val="center"/>
            </w:pPr>
            <w:r>
              <w:t>0</w:t>
            </w:r>
          </w:p>
        </w:tc>
        <w:tc>
          <w:tcPr>
            <w:tcW w:w="0" w:type="auto"/>
            <w:vAlign w:val="center"/>
          </w:tcPr>
          <w:p w14:paraId="4A24E485" w14:textId="77777777" w:rsidR="00CD55F1" w:rsidRPr="00210DD1" w:rsidRDefault="00CD55F1" w:rsidP="00024DD9">
            <w:pPr>
              <w:jc w:val="center"/>
            </w:pPr>
            <w:r>
              <w:t>0</w:t>
            </w:r>
          </w:p>
        </w:tc>
        <w:tc>
          <w:tcPr>
            <w:tcW w:w="0" w:type="auto"/>
            <w:vAlign w:val="center"/>
          </w:tcPr>
          <w:p w14:paraId="045F9976" w14:textId="77777777" w:rsidR="00CD55F1" w:rsidRDefault="00CD55F1" w:rsidP="00024DD9">
            <w:pPr>
              <w:jc w:val="center"/>
            </w:pPr>
            <w:r>
              <w:t>0</w:t>
            </w:r>
          </w:p>
        </w:tc>
      </w:tr>
      <w:tr w:rsidR="00CD55F1" w:rsidRPr="00F60A9B" w14:paraId="431CAE8B" w14:textId="77777777" w:rsidTr="00024DD9">
        <w:trPr>
          <w:jc w:val="center"/>
        </w:trPr>
        <w:tc>
          <w:tcPr>
            <w:tcW w:w="0" w:type="auto"/>
            <w:tcBorders>
              <w:right w:val="single" w:sz="12" w:space="0" w:color="auto"/>
            </w:tcBorders>
          </w:tcPr>
          <w:p w14:paraId="2320CC38" w14:textId="77777777" w:rsidR="00CD55F1" w:rsidRPr="005B7BEE" w:rsidRDefault="00CD55F1" w:rsidP="00024DD9">
            <w:pPr>
              <w:rPr>
                <w:sz w:val="14"/>
                <w:szCs w:val="14"/>
              </w:rPr>
            </w:pPr>
            <w:r w:rsidRPr="005B7BEE">
              <w:rPr>
                <w:sz w:val="14"/>
                <w:szCs w:val="14"/>
              </w:rPr>
              <w:lastRenderedPageBreak/>
              <w:t>Frequent</w:t>
            </w:r>
          </w:p>
        </w:tc>
        <w:tc>
          <w:tcPr>
            <w:tcW w:w="0" w:type="auto"/>
            <w:tcBorders>
              <w:left w:val="single" w:sz="12" w:space="0" w:color="auto"/>
            </w:tcBorders>
            <w:vAlign w:val="center"/>
          </w:tcPr>
          <w:p w14:paraId="3C474115" w14:textId="77777777" w:rsidR="00CD55F1" w:rsidRDefault="00CD55F1" w:rsidP="00024DD9">
            <w:pPr>
              <w:jc w:val="center"/>
            </w:pPr>
            <w:r>
              <w:rPr>
                <w:rFonts w:ascii="Calibri" w:hAnsi="Calibri" w:cs="Calibri"/>
              </w:rPr>
              <w:t>2</w:t>
            </w:r>
          </w:p>
        </w:tc>
        <w:tc>
          <w:tcPr>
            <w:tcW w:w="0" w:type="auto"/>
            <w:shd w:val="clear" w:color="auto" w:fill="D9E2F3" w:themeFill="accent1" w:themeFillTint="33"/>
            <w:vAlign w:val="center"/>
          </w:tcPr>
          <w:p w14:paraId="14989A13" w14:textId="77777777" w:rsidR="00CD55F1" w:rsidRPr="00210DD1" w:rsidRDefault="00CD55F1" w:rsidP="00024DD9">
            <w:pPr>
              <w:jc w:val="center"/>
            </w:pPr>
            <w:r w:rsidRPr="00F60A9B">
              <w:rPr>
                <w:rFonts w:ascii="Calibri" w:hAnsi="Calibri" w:cs="Calibri"/>
              </w:rPr>
              <w:t>1</w:t>
            </w:r>
            <w:r>
              <w:rPr>
                <w:rFonts w:ascii="Calibri" w:hAnsi="Calibri" w:cs="Calibri"/>
              </w:rPr>
              <w:t>-1 = 0</w:t>
            </w:r>
          </w:p>
        </w:tc>
        <w:tc>
          <w:tcPr>
            <w:tcW w:w="0" w:type="auto"/>
            <w:vAlign w:val="center"/>
          </w:tcPr>
          <w:p w14:paraId="3D5B7D68" w14:textId="77777777" w:rsidR="00CD55F1" w:rsidRPr="00210DD1" w:rsidRDefault="00CD55F1" w:rsidP="00024DD9">
            <w:pPr>
              <w:jc w:val="center"/>
            </w:pPr>
            <w:r w:rsidRPr="00F60A9B">
              <w:rPr>
                <w:rFonts w:ascii="Calibri" w:hAnsi="Calibri" w:cs="Calibri"/>
              </w:rPr>
              <w:t>3</w:t>
            </w:r>
          </w:p>
        </w:tc>
        <w:tc>
          <w:tcPr>
            <w:tcW w:w="0" w:type="auto"/>
            <w:vAlign w:val="center"/>
          </w:tcPr>
          <w:p w14:paraId="79E6C297" w14:textId="77777777" w:rsidR="00CD55F1" w:rsidRPr="00210DD1" w:rsidRDefault="00CD55F1" w:rsidP="00024DD9">
            <w:pPr>
              <w:jc w:val="center"/>
            </w:pPr>
            <w:r w:rsidRPr="00F60A9B">
              <w:rPr>
                <w:rFonts w:ascii="Calibri" w:hAnsi="Calibri" w:cs="Calibri"/>
              </w:rPr>
              <w:t>0</w:t>
            </w:r>
          </w:p>
        </w:tc>
        <w:tc>
          <w:tcPr>
            <w:tcW w:w="0" w:type="auto"/>
            <w:vAlign w:val="center"/>
          </w:tcPr>
          <w:p w14:paraId="24C40375"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0EC568DD" w14:textId="77777777" w:rsidR="00CD55F1" w:rsidRDefault="00CD55F1" w:rsidP="00024DD9">
            <w:pPr>
              <w:jc w:val="center"/>
            </w:pPr>
          </w:p>
        </w:tc>
        <w:tc>
          <w:tcPr>
            <w:tcW w:w="0" w:type="auto"/>
            <w:vAlign w:val="center"/>
          </w:tcPr>
          <w:p w14:paraId="46549318" w14:textId="77777777" w:rsidR="00CD55F1" w:rsidRPr="005B7BEE" w:rsidRDefault="00CD55F1" w:rsidP="00024DD9">
            <w:pPr>
              <w:jc w:val="center"/>
              <w:rPr>
                <w:sz w:val="14"/>
                <w:szCs w:val="14"/>
              </w:rPr>
            </w:pPr>
            <w:r w:rsidRPr="005B7BEE">
              <w:rPr>
                <w:sz w:val="14"/>
                <w:szCs w:val="14"/>
              </w:rPr>
              <w:t>Frequent</w:t>
            </w:r>
          </w:p>
        </w:tc>
        <w:tc>
          <w:tcPr>
            <w:tcW w:w="0" w:type="auto"/>
            <w:vAlign w:val="center"/>
          </w:tcPr>
          <w:p w14:paraId="359BCB06" w14:textId="77777777" w:rsidR="00CD55F1" w:rsidRDefault="00CD55F1" w:rsidP="00024DD9">
            <w:pPr>
              <w:jc w:val="center"/>
            </w:pPr>
            <w:r>
              <w:rPr>
                <w:rFonts w:ascii="Calibri" w:hAnsi="Calibri" w:cs="Calibri"/>
              </w:rPr>
              <w:t>0</w:t>
            </w:r>
          </w:p>
        </w:tc>
        <w:tc>
          <w:tcPr>
            <w:tcW w:w="0" w:type="auto"/>
            <w:shd w:val="clear" w:color="auto" w:fill="D9E2F3" w:themeFill="accent1" w:themeFillTint="33"/>
            <w:vAlign w:val="center"/>
          </w:tcPr>
          <w:p w14:paraId="34C86DB6" w14:textId="77777777" w:rsidR="00CD55F1" w:rsidRPr="00210DD1" w:rsidRDefault="00CD55F1" w:rsidP="00024DD9">
            <w:pPr>
              <w:jc w:val="center"/>
            </w:pPr>
            <w:r w:rsidRPr="00F60A9B">
              <w:rPr>
                <w:rFonts w:ascii="Calibri" w:hAnsi="Calibri" w:cs="Calibri"/>
              </w:rPr>
              <w:t>4</w:t>
            </w:r>
            <w:r>
              <w:rPr>
                <w:rFonts w:ascii="Calibri" w:hAnsi="Calibri" w:cs="Calibri"/>
              </w:rPr>
              <w:t>-1 = 3</w:t>
            </w:r>
          </w:p>
        </w:tc>
        <w:tc>
          <w:tcPr>
            <w:tcW w:w="0" w:type="auto"/>
            <w:vAlign w:val="center"/>
          </w:tcPr>
          <w:p w14:paraId="0825B25E" w14:textId="77777777" w:rsidR="00CD55F1" w:rsidRPr="00210DD1" w:rsidRDefault="00CD55F1" w:rsidP="00024DD9">
            <w:pPr>
              <w:jc w:val="center"/>
            </w:pPr>
            <w:r w:rsidRPr="00F60A9B">
              <w:rPr>
                <w:rFonts w:ascii="Calibri" w:hAnsi="Calibri" w:cs="Calibri"/>
              </w:rPr>
              <w:t>0</w:t>
            </w:r>
          </w:p>
        </w:tc>
        <w:tc>
          <w:tcPr>
            <w:tcW w:w="0" w:type="auto"/>
            <w:vAlign w:val="center"/>
          </w:tcPr>
          <w:p w14:paraId="29386C0F" w14:textId="77777777" w:rsidR="00CD55F1" w:rsidRPr="00210DD1" w:rsidRDefault="00CD55F1" w:rsidP="00024DD9">
            <w:pPr>
              <w:jc w:val="center"/>
            </w:pPr>
            <w:r w:rsidRPr="00F60A9B">
              <w:rPr>
                <w:rFonts w:ascii="Calibri" w:hAnsi="Calibri" w:cs="Calibri"/>
              </w:rPr>
              <w:t>0</w:t>
            </w:r>
          </w:p>
        </w:tc>
        <w:tc>
          <w:tcPr>
            <w:tcW w:w="0" w:type="auto"/>
            <w:vAlign w:val="center"/>
          </w:tcPr>
          <w:p w14:paraId="74963FDB" w14:textId="77777777" w:rsidR="00CD55F1" w:rsidRDefault="00CD55F1" w:rsidP="00024DD9">
            <w:pPr>
              <w:jc w:val="center"/>
            </w:pPr>
            <w:r w:rsidRPr="00F60A9B">
              <w:rPr>
                <w:rFonts w:ascii="Calibri" w:hAnsi="Calibri" w:cs="Calibri"/>
              </w:rPr>
              <w:t>0</w:t>
            </w:r>
          </w:p>
        </w:tc>
      </w:tr>
      <w:tr w:rsidR="00CD55F1" w:rsidRPr="00F60A9B" w14:paraId="7C562383" w14:textId="77777777" w:rsidTr="00024DD9">
        <w:trPr>
          <w:jc w:val="center"/>
        </w:trPr>
        <w:tc>
          <w:tcPr>
            <w:tcW w:w="0" w:type="auto"/>
            <w:tcBorders>
              <w:right w:val="single" w:sz="12" w:space="0" w:color="auto"/>
            </w:tcBorders>
          </w:tcPr>
          <w:p w14:paraId="3E60D93F"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shd w:val="clear" w:color="auto" w:fill="D9E2F3" w:themeFill="accent1" w:themeFillTint="33"/>
            <w:vAlign w:val="center"/>
          </w:tcPr>
          <w:p w14:paraId="247B1C0E" w14:textId="77777777" w:rsidR="00CD55F1" w:rsidRPr="00F60A9B" w:rsidRDefault="00CD55F1" w:rsidP="00024DD9">
            <w:pPr>
              <w:jc w:val="center"/>
            </w:pPr>
            <w:r w:rsidRPr="00F60A9B">
              <w:rPr>
                <w:rFonts w:ascii="Calibri" w:hAnsi="Calibri" w:cs="Calibri"/>
              </w:rPr>
              <w:t>4</w:t>
            </w:r>
            <w:r>
              <w:rPr>
                <w:rFonts w:ascii="Calibri" w:hAnsi="Calibri" w:cs="Calibri"/>
              </w:rPr>
              <w:t>-4 = 0</w:t>
            </w:r>
          </w:p>
        </w:tc>
        <w:tc>
          <w:tcPr>
            <w:tcW w:w="0" w:type="auto"/>
            <w:shd w:val="clear" w:color="auto" w:fill="D9E2F3" w:themeFill="accent1" w:themeFillTint="33"/>
            <w:vAlign w:val="center"/>
          </w:tcPr>
          <w:p w14:paraId="21F01A95" w14:textId="77777777" w:rsidR="00CD55F1" w:rsidRPr="00210DD1" w:rsidRDefault="00CD55F1" w:rsidP="00024DD9">
            <w:pPr>
              <w:jc w:val="center"/>
            </w:pPr>
            <w:r w:rsidRPr="00F60A9B">
              <w:rPr>
                <w:rFonts w:ascii="Calibri" w:hAnsi="Calibri" w:cs="Calibri"/>
              </w:rPr>
              <w:t>3</w:t>
            </w:r>
            <w:r>
              <w:rPr>
                <w:rFonts w:ascii="Calibri" w:hAnsi="Calibri" w:cs="Calibri"/>
              </w:rPr>
              <w:t>-3 = 0</w:t>
            </w:r>
          </w:p>
        </w:tc>
        <w:tc>
          <w:tcPr>
            <w:tcW w:w="0" w:type="auto"/>
            <w:shd w:val="clear" w:color="auto" w:fill="D9E2F3" w:themeFill="accent1" w:themeFillTint="33"/>
            <w:vAlign w:val="center"/>
          </w:tcPr>
          <w:p w14:paraId="13388346" w14:textId="77777777" w:rsidR="00CD55F1" w:rsidRPr="00210DD1" w:rsidRDefault="00CD55F1" w:rsidP="00024DD9">
            <w:pPr>
              <w:jc w:val="center"/>
            </w:pPr>
            <w:r w:rsidRPr="00F60A9B">
              <w:rPr>
                <w:rFonts w:ascii="Calibri" w:hAnsi="Calibri" w:cs="Calibri"/>
              </w:rPr>
              <w:t>4</w:t>
            </w:r>
            <w:r>
              <w:rPr>
                <w:rFonts w:ascii="Calibri" w:hAnsi="Calibri" w:cs="Calibri"/>
              </w:rPr>
              <w:t>-2 = 2</w:t>
            </w:r>
          </w:p>
        </w:tc>
        <w:tc>
          <w:tcPr>
            <w:tcW w:w="0" w:type="auto"/>
            <w:vAlign w:val="center"/>
          </w:tcPr>
          <w:p w14:paraId="7A10D04B" w14:textId="77777777" w:rsidR="00CD55F1" w:rsidRPr="00210DD1" w:rsidRDefault="00CD55F1" w:rsidP="00024DD9">
            <w:pPr>
              <w:jc w:val="center"/>
            </w:pPr>
            <w:r w:rsidRPr="00F60A9B">
              <w:rPr>
                <w:rFonts w:ascii="Calibri" w:hAnsi="Calibri" w:cs="Calibri"/>
              </w:rPr>
              <w:t>0</w:t>
            </w:r>
          </w:p>
        </w:tc>
        <w:tc>
          <w:tcPr>
            <w:tcW w:w="0" w:type="auto"/>
            <w:vAlign w:val="center"/>
          </w:tcPr>
          <w:p w14:paraId="7213D277"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7D7E1DEE"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6A4F39A8" w14:textId="77777777" w:rsidR="00CD55F1" w:rsidRDefault="00CD55F1" w:rsidP="00024DD9">
            <w:pPr>
              <w:jc w:val="center"/>
            </w:pPr>
            <w:r w:rsidRPr="005B7BEE">
              <w:rPr>
                <w:sz w:val="14"/>
                <w:szCs w:val="14"/>
              </w:rPr>
              <w:t>Probable</w:t>
            </w:r>
          </w:p>
        </w:tc>
        <w:tc>
          <w:tcPr>
            <w:tcW w:w="0" w:type="auto"/>
            <w:shd w:val="clear" w:color="auto" w:fill="D9E2F3" w:themeFill="accent1" w:themeFillTint="33"/>
            <w:vAlign w:val="center"/>
          </w:tcPr>
          <w:p w14:paraId="7C63C828" w14:textId="77777777" w:rsidR="00CD55F1" w:rsidRDefault="00CD55F1" w:rsidP="00024DD9">
            <w:pPr>
              <w:jc w:val="center"/>
            </w:pPr>
            <w:r w:rsidRPr="00F60A9B">
              <w:rPr>
                <w:rFonts w:ascii="Calibri" w:hAnsi="Calibri" w:cs="Calibri"/>
              </w:rPr>
              <w:t>15</w:t>
            </w:r>
            <w:r>
              <w:rPr>
                <w:rFonts w:ascii="Calibri" w:hAnsi="Calibri" w:cs="Calibri"/>
              </w:rPr>
              <w:t>-4 = 11</w:t>
            </w:r>
          </w:p>
        </w:tc>
        <w:tc>
          <w:tcPr>
            <w:tcW w:w="0" w:type="auto"/>
            <w:shd w:val="clear" w:color="auto" w:fill="D9E2F3" w:themeFill="accent1" w:themeFillTint="33"/>
            <w:vAlign w:val="center"/>
          </w:tcPr>
          <w:p w14:paraId="1B02967A" w14:textId="77777777" w:rsidR="00CD55F1" w:rsidRDefault="00CD55F1" w:rsidP="00024DD9">
            <w:pPr>
              <w:jc w:val="center"/>
            </w:pPr>
            <w:r w:rsidRPr="00F60A9B">
              <w:rPr>
                <w:rFonts w:ascii="Calibri" w:hAnsi="Calibri" w:cs="Calibri"/>
              </w:rPr>
              <w:t>4</w:t>
            </w:r>
            <w:r>
              <w:rPr>
                <w:rFonts w:ascii="Calibri" w:hAnsi="Calibri" w:cs="Calibri"/>
              </w:rPr>
              <w:t>-3 = 1</w:t>
            </w:r>
          </w:p>
        </w:tc>
        <w:tc>
          <w:tcPr>
            <w:tcW w:w="0" w:type="auto"/>
            <w:shd w:val="clear" w:color="auto" w:fill="D9E2F3" w:themeFill="accent1" w:themeFillTint="33"/>
            <w:vAlign w:val="center"/>
          </w:tcPr>
          <w:p w14:paraId="4D53882F" w14:textId="77777777" w:rsidR="00CD55F1" w:rsidRDefault="00CD55F1" w:rsidP="00024DD9">
            <w:pPr>
              <w:jc w:val="center"/>
            </w:pPr>
            <w:r w:rsidRPr="00F60A9B">
              <w:rPr>
                <w:rFonts w:ascii="Calibri" w:hAnsi="Calibri" w:cs="Calibri"/>
              </w:rPr>
              <w:t>2</w:t>
            </w:r>
            <w:r>
              <w:rPr>
                <w:rFonts w:ascii="Calibri" w:hAnsi="Calibri" w:cs="Calibri"/>
              </w:rPr>
              <w:t>-2 = 0</w:t>
            </w:r>
          </w:p>
        </w:tc>
        <w:tc>
          <w:tcPr>
            <w:tcW w:w="0" w:type="auto"/>
            <w:vAlign w:val="center"/>
          </w:tcPr>
          <w:p w14:paraId="189C3FF4" w14:textId="77777777" w:rsidR="00CD55F1" w:rsidRDefault="00CD55F1" w:rsidP="00024DD9">
            <w:pPr>
              <w:jc w:val="center"/>
            </w:pPr>
            <w:r w:rsidRPr="00F60A9B">
              <w:rPr>
                <w:rFonts w:ascii="Calibri" w:hAnsi="Calibri" w:cs="Calibri"/>
              </w:rPr>
              <w:t>1</w:t>
            </w:r>
          </w:p>
        </w:tc>
        <w:tc>
          <w:tcPr>
            <w:tcW w:w="0" w:type="auto"/>
            <w:vAlign w:val="center"/>
          </w:tcPr>
          <w:p w14:paraId="3D4E350E" w14:textId="77777777" w:rsidR="00CD55F1" w:rsidRDefault="00CD55F1" w:rsidP="00024DD9">
            <w:pPr>
              <w:jc w:val="center"/>
            </w:pPr>
            <w:r w:rsidRPr="00F60A9B">
              <w:rPr>
                <w:rFonts w:ascii="Calibri" w:hAnsi="Calibri" w:cs="Calibri"/>
              </w:rPr>
              <w:t>0</w:t>
            </w:r>
          </w:p>
        </w:tc>
      </w:tr>
      <w:tr w:rsidR="00CD55F1" w:rsidRPr="00F60A9B" w14:paraId="7277EBE3" w14:textId="77777777" w:rsidTr="00024DD9">
        <w:trPr>
          <w:jc w:val="center"/>
        </w:trPr>
        <w:tc>
          <w:tcPr>
            <w:tcW w:w="0" w:type="auto"/>
            <w:tcBorders>
              <w:right w:val="single" w:sz="12" w:space="0" w:color="auto"/>
            </w:tcBorders>
          </w:tcPr>
          <w:p w14:paraId="0F9D5918"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shd w:val="clear" w:color="auto" w:fill="D9E2F3" w:themeFill="accent1" w:themeFillTint="33"/>
            <w:vAlign w:val="center"/>
          </w:tcPr>
          <w:p w14:paraId="226FB4FA" w14:textId="77777777" w:rsidR="00CD55F1" w:rsidRPr="00F60A9B" w:rsidRDefault="00CD55F1" w:rsidP="00024DD9">
            <w:pPr>
              <w:jc w:val="center"/>
            </w:pPr>
            <w:r w:rsidRPr="00F60A9B">
              <w:rPr>
                <w:rFonts w:ascii="Calibri" w:hAnsi="Calibri" w:cs="Calibri"/>
              </w:rPr>
              <w:t>3</w:t>
            </w:r>
            <w:r>
              <w:rPr>
                <w:rFonts w:ascii="Calibri" w:hAnsi="Calibri" w:cs="Calibri"/>
              </w:rPr>
              <w:t>-3 = 0</w:t>
            </w:r>
          </w:p>
        </w:tc>
        <w:tc>
          <w:tcPr>
            <w:tcW w:w="0" w:type="auto"/>
            <w:vAlign w:val="center"/>
          </w:tcPr>
          <w:p w14:paraId="327EAAB2" w14:textId="77777777" w:rsidR="00CD55F1" w:rsidRPr="00210DD1" w:rsidRDefault="00CD55F1" w:rsidP="00024DD9">
            <w:pPr>
              <w:jc w:val="center"/>
            </w:pPr>
            <w:r w:rsidRPr="00F60A9B">
              <w:rPr>
                <w:rFonts w:ascii="Calibri" w:hAnsi="Calibri" w:cs="Calibri"/>
              </w:rPr>
              <w:t>0</w:t>
            </w:r>
          </w:p>
        </w:tc>
        <w:tc>
          <w:tcPr>
            <w:tcW w:w="0" w:type="auto"/>
            <w:shd w:val="clear" w:color="auto" w:fill="D9E2F3" w:themeFill="accent1" w:themeFillTint="33"/>
            <w:vAlign w:val="center"/>
          </w:tcPr>
          <w:p w14:paraId="40673A44" w14:textId="77777777" w:rsidR="00CD55F1" w:rsidRPr="00210DD1" w:rsidRDefault="00CD55F1" w:rsidP="00024DD9">
            <w:pPr>
              <w:jc w:val="center"/>
            </w:pPr>
            <w:r w:rsidRPr="00F60A9B">
              <w:rPr>
                <w:rFonts w:ascii="Calibri" w:hAnsi="Calibri" w:cs="Calibri"/>
              </w:rPr>
              <w:t>2</w:t>
            </w:r>
            <w:r>
              <w:rPr>
                <w:rFonts w:ascii="Calibri" w:hAnsi="Calibri" w:cs="Calibri"/>
              </w:rPr>
              <w:t>-2 = 0</w:t>
            </w:r>
          </w:p>
        </w:tc>
        <w:tc>
          <w:tcPr>
            <w:tcW w:w="0" w:type="auto"/>
            <w:shd w:val="clear" w:color="auto" w:fill="D9E2F3" w:themeFill="accent1" w:themeFillTint="33"/>
            <w:vAlign w:val="center"/>
          </w:tcPr>
          <w:p w14:paraId="5333271B" w14:textId="77777777" w:rsidR="00CD55F1" w:rsidRPr="00210DD1" w:rsidRDefault="00CD55F1" w:rsidP="00024DD9">
            <w:pPr>
              <w:jc w:val="center"/>
            </w:pPr>
            <w:r w:rsidRPr="00F60A9B">
              <w:rPr>
                <w:rFonts w:ascii="Calibri" w:hAnsi="Calibri" w:cs="Calibri"/>
              </w:rPr>
              <w:t>3</w:t>
            </w:r>
            <w:r>
              <w:rPr>
                <w:rFonts w:ascii="Calibri" w:hAnsi="Calibri" w:cs="Calibri"/>
              </w:rPr>
              <w:t>-1 = 2</w:t>
            </w:r>
          </w:p>
        </w:tc>
        <w:tc>
          <w:tcPr>
            <w:tcW w:w="0" w:type="auto"/>
            <w:vAlign w:val="center"/>
          </w:tcPr>
          <w:p w14:paraId="6C701FEE"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2485E799" w14:textId="77777777" w:rsidR="00CD55F1" w:rsidRDefault="00CD55F1" w:rsidP="00024DD9">
            <w:pPr>
              <w:jc w:val="center"/>
            </w:pPr>
          </w:p>
        </w:tc>
        <w:tc>
          <w:tcPr>
            <w:tcW w:w="0" w:type="auto"/>
            <w:vAlign w:val="center"/>
          </w:tcPr>
          <w:p w14:paraId="40128F0E" w14:textId="77777777" w:rsidR="00CD55F1" w:rsidRDefault="00CD55F1" w:rsidP="00024DD9">
            <w:pPr>
              <w:jc w:val="center"/>
            </w:pPr>
            <w:r w:rsidRPr="005B7BEE">
              <w:rPr>
                <w:sz w:val="14"/>
                <w:szCs w:val="14"/>
              </w:rPr>
              <w:t>Occasional</w:t>
            </w:r>
          </w:p>
        </w:tc>
        <w:tc>
          <w:tcPr>
            <w:tcW w:w="0" w:type="auto"/>
            <w:shd w:val="clear" w:color="auto" w:fill="D9E2F3" w:themeFill="accent1" w:themeFillTint="33"/>
            <w:vAlign w:val="center"/>
          </w:tcPr>
          <w:p w14:paraId="2306E7F3" w14:textId="77777777" w:rsidR="00CD55F1" w:rsidRDefault="00CD55F1" w:rsidP="00024DD9">
            <w:pPr>
              <w:jc w:val="center"/>
            </w:pPr>
            <w:r w:rsidRPr="00F60A9B">
              <w:rPr>
                <w:rFonts w:ascii="Calibri" w:hAnsi="Calibri" w:cs="Calibri"/>
              </w:rPr>
              <w:t>4</w:t>
            </w:r>
            <w:r>
              <w:rPr>
                <w:rFonts w:ascii="Calibri" w:hAnsi="Calibri" w:cs="Calibri"/>
              </w:rPr>
              <w:t>-3 = 1</w:t>
            </w:r>
          </w:p>
        </w:tc>
        <w:tc>
          <w:tcPr>
            <w:tcW w:w="0" w:type="auto"/>
            <w:vAlign w:val="center"/>
          </w:tcPr>
          <w:p w14:paraId="5AFD2347" w14:textId="77777777" w:rsidR="00CD55F1" w:rsidRDefault="00CD55F1" w:rsidP="00024DD9">
            <w:pPr>
              <w:jc w:val="center"/>
            </w:pPr>
            <w:r w:rsidRPr="00F60A9B">
              <w:rPr>
                <w:rFonts w:ascii="Calibri" w:hAnsi="Calibri" w:cs="Calibri"/>
              </w:rPr>
              <w:t>10</w:t>
            </w:r>
          </w:p>
        </w:tc>
        <w:tc>
          <w:tcPr>
            <w:tcW w:w="0" w:type="auto"/>
            <w:shd w:val="clear" w:color="auto" w:fill="D9E2F3" w:themeFill="accent1" w:themeFillTint="33"/>
            <w:vAlign w:val="center"/>
          </w:tcPr>
          <w:p w14:paraId="3C3F3801" w14:textId="77777777" w:rsidR="00CD55F1" w:rsidRDefault="00CD55F1" w:rsidP="00024DD9">
            <w:pPr>
              <w:jc w:val="center"/>
            </w:pPr>
            <w:r w:rsidRPr="00F60A9B">
              <w:rPr>
                <w:rFonts w:ascii="Calibri" w:hAnsi="Calibri" w:cs="Calibri"/>
              </w:rPr>
              <w:t>2</w:t>
            </w:r>
            <w:r>
              <w:rPr>
                <w:rFonts w:ascii="Calibri" w:hAnsi="Calibri" w:cs="Calibri"/>
              </w:rPr>
              <w:t>-2 = 0</w:t>
            </w:r>
          </w:p>
        </w:tc>
        <w:tc>
          <w:tcPr>
            <w:tcW w:w="0" w:type="auto"/>
            <w:shd w:val="clear" w:color="auto" w:fill="D9E2F3" w:themeFill="accent1" w:themeFillTint="33"/>
            <w:vAlign w:val="center"/>
          </w:tcPr>
          <w:p w14:paraId="605456B4" w14:textId="77777777" w:rsidR="00CD55F1" w:rsidRDefault="00CD55F1" w:rsidP="00024DD9">
            <w:pPr>
              <w:jc w:val="center"/>
            </w:pPr>
            <w:r w:rsidRPr="00F60A9B">
              <w:rPr>
                <w:rFonts w:ascii="Calibri" w:hAnsi="Calibri" w:cs="Calibri"/>
              </w:rPr>
              <w:t>1</w:t>
            </w:r>
            <w:r>
              <w:rPr>
                <w:rFonts w:ascii="Calibri" w:hAnsi="Calibri" w:cs="Calibri"/>
              </w:rPr>
              <w:t>-1 = 0</w:t>
            </w:r>
          </w:p>
        </w:tc>
        <w:tc>
          <w:tcPr>
            <w:tcW w:w="0" w:type="auto"/>
            <w:vAlign w:val="center"/>
          </w:tcPr>
          <w:p w14:paraId="1E8F1727" w14:textId="77777777" w:rsidR="00CD55F1" w:rsidRDefault="00CD55F1" w:rsidP="00024DD9">
            <w:pPr>
              <w:jc w:val="center"/>
            </w:pPr>
            <w:r w:rsidRPr="00F60A9B">
              <w:rPr>
                <w:rFonts w:ascii="Calibri" w:hAnsi="Calibri" w:cs="Calibri"/>
              </w:rPr>
              <w:t>1</w:t>
            </w:r>
          </w:p>
        </w:tc>
      </w:tr>
      <w:tr w:rsidR="00CD55F1" w:rsidRPr="00F60A9B" w14:paraId="74E02084" w14:textId="77777777" w:rsidTr="00024DD9">
        <w:trPr>
          <w:jc w:val="center"/>
        </w:trPr>
        <w:tc>
          <w:tcPr>
            <w:tcW w:w="0" w:type="auto"/>
            <w:tcBorders>
              <w:right w:val="single" w:sz="12" w:space="0" w:color="auto"/>
            </w:tcBorders>
          </w:tcPr>
          <w:p w14:paraId="7DA1508F"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shd w:val="clear" w:color="auto" w:fill="D9E2F3" w:themeFill="accent1" w:themeFillTint="33"/>
            <w:vAlign w:val="center"/>
          </w:tcPr>
          <w:p w14:paraId="309C69C6" w14:textId="77777777" w:rsidR="00CD55F1" w:rsidRPr="00F60A9B" w:rsidRDefault="00CD55F1" w:rsidP="00024DD9">
            <w:pPr>
              <w:jc w:val="center"/>
            </w:pPr>
            <w:r w:rsidRPr="00F60A9B">
              <w:rPr>
                <w:rFonts w:ascii="Calibri" w:hAnsi="Calibri" w:cs="Calibri"/>
              </w:rPr>
              <w:t>7</w:t>
            </w:r>
            <w:r>
              <w:rPr>
                <w:rFonts w:ascii="Calibri" w:hAnsi="Calibri" w:cs="Calibri"/>
              </w:rPr>
              <w:t>-4 = 3</w:t>
            </w:r>
          </w:p>
        </w:tc>
        <w:tc>
          <w:tcPr>
            <w:tcW w:w="0" w:type="auto"/>
            <w:shd w:val="clear" w:color="auto" w:fill="D9E2F3" w:themeFill="accent1" w:themeFillTint="33"/>
            <w:vAlign w:val="center"/>
          </w:tcPr>
          <w:p w14:paraId="7B929317" w14:textId="77777777" w:rsidR="00CD55F1" w:rsidRPr="00210DD1" w:rsidRDefault="00CD55F1" w:rsidP="00024DD9">
            <w:pPr>
              <w:jc w:val="center"/>
            </w:pPr>
            <w:r w:rsidRPr="00F60A9B">
              <w:rPr>
                <w:rFonts w:ascii="Calibri" w:hAnsi="Calibri" w:cs="Calibri"/>
              </w:rPr>
              <w:t>3</w:t>
            </w:r>
            <w:r>
              <w:rPr>
                <w:rFonts w:ascii="Calibri" w:hAnsi="Calibri" w:cs="Calibri"/>
              </w:rPr>
              <w:t>-3 = 0</w:t>
            </w:r>
          </w:p>
        </w:tc>
        <w:tc>
          <w:tcPr>
            <w:tcW w:w="0" w:type="auto"/>
            <w:shd w:val="clear" w:color="auto" w:fill="D9E2F3" w:themeFill="accent1" w:themeFillTint="33"/>
            <w:vAlign w:val="center"/>
          </w:tcPr>
          <w:p w14:paraId="4121C21B" w14:textId="77777777" w:rsidR="00CD55F1" w:rsidRPr="00210DD1" w:rsidRDefault="00CD55F1" w:rsidP="00024DD9">
            <w:pPr>
              <w:jc w:val="center"/>
            </w:pPr>
            <w:r w:rsidRPr="00F60A9B">
              <w:rPr>
                <w:rFonts w:ascii="Calibri" w:hAnsi="Calibri" w:cs="Calibri"/>
              </w:rPr>
              <w:t>4</w:t>
            </w:r>
            <w:r>
              <w:rPr>
                <w:rFonts w:ascii="Calibri" w:hAnsi="Calibri" w:cs="Calibri"/>
              </w:rPr>
              <w:t>-4 = 0</w:t>
            </w:r>
          </w:p>
        </w:tc>
        <w:tc>
          <w:tcPr>
            <w:tcW w:w="0" w:type="auto"/>
            <w:shd w:val="clear" w:color="auto" w:fill="D9E2F3" w:themeFill="accent1" w:themeFillTint="33"/>
            <w:vAlign w:val="center"/>
          </w:tcPr>
          <w:p w14:paraId="47205D40" w14:textId="77777777" w:rsidR="00CD55F1" w:rsidRPr="00210DD1" w:rsidRDefault="00CD55F1" w:rsidP="00024DD9">
            <w:pPr>
              <w:jc w:val="center"/>
            </w:pPr>
            <w:r w:rsidRPr="00F60A9B">
              <w:rPr>
                <w:rFonts w:ascii="Calibri" w:hAnsi="Calibri" w:cs="Calibri"/>
              </w:rPr>
              <w:t>6</w:t>
            </w:r>
            <w:r>
              <w:rPr>
                <w:rFonts w:ascii="Calibri" w:hAnsi="Calibri" w:cs="Calibri"/>
              </w:rPr>
              <w:t>-3 = 3</w:t>
            </w:r>
          </w:p>
        </w:tc>
        <w:tc>
          <w:tcPr>
            <w:tcW w:w="0" w:type="auto"/>
            <w:shd w:val="clear" w:color="auto" w:fill="D9E2F3" w:themeFill="accent1" w:themeFillTint="33"/>
            <w:vAlign w:val="center"/>
          </w:tcPr>
          <w:p w14:paraId="3FA6391E" w14:textId="77777777" w:rsidR="00CD55F1" w:rsidRPr="00F60A9B" w:rsidRDefault="00CD55F1" w:rsidP="00024DD9">
            <w:pPr>
              <w:jc w:val="center"/>
            </w:pPr>
            <w:r w:rsidRPr="00F60A9B">
              <w:rPr>
                <w:rFonts w:ascii="Calibri" w:hAnsi="Calibri" w:cs="Calibri"/>
              </w:rPr>
              <w:t>1</w:t>
            </w:r>
            <w:r>
              <w:rPr>
                <w:rFonts w:ascii="Calibri" w:hAnsi="Calibri" w:cs="Calibri"/>
              </w:rPr>
              <w:t>-1 = 0</w:t>
            </w:r>
          </w:p>
        </w:tc>
        <w:tc>
          <w:tcPr>
            <w:tcW w:w="0" w:type="auto"/>
            <w:tcBorders>
              <w:top w:val="nil"/>
              <w:left w:val="nil"/>
              <w:bottom w:val="nil"/>
              <w:right w:val="nil"/>
            </w:tcBorders>
            <w:vAlign w:val="center"/>
          </w:tcPr>
          <w:p w14:paraId="66E9F7B5" w14:textId="77777777" w:rsidR="00CD55F1" w:rsidRDefault="00CD55F1" w:rsidP="00024DD9">
            <w:pPr>
              <w:jc w:val="center"/>
            </w:pPr>
          </w:p>
        </w:tc>
        <w:tc>
          <w:tcPr>
            <w:tcW w:w="0" w:type="auto"/>
            <w:vAlign w:val="center"/>
          </w:tcPr>
          <w:p w14:paraId="38D0C35B" w14:textId="77777777" w:rsidR="00CD55F1" w:rsidRDefault="00CD55F1" w:rsidP="00024DD9">
            <w:pPr>
              <w:jc w:val="center"/>
            </w:pPr>
            <w:r w:rsidRPr="005B7BEE">
              <w:rPr>
                <w:sz w:val="14"/>
                <w:szCs w:val="14"/>
              </w:rPr>
              <w:t>Remote</w:t>
            </w:r>
          </w:p>
        </w:tc>
        <w:tc>
          <w:tcPr>
            <w:tcW w:w="0" w:type="auto"/>
            <w:shd w:val="clear" w:color="auto" w:fill="D9E2F3" w:themeFill="accent1" w:themeFillTint="33"/>
            <w:vAlign w:val="center"/>
          </w:tcPr>
          <w:p w14:paraId="3BE3436A" w14:textId="77777777" w:rsidR="00CD55F1" w:rsidRDefault="00CD55F1" w:rsidP="00024DD9">
            <w:pPr>
              <w:jc w:val="center"/>
            </w:pPr>
            <w:r w:rsidRPr="00F60A9B">
              <w:rPr>
                <w:rFonts w:ascii="Calibri" w:hAnsi="Calibri" w:cs="Calibri"/>
              </w:rPr>
              <w:t>4</w:t>
            </w:r>
            <w:r>
              <w:rPr>
                <w:rFonts w:ascii="Calibri" w:hAnsi="Calibri" w:cs="Calibri"/>
              </w:rPr>
              <w:t>-4 = 0</w:t>
            </w:r>
          </w:p>
        </w:tc>
        <w:tc>
          <w:tcPr>
            <w:tcW w:w="0" w:type="auto"/>
            <w:shd w:val="clear" w:color="auto" w:fill="D9E2F3" w:themeFill="accent1" w:themeFillTint="33"/>
            <w:vAlign w:val="center"/>
          </w:tcPr>
          <w:p w14:paraId="189E0CAE" w14:textId="77777777" w:rsidR="00CD55F1" w:rsidRDefault="00CD55F1" w:rsidP="00024DD9">
            <w:pPr>
              <w:jc w:val="center"/>
            </w:pPr>
            <w:r w:rsidRPr="00F60A9B">
              <w:rPr>
                <w:rFonts w:ascii="Calibri" w:hAnsi="Calibri" w:cs="Calibri"/>
              </w:rPr>
              <w:t>5</w:t>
            </w:r>
            <w:r>
              <w:rPr>
                <w:rFonts w:ascii="Calibri" w:hAnsi="Calibri" w:cs="Calibri"/>
              </w:rPr>
              <w:t>-3 = 2</w:t>
            </w:r>
          </w:p>
        </w:tc>
        <w:tc>
          <w:tcPr>
            <w:tcW w:w="0" w:type="auto"/>
            <w:shd w:val="clear" w:color="auto" w:fill="D9E2F3" w:themeFill="accent1" w:themeFillTint="33"/>
            <w:vAlign w:val="center"/>
          </w:tcPr>
          <w:p w14:paraId="02593A85" w14:textId="77777777" w:rsidR="00CD55F1" w:rsidRDefault="00CD55F1" w:rsidP="00024DD9">
            <w:pPr>
              <w:jc w:val="center"/>
            </w:pPr>
            <w:r w:rsidRPr="00F60A9B">
              <w:rPr>
                <w:rFonts w:ascii="Calibri" w:hAnsi="Calibri" w:cs="Calibri"/>
              </w:rPr>
              <w:t>4</w:t>
            </w:r>
            <w:r>
              <w:rPr>
                <w:rFonts w:ascii="Calibri" w:hAnsi="Calibri" w:cs="Calibri"/>
              </w:rPr>
              <w:t>-4 = 0</w:t>
            </w:r>
          </w:p>
        </w:tc>
        <w:tc>
          <w:tcPr>
            <w:tcW w:w="0" w:type="auto"/>
            <w:shd w:val="clear" w:color="auto" w:fill="D9E2F3" w:themeFill="accent1" w:themeFillTint="33"/>
            <w:vAlign w:val="center"/>
          </w:tcPr>
          <w:p w14:paraId="3426A27C" w14:textId="77777777" w:rsidR="00CD55F1" w:rsidRDefault="00CD55F1" w:rsidP="00024DD9">
            <w:pPr>
              <w:jc w:val="center"/>
            </w:pPr>
            <w:r w:rsidRPr="00F60A9B">
              <w:rPr>
                <w:rFonts w:ascii="Calibri" w:hAnsi="Calibri" w:cs="Calibri"/>
              </w:rPr>
              <w:t>3</w:t>
            </w:r>
            <w:r>
              <w:rPr>
                <w:rFonts w:ascii="Calibri" w:hAnsi="Calibri" w:cs="Calibri"/>
              </w:rPr>
              <w:t>-3 = 0</w:t>
            </w:r>
          </w:p>
        </w:tc>
        <w:tc>
          <w:tcPr>
            <w:tcW w:w="0" w:type="auto"/>
            <w:shd w:val="clear" w:color="auto" w:fill="D9E2F3" w:themeFill="accent1" w:themeFillTint="33"/>
            <w:vAlign w:val="center"/>
          </w:tcPr>
          <w:p w14:paraId="4934424B" w14:textId="77777777" w:rsidR="00CD55F1" w:rsidRDefault="00CD55F1" w:rsidP="00024DD9">
            <w:pPr>
              <w:jc w:val="center"/>
            </w:pPr>
            <w:r w:rsidRPr="00F60A9B">
              <w:rPr>
                <w:rFonts w:ascii="Calibri" w:hAnsi="Calibri" w:cs="Calibri"/>
              </w:rPr>
              <w:t>1</w:t>
            </w:r>
            <w:r>
              <w:rPr>
                <w:rFonts w:ascii="Calibri" w:hAnsi="Calibri" w:cs="Calibri"/>
              </w:rPr>
              <w:t>-1 = 0</w:t>
            </w:r>
          </w:p>
        </w:tc>
      </w:tr>
      <w:tr w:rsidR="00CD55F1" w:rsidRPr="00F60A9B" w14:paraId="16E015C7" w14:textId="77777777" w:rsidTr="00024DD9">
        <w:trPr>
          <w:jc w:val="center"/>
        </w:trPr>
        <w:tc>
          <w:tcPr>
            <w:tcW w:w="0" w:type="auto"/>
            <w:tcBorders>
              <w:right w:val="single" w:sz="12" w:space="0" w:color="auto"/>
            </w:tcBorders>
          </w:tcPr>
          <w:p w14:paraId="554C7006"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shd w:val="clear" w:color="auto" w:fill="D9E2F3" w:themeFill="accent1" w:themeFillTint="33"/>
            <w:vAlign w:val="center"/>
          </w:tcPr>
          <w:p w14:paraId="70726A9F" w14:textId="77777777" w:rsidR="00CD55F1" w:rsidRPr="00F60A9B" w:rsidRDefault="00CD55F1" w:rsidP="00024DD9">
            <w:pPr>
              <w:jc w:val="center"/>
            </w:pPr>
            <w:r w:rsidRPr="00F60A9B">
              <w:rPr>
                <w:rFonts w:ascii="Calibri" w:hAnsi="Calibri" w:cs="Calibri"/>
              </w:rPr>
              <w:t>5</w:t>
            </w:r>
            <w:r>
              <w:rPr>
                <w:rFonts w:ascii="Calibri" w:hAnsi="Calibri" w:cs="Calibri"/>
              </w:rPr>
              <w:t>-5 = 0</w:t>
            </w:r>
          </w:p>
        </w:tc>
        <w:tc>
          <w:tcPr>
            <w:tcW w:w="0" w:type="auto"/>
            <w:shd w:val="clear" w:color="auto" w:fill="D9E2F3" w:themeFill="accent1" w:themeFillTint="33"/>
            <w:vAlign w:val="center"/>
          </w:tcPr>
          <w:p w14:paraId="70714ACC" w14:textId="77777777" w:rsidR="00CD55F1" w:rsidRPr="00210DD1" w:rsidRDefault="00CD55F1" w:rsidP="00024DD9">
            <w:pPr>
              <w:jc w:val="center"/>
            </w:pPr>
            <w:r w:rsidRPr="00F60A9B">
              <w:rPr>
                <w:rFonts w:ascii="Calibri" w:hAnsi="Calibri" w:cs="Calibri"/>
              </w:rPr>
              <w:t>5</w:t>
            </w:r>
            <w:r>
              <w:rPr>
                <w:rFonts w:ascii="Calibri" w:hAnsi="Calibri" w:cs="Calibri"/>
              </w:rPr>
              <w:t>-5 = 0</w:t>
            </w:r>
          </w:p>
        </w:tc>
        <w:tc>
          <w:tcPr>
            <w:tcW w:w="0" w:type="auto"/>
            <w:shd w:val="clear" w:color="auto" w:fill="D9E2F3" w:themeFill="accent1" w:themeFillTint="33"/>
            <w:vAlign w:val="center"/>
          </w:tcPr>
          <w:p w14:paraId="454F69D2" w14:textId="77777777" w:rsidR="00CD55F1" w:rsidRPr="00210DD1" w:rsidRDefault="00CD55F1" w:rsidP="00024DD9">
            <w:pPr>
              <w:jc w:val="center"/>
            </w:pPr>
            <w:r w:rsidRPr="00F60A9B">
              <w:rPr>
                <w:rFonts w:ascii="Calibri" w:hAnsi="Calibri" w:cs="Calibri"/>
              </w:rPr>
              <w:t>1</w:t>
            </w:r>
            <w:r>
              <w:rPr>
                <w:rFonts w:ascii="Calibri" w:hAnsi="Calibri" w:cs="Calibri"/>
              </w:rPr>
              <w:t>-1 = 0</w:t>
            </w:r>
          </w:p>
        </w:tc>
        <w:tc>
          <w:tcPr>
            <w:tcW w:w="0" w:type="auto"/>
            <w:shd w:val="clear" w:color="auto" w:fill="D9E2F3" w:themeFill="accent1" w:themeFillTint="33"/>
            <w:vAlign w:val="center"/>
          </w:tcPr>
          <w:p w14:paraId="129B84EB" w14:textId="77777777" w:rsidR="00CD55F1" w:rsidRPr="00210DD1" w:rsidRDefault="00CD55F1" w:rsidP="00024DD9">
            <w:pPr>
              <w:jc w:val="center"/>
            </w:pPr>
            <w:r w:rsidRPr="00F60A9B">
              <w:rPr>
                <w:rFonts w:ascii="Calibri" w:hAnsi="Calibri" w:cs="Calibri"/>
              </w:rPr>
              <w:t>3</w:t>
            </w:r>
            <w:r>
              <w:rPr>
                <w:rFonts w:ascii="Calibri" w:hAnsi="Calibri" w:cs="Calibri"/>
              </w:rPr>
              <w:t>-3 = 0</w:t>
            </w:r>
          </w:p>
        </w:tc>
        <w:tc>
          <w:tcPr>
            <w:tcW w:w="0" w:type="auto"/>
            <w:vAlign w:val="center"/>
          </w:tcPr>
          <w:p w14:paraId="7346E6DD"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02138EAC" w14:textId="77777777" w:rsidR="00CD55F1" w:rsidRDefault="00CD55F1" w:rsidP="00024DD9">
            <w:pPr>
              <w:keepNext/>
              <w:jc w:val="center"/>
            </w:pPr>
          </w:p>
        </w:tc>
        <w:tc>
          <w:tcPr>
            <w:tcW w:w="0" w:type="auto"/>
            <w:vAlign w:val="center"/>
          </w:tcPr>
          <w:p w14:paraId="4354FCA1" w14:textId="77777777" w:rsidR="00CD55F1" w:rsidRDefault="00CD55F1" w:rsidP="00024DD9">
            <w:pPr>
              <w:keepNext/>
              <w:jc w:val="center"/>
            </w:pPr>
            <w:r w:rsidRPr="005B7BEE">
              <w:rPr>
                <w:sz w:val="14"/>
                <w:szCs w:val="14"/>
              </w:rPr>
              <w:t>Improbable</w:t>
            </w:r>
          </w:p>
        </w:tc>
        <w:tc>
          <w:tcPr>
            <w:tcW w:w="0" w:type="auto"/>
            <w:shd w:val="clear" w:color="auto" w:fill="D9E2F3" w:themeFill="accent1" w:themeFillTint="33"/>
            <w:vAlign w:val="center"/>
          </w:tcPr>
          <w:p w14:paraId="2E6C8369" w14:textId="77777777" w:rsidR="00CD55F1" w:rsidRDefault="00CD55F1" w:rsidP="00024DD9">
            <w:pPr>
              <w:keepNext/>
              <w:jc w:val="center"/>
            </w:pPr>
            <w:r w:rsidRPr="00F60A9B">
              <w:rPr>
                <w:rFonts w:ascii="Calibri" w:hAnsi="Calibri" w:cs="Calibri"/>
              </w:rPr>
              <w:t>5</w:t>
            </w:r>
            <w:r>
              <w:rPr>
                <w:rFonts w:ascii="Calibri" w:hAnsi="Calibri" w:cs="Calibri"/>
              </w:rPr>
              <w:t>-5 = 0</w:t>
            </w:r>
          </w:p>
        </w:tc>
        <w:tc>
          <w:tcPr>
            <w:tcW w:w="0" w:type="auto"/>
            <w:shd w:val="clear" w:color="auto" w:fill="D9E2F3" w:themeFill="accent1" w:themeFillTint="33"/>
            <w:vAlign w:val="center"/>
          </w:tcPr>
          <w:p w14:paraId="13FA123D" w14:textId="77777777" w:rsidR="00CD55F1" w:rsidRDefault="00CD55F1" w:rsidP="00024DD9">
            <w:pPr>
              <w:keepNext/>
              <w:jc w:val="center"/>
            </w:pPr>
            <w:r w:rsidRPr="00F60A9B">
              <w:rPr>
                <w:rFonts w:ascii="Calibri" w:hAnsi="Calibri" w:cs="Calibri"/>
              </w:rPr>
              <w:t>6</w:t>
            </w:r>
            <w:r>
              <w:rPr>
                <w:rFonts w:ascii="Calibri" w:hAnsi="Calibri" w:cs="Calibri"/>
              </w:rPr>
              <w:t>-5 = 1</w:t>
            </w:r>
          </w:p>
        </w:tc>
        <w:tc>
          <w:tcPr>
            <w:tcW w:w="0" w:type="auto"/>
            <w:shd w:val="clear" w:color="auto" w:fill="D9E2F3" w:themeFill="accent1" w:themeFillTint="33"/>
            <w:vAlign w:val="center"/>
          </w:tcPr>
          <w:p w14:paraId="7B9A5F62" w14:textId="77777777" w:rsidR="00CD55F1" w:rsidRDefault="00CD55F1" w:rsidP="00024DD9">
            <w:pPr>
              <w:keepNext/>
              <w:jc w:val="center"/>
            </w:pPr>
            <w:r w:rsidRPr="00F60A9B">
              <w:rPr>
                <w:rFonts w:ascii="Calibri" w:hAnsi="Calibri" w:cs="Calibri"/>
              </w:rPr>
              <w:t>1</w:t>
            </w:r>
            <w:r>
              <w:rPr>
                <w:rFonts w:ascii="Calibri" w:hAnsi="Calibri" w:cs="Calibri"/>
              </w:rPr>
              <w:t>-1 = 0</w:t>
            </w:r>
          </w:p>
        </w:tc>
        <w:tc>
          <w:tcPr>
            <w:tcW w:w="0" w:type="auto"/>
            <w:shd w:val="clear" w:color="auto" w:fill="D9E2F3" w:themeFill="accent1" w:themeFillTint="33"/>
            <w:vAlign w:val="center"/>
          </w:tcPr>
          <w:p w14:paraId="6C4A3FC4" w14:textId="77777777" w:rsidR="00CD55F1" w:rsidRDefault="00CD55F1" w:rsidP="00024DD9">
            <w:pPr>
              <w:keepNext/>
              <w:jc w:val="center"/>
            </w:pPr>
            <w:r w:rsidRPr="00F60A9B">
              <w:rPr>
                <w:rFonts w:ascii="Calibri" w:hAnsi="Calibri" w:cs="Calibri"/>
              </w:rPr>
              <w:t>12</w:t>
            </w:r>
            <w:r>
              <w:rPr>
                <w:rFonts w:ascii="Calibri" w:hAnsi="Calibri" w:cs="Calibri"/>
              </w:rPr>
              <w:t>-3 =9</w:t>
            </w:r>
          </w:p>
        </w:tc>
        <w:tc>
          <w:tcPr>
            <w:tcW w:w="0" w:type="auto"/>
            <w:vAlign w:val="center"/>
          </w:tcPr>
          <w:p w14:paraId="777D2422" w14:textId="77777777" w:rsidR="00CD55F1" w:rsidRDefault="00CD55F1" w:rsidP="00024DD9">
            <w:pPr>
              <w:keepNext/>
              <w:jc w:val="center"/>
            </w:pPr>
            <w:r w:rsidRPr="00F60A9B">
              <w:rPr>
                <w:rFonts w:ascii="Calibri" w:hAnsi="Calibri" w:cs="Calibri"/>
              </w:rPr>
              <w:t>0</w:t>
            </w:r>
          </w:p>
        </w:tc>
      </w:tr>
    </w:tbl>
    <w:p w14:paraId="2DB03CA6" w14:textId="5DECAB48" w:rsidR="00CD55F1" w:rsidRDefault="00CD55F1" w:rsidP="00CD55F1">
      <w:pPr>
        <w:pStyle w:val="Caption"/>
        <w:keepNext/>
        <w:spacing w:before="120"/>
        <w:jc w:val="center"/>
      </w:pPr>
      <w:bookmarkStart w:id="59" w:name="_Ref146706063"/>
      <w:r>
        <w:t xml:space="preserve">Equation </w:t>
      </w:r>
      <w:r>
        <w:fldChar w:fldCharType="begin"/>
      </w:r>
      <w:r>
        <w:instrText xml:space="preserve"> SEQ Equation \* ARABIC </w:instrText>
      </w:r>
      <w:r>
        <w:fldChar w:fldCharType="separate"/>
      </w:r>
      <w:r w:rsidR="003468AE">
        <w:rPr>
          <w:noProof/>
        </w:rPr>
        <w:t>13</w:t>
      </w:r>
      <w:r>
        <w:rPr>
          <w:noProof/>
        </w:rPr>
        <w:fldChar w:fldCharType="end"/>
      </w:r>
      <w:bookmarkEnd w:id="59"/>
    </w:p>
    <w:p w14:paraId="5D137F79" w14:textId="7AE4039F" w:rsidR="00CD55F1" w:rsidRDefault="00CD55F1" w:rsidP="00CD55F1">
      <w:pPr>
        <w:spacing w:before="120"/>
      </w:pPr>
      <w:r>
        <w:t xml:space="preserve">After the subtractions in </w:t>
      </w:r>
      <w:r>
        <w:fldChar w:fldCharType="begin"/>
      </w:r>
      <w:r>
        <w:instrText xml:space="preserve"> REF _Ref146706063 \h </w:instrText>
      </w:r>
      <w:r>
        <w:fldChar w:fldCharType="separate"/>
      </w:r>
      <w:r w:rsidR="001E41EA">
        <w:t xml:space="preserve">Equation </w:t>
      </w:r>
      <w:r w:rsidR="001E41EA">
        <w:rPr>
          <w:noProof/>
        </w:rPr>
        <w:t>13</w:t>
      </w:r>
      <w:r>
        <w:fldChar w:fldCharType="end"/>
      </w:r>
      <w:r>
        <w:t xml:space="preserve"> have been performed,</w:t>
      </w:r>
      <w:r w:rsidRPr="00F60A9B">
        <w:t xml:space="preserve"> </w:t>
      </w:r>
      <w:r w:rsidR="002416C6">
        <w:fldChar w:fldCharType="begin"/>
      </w:r>
      <w:r w:rsidR="002416C6">
        <w:instrText xml:space="preserve"> REF _Ref146706063 \h </w:instrText>
      </w:r>
      <w:r w:rsidR="002416C6">
        <w:fldChar w:fldCharType="separate"/>
      </w:r>
      <w:r w:rsidR="001E41EA">
        <w:t xml:space="preserve">Equation </w:t>
      </w:r>
      <w:r w:rsidR="001E41EA">
        <w:rPr>
          <w:noProof/>
        </w:rPr>
        <w:t>13</w:t>
      </w:r>
      <w:r w:rsidR="002416C6">
        <w:fldChar w:fldCharType="end"/>
      </w:r>
      <w:r>
        <w:t xml:space="preserve"> simplifies to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42DB13FF" w14:textId="77777777" w:rsidTr="00024DD9">
        <w:trPr>
          <w:tblHeader/>
          <w:jc w:val="center"/>
        </w:trPr>
        <w:tc>
          <w:tcPr>
            <w:tcW w:w="0" w:type="auto"/>
            <w:tcBorders>
              <w:top w:val="nil"/>
              <w:left w:val="nil"/>
              <w:bottom w:val="single" w:sz="4" w:space="0" w:color="auto"/>
            </w:tcBorders>
            <w:vAlign w:val="center"/>
          </w:tcPr>
          <w:p w14:paraId="500E369F"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C5260A8"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F52E048"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972D610"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58B0E96"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2BB6431" w14:textId="77777777" w:rsidR="00CD55F1" w:rsidRPr="005B7BEE" w:rsidRDefault="00CD55F1" w:rsidP="00024DD9">
            <w:pPr>
              <w:jc w:val="center"/>
              <w:rPr>
                <w:sz w:val="14"/>
                <w:szCs w:val="14"/>
              </w:rPr>
            </w:pPr>
            <w:r w:rsidRPr="005B7BEE">
              <w:rPr>
                <w:sz w:val="14"/>
                <w:szCs w:val="14"/>
              </w:rPr>
              <w:t xml:space="preserve">Catastrophic </w:t>
            </w:r>
          </w:p>
          <w:p w14:paraId="69FF5B27"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0458DF96"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60861DA3"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142BCD22"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6F695FCD"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388D1C22"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187D041E"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F13BC7B" w14:textId="77777777" w:rsidR="00CD55F1" w:rsidRPr="005B7BEE" w:rsidRDefault="00CD55F1" w:rsidP="00024DD9">
            <w:pPr>
              <w:jc w:val="center"/>
              <w:rPr>
                <w:sz w:val="14"/>
                <w:szCs w:val="14"/>
              </w:rPr>
            </w:pPr>
            <w:r w:rsidRPr="005B7BEE">
              <w:rPr>
                <w:sz w:val="14"/>
                <w:szCs w:val="14"/>
              </w:rPr>
              <w:t xml:space="preserve">Catastrophic </w:t>
            </w:r>
          </w:p>
          <w:p w14:paraId="03327C66"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7545E22E" w14:textId="77777777" w:rsidTr="00024DD9">
        <w:trPr>
          <w:jc w:val="center"/>
        </w:trPr>
        <w:tc>
          <w:tcPr>
            <w:tcW w:w="0" w:type="auto"/>
            <w:tcBorders>
              <w:top w:val="single" w:sz="4" w:space="0" w:color="auto"/>
              <w:right w:val="single" w:sz="12" w:space="0" w:color="auto"/>
            </w:tcBorders>
          </w:tcPr>
          <w:p w14:paraId="699AE74B"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76A807ED" w14:textId="77777777" w:rsidR="00CD55F1" w:rsidRPr="00F60A9B" w:rsidRDefault="00CD55F1" w:rsidP="00024DD9">
            <w:pPr>
              <w:jc w:val="center"/>
            </w:pPr>
            <w:r>
              <w:t>0</w:t>
            </w:r>
          </w:p>
        </w:tc>
        <w:tc>
          <w:tcPr>
            <w:tcW w:w="0" w:type="auto"/>
            <w:tcBorders>
              <w:top w:val="single" w:sz="12" w:space="0" w:color="auto"/>
            </w:tcBorders>
            <w:vAlign w:val="center"/>
          </w:tcPr>
          <w:p w14:paraId="27450D94" w14:textId="77777777" w:rsidR="00CD55F1" w:rsidRPr="00210DD1" w:rsidRDefault="00CD55F1" w:rsidP="00024DD9">
            <w:pPr>
              <w:jc w:val="center"/>
            </w:pPr>
            <w:r>
              <w:t>0</w:t>
            </w:r>
          </w:p>
        </w:tc>
        <w:tc>
          <w:tcPr>
            <w:tcW w:w="0" w:type="auto"/>
            <w:tcBorders>
              <w:top w:val="single" w:sz="12" w:space="0" w:color="auto"/>
            </w:tcBorders>
            <w:vAlign w:val="center"/>
          </w:tcPr>
          <w:p w14:paraId="1F26B19F" w14:textId="77777777" w:rsidR="00CD55F1" w:rsidRPr="00210DD1" w:rsidRDefault="00CD55F1" w:rsidP="00024DD9">
            <w:pPr>
              <w:jc w:val="center"/>
            </w:pPr>
            <w:r>
              <w:t>0</w:t>
            </w:r>
          </w:p>
        </w:tc>
        <w:tc>
          <w:tcPr>
            <w:tcW w:w="0" w:type="auto"/>
            <w:tcBorders>
              <w:top w:val="single" w:sz="12" w:space="0" w:color="auto"/>
            </w:tcBorders>
            <w:vAlign w:val="center"/>
          </w:tcPr>
          <w:p w14:paraId="2A78E5D9" w14:textId="77777777" w:rsidR="00CD55F1" w:rsidRPr="00210DD1" w:rsidRDefault="00CD55F1" w:rsidP="00024DD9">
            <w:pPr>
              <w:jc w:val="center"/>
            </w:pPr>
            <w:r>
              <w:t>0</w:t>
            </w:r>
          </w:p>
        </w:tc>
        <w:tc>
          <w:tcPr>
            <w:tcW w:w="0" w:type="auto"/>
            <w:tcBorders>
              <w:top w:val="single" w:sz="12" w:space="0" w:color="auto"/>
            </w:tcBorders>
            <w:vAlign w:val="center"/>
          </w:tcPr>
          <w:p w14:paraId="7B167B70" w14:textId="77777777" w:rsidR="00CD55F1" w:rsidRPr="00F60A9B" w:rsidRDefault="00CD55F1" w:rsidP="00024DD9">
            <w:pPr>
              <w:jc w:val="center"/>
            </w:pPr>
            <w:r>
              <w:t>0</w:t>
            </w:r>
          </w:p>
        </w:tc>
        <w:tc>
          <w:tcPr>
            <w:tcW w:w="0" w:type="auto"/>
            <w:tcBorders>
              <w:top w:val="nil"/>
              <w:left w:val="nil"/>
              <w:bottom w:val="nil"/>
              <w:right w:val="nil"/>
            </w:tcBorders>
            <w:vAlign w:val="center"/>
          </w:tcPr>
          <w:p w14:paraId="288A6E13" w14:textId="77777777" w:rsidR="00CD55F1" w:rsidRDefault="00CD55F1" w:rsidP="00024DD9">
            <w:pPr>
              <w:jc w:val="center"/>
            </w:pPr>
          </w:p>
        </w:tc>
        <w:tc>
          <w:tcPr>
            <w:tcW w:w="0" w:type="auto"/>
            <w:tcBorders>
              <w:top w:val="single" w:sz="12" w:space="0" w:color="auto"/>
            </w:tcBorders>
            <w:vAlign w:val="center"/>
          </w:tcPr>
          <w:p w14:paraId="61ADA871"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5E23D336" w14:textId="77777777" w:rsidR="00CD55F1" w:rsidRDefault="00CD55F1" w:rsidP="00024DD9">
            <w:pPr>
              <w:jc w:val="center"/>
            </w:pPr>
            <w:r>
              <w:t>0</w:t>
            </w:r>
          </w:p>
        </w:tc>
        <w:tc>
          <w:tcPr>
            <w:tcW w:w="0" w:type="auto"/>
            <w:tcBorders>
              <w:top w:val="single" w:sz="12" w:space="0" w:color="auto"/>
            </w:tcBorders>
            <w:vAlign w:val="center"/>
          </w:tcPr>
          <w:p w14:paraId="1F6AA87E" w14:textId="77777777" w:rsidR="00CD55F1" w:rsidRDefault="00CD55F1" w:rsidP="00024DD9">
            <w:pPr>
              <w:jc w:val="center"/>
            </w:pPr>
            <w:r>
              <w:t>0</w:t>
            </w:r>
          </w:p>
        </w:tc>
        <w:tc>
          <w:tcPr>
            <w:tcW w:w="0" w:type="auto"/>
            <w:tcBorders>
              <w:top w:val="single" w:sz="12" w:space="0" w:color="auto"/>
            </w:tcBorders>
            <w:vAlign w:val="center"/>
          </w:tcPr>
          <w:p w14:paraId="59CEB680" w14:textId="77777777" w:rsidR="00CD55F1" w:rsidRDefault="00CD55F1" w:rsidP="00024DD9">
            <w:pPr>
              <w:jc w:val="center"/>
            </w:pPr>
            <w:r>
              <w:t>0</w:t>
            </w:r>
          </w:p>
        </w:tc>
        <w:tc>
          <w:tcPr>
            <w:tcW w:w="0" w:type="auto"/>
            <w:tcBorders>
              <w:top w:val="single" w:sz="12" w:space="0" w:color="auto"/>
            </w:tcBorders>
            <w:vAlign w:val="center"/>
          </w:tcPr>
          <w:p w14:paraId="6A3C2656" w14:textId="77777777" w:rsidR="00CD55F1" w:rsidRDefault="00CD55F1" w:rsidP="00024DD9">
            <w:pPr>
              <w:jc w:val="center"/>
            </w:pPr>
            <w:r>
              <w:t>0</w:t>
            </w:r>
          </w:p>
        </w:tc>
        <w:tc>
          <w:tcPr>
            <w:tcW w:w="0" w:type="auto"/>
            <w:tcBorders>
              <w:top w:val="single" w:sz="12" w:space="0" w:color="auto"/>
            </w:tcBorders>
            <w:vAlign w:val="center"/>
          </w:tcPr>
          <w:p w14:paraId="2097A948" w14:textId="77777777" w:rsidR="00CD55F1" w:rsidRDefault="00CD55F1" w:rsidP="00024DD9">
            <w:pPr>
              <w:jc w:val="center"/>
            </w:pPr>
            <w:r>
              <w:t>0</w:t>
            </w:r>
          </w:p>
        </w:tc>
      </w:tr>
      <w:tr w:rsidR="00CD55F1" w:rsidRPr="00F60A9B" w14:paraId="15E6B2D6" w14:textId="77777777" w:rsidTr="00024DD9">
        <w:trPr>
          <w:jc w:val="center"/>
        </w:trPr>
        <w:tc>
          <w:tcPr>
            <w:tcW w:w="0" w:type="auto"/>
            <w:tcBorders>
              <w:right w:val="single" w:sz="12" w:space="0" w:color="auto"/>
            </w:tcBorders>
          </w:tcPr>
          <w:p w14:paraId="1502F34D"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2D3C9CBA" w14:textId="77777777" w:rsidR="00CD55F1" w:rsidRDefault="00CD55F1" w:rsidP="00024DD9">
            <w:pPr>
              <w:jc w:val="center"/>
            </w:pPr>
            <w:r>
              <w:t>0</w:t>
            </w:r>
          </w:p>
        </w:tc>
        <w:tc>
          <w:tcPr>
            <w:tcW w:w="0" w:type="auto"/>
            <w:vAlign w:val="center"/>
          </w:tcPr>
          <w:p w14:paraId="0955578D" w14:textId="77777777" w:rsidR="00CD55F1" w:rsidRPr="00210DD1" w:rsidRDefault="00CD55F1" w:rsidP="00024DD9">
            <w:pPr>
              <w:jc w:val="center"/>
            </w:pPr>
            <w:r>
              <w:t>0</w:t>
            </w:r>
          </w:p>
        </w:tc>
        <w:tc>
          <w:tcPr>
            <w:tcW w:w="0" w:type="auto"/>
            <w:vAlign w:val="center"/>
          </w:tcPr>
          <w:p w14:paraId="2A0C76BE" w14:textId="77777777" w:rsidR="00CD55F1" w:rsidRPr="00210DD1" w:rsidRDefault="00CD55F1" w:rsidP="00024DD9">
            <w:pPr>
              <w:jc w:val="center"/>
            </w:pPr>
            <w:r>
              <w:t>0</w:t>
            </w:r>
          </w:p>
        </w:tc>
        <w:tc>
          <w:tcPr>
            <w:tcW w:w="0" w:type="auto"/>
            <w:vAlign w:val="center"/>
          </w:tcPr>
          <w:p w14:paraId="3B342B8B" w14:textId="77777777" w:rsidR="00CD55F1" w:rsidRPr="00210DD1" w:rsidRDefault="00CD55F1" w:rsidP="00024DD9">
            <w:pPr>
              <w:jc w:val="center"/>
            </w:pPr>
            <w:r>
              <w:t>0</w:t>
            </w:r>
          </w:p>
        </w:tc>
        <w:tc>
          <w:tcPr>
            <w:tcW w:w="0" w:type="auto"/>
            <w:vAlign w:val="center"/>
          </w:tcPr>
          <w:p w14:paraId="5B774923" w14:textId="77777777" w:rsidR="00CD55F1" w:rsidRDefault="00CD55F1" w:rsidP="00024DD9">
            <w:pPr>
              <w:jc w:val="center"/>
            </w:pPr>
            <w:r>
              <w:t>0</w:t>
            </w:r>
          </w:p>
        </w:tc>
        <w:tc>
          <w:tcPr>
            <w:tcW w:w="0" w:type="auto"/>
            <w:tcBorders>
              <w:top w:val="nil"/>
              <w:left w:val="nil"/>
              <w:bottom w:val="nil"/>
              <w:right w:val="nil"/>
            </w:tcBorders>
            <w:vAlign w:val="center"/>
          </w:tcPr>
          <w:p w14:paraId="0A3DB529" w14:textId="77777777" w:rsidR="00CD55F1" w:rsidRDefault="00CD55F1" w:rsidP="00024DD9">
            <w:pPr>
              <w:jc w:val="center"/>
            </w:pPr>
          </w:p>
        </w:tc>
        <w:tc>
          <w:tcPr>
            <w:tcW w:w="0" w:type="auto"/>
            <w:vAlign w:val="center"/>
          </w:tcPr>
          <w:p w14:paraId="7C5B9984" w14:textId="77777777" w:rsidR="00CD55F1" w:rsidRPr="005B7BEE" w:rsidRDefault="00CD55F1" w:rsidP="00024DD9">
            <w:pPr>
              <w:jc w:val="center"/>
              <w:rPr>
                <w:sz w:val="14"/>
                <w:szCs w:val="14"/>
              </w:rPr>
            </w:pPr>
            <w:r>
              <w:rPr>
                <w:sz w:val="14"/>
                <w:szCs w:val="14"/>
              </w:rPr>
              <w:t>Often</w:t>
            </w:r>
          </w:p>
        </w:tc>
        <w:tc>
          <w:tcPr>
            <w:tcW w:w="0" w:type="auto"/>
            <w:vAlign w:val="center"/>
          </w:tcPr>
          <w:p w14:paraId="611D62EC" w14:textId="77777777" w:rsidR="00CD55F1" w:rsidRDefault="00CD55F1" w:rsidP="00024DD9">
            <w:pPr>
              <w:jc w:val="center"/>
            </w:pPr>
            <w:r>
              <w:t>0</w:t>
            </w:r>
          </w:p>
        </w:tc>
        <w:tc>
          <w:tcPr>
            <w:tcW w:w="0" w:type="auto"/>
            <w:vAlign w:val="center"/>
          </w:tcPr>
          <w:p w14:paraId="3F68EF3F" w14:textId="77777777" w:rsidR="00CD55F1" w:rsidRPr="00210DD1" w:rsidRDefault="00CD55F1" w:rsidP="00024DD9">
            <w:pPr>
              <w:jc w:val="center"/>
            </w:pPr>
            <w:r>
              <w:t>0</w:t>
            </w:r>
          </w:p>
        </w:tc>
        <w:tc>
          <w:tcPr>
            <w:tcW w:w="0" w:type="auto"/>
            <w:vAlign w:val="center"/>
          </w:tcPr>
          <w:p w14:paraId="37AF12DD" w14:textId="77777777" w:rsidR="00CD55F1" w:rsidRPr="00210DD1" w:rsidRDefault="00CD55F1" w:rsidP="00024DD9">
            <w:pPr>
              <w:jc w:val="center"/>
            </w:pPr>
            <w:r>
              <w:t>0</w:t>
            </w:r>
          </w:p>
        </w:tc>
        <w:tc>
          <w:tcPr>
            <w:tcW w:w="0" w:type="auto"/>
            <w:vAlign w:val="center"/>
          </w:tcPr>
          <w:p w14:paraId="52736CFE" w14:textId="77777777" w:rsidR="00CD55F1" w:rsidRPr="00210DD1" w:rsidRDefault="00CD55F1" w:rsidP="00024DD9">
            <w:pPr>
              <w:jc w:val="center"/>
            </w:pPr>
            <w:r>
              <w:t>0</w:t>
            </w:r>
          </w:p>
        </w:tc>
        <w:tc>
          <w:tcPr>
            <w:tcW w:w="0" w:type="auto"/>
            <w:vAlign w:val="center"/>
          </w:tcPr>
          <w:p w14:paraId="31293BC5" w14:textId="77777777" w:rsidR="00CD55F1" w:rsidRDefault="00CD55F1" w:rsidP="00024DD9">
            <w:pPr>
              <w:jc w:val="center"/>
            </w:pPr>
            <w:r>
              <w:t>0</w:t>
            </w:r>
          </w:p>
        </w:tc>
      </w:tr>
      <w:tr w:rsidR="00CD55F1" w:rsidRPr="00F60A9B" w14:paraId="6E0FB4C1" w14:textId="77777777" w:rsidTr="00374958">
        <w:trPr>
          <w:jc w:val="center"/>
        </w:trPr>
        <w:tc>
          <w:tcPr>
            <w:tcW w:w="0" w:type="auto"/>
            <w:tcBorders>
              <w:right w:val="single" w:sz="12" w:space="0" w:color="auto"/>
            </w:tcBorders>
          </w:tcPr>
          <w:p w14:paraId="4E676D0B"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vAlign w:val="center"/>
          </w:tcPr>
          <w:p w14:paraId="70CF2CC3" w14:textId="77777777" w:rsidR="00CD55F1" w:rsidRDefault="00CD55F1" w:rsidP="00024DD9">
            <w:pPr>
              <w:jc w:val="center"/>
            </w:pPr>
            <w:r>
              <w:rPr>
                <w:rFonts w:ascii="Calibri" w:hAnsi="Calibri" w:cs="Calibri"/>
              </w:rPr>
              <w:t>2</w:t>
            </w:r>
          </w:p>
        </w:tc>
        <w:tc>
          <w:tcPr>
            <w:tcW w:w="0" w:type="auto"/>
            <w:shd w:val="clear" w:color="auto" w:fill="D5DCE4" w:themeFill="text2" w:themeFillTint="33"/>
            <w:vAlign w:val="center"/>
          </w:tcPr>
          <w:p w14:paraId="56F53903" w14:textId="77777777" w:rsidR="00CD55F1" w:rsidRPr="00210DD1" w:rsidRDefault="00CD55F1" w:rsidP="00024DD9">
            <w:pPr>
              <w:jc w:val="center"/>
            </w:pPr>
            <w:r>
              <w:rPr>
                <w:rFonts w:ascii="Calibri" w:hAnsi="Calibri" w:cs="Calibri"/>
              </w:rPr>
              <w:t>0</w:t>
            </w:r>
          </w:p>
        </w:tc>
        <w:tc>
          <w:tcPr>
            <w:tcW w:w="0" w:type="auto"/>
            <w:vAlign w:val="center"/>
          </w:tcPr>
          <w:p w14:paraId="189911D1" w14:textId="77777777" w:rsidR="00CD55F1" w:rsidRPr="00210DD1" w:rsidRDefault="00CD55F1" w:rsidP="00024DD9">
            <w:pPr>
              <w:jc w:val="center"/>
            </w:pPr>
            <w:r w:rsidRPr="00F60A9B">
              <w:rPr>
                <w:rFonts w:ascii="Calibri" w:hAnsi="Calibri" w:cs="Calibri"/>
              </w:rPr>
              <w:t>3</w:t>
            </w:r>
          </w:p>
        </w:tc>
        <w:tc>
          <w:tcPr>
            <w:tcW w:w="0" w:type="auto"/>
            <w:vAlign w:val="center"/>
          </w:tcPr>
          <w:p w14:paraId="434D3DB7" w14:textId="77777777" w:rsidR="00CD55F1" w:rsidRPr="00210DD1" w:rsidRDefault="00CD55F1" w:rsidP="00024DD9">
            <w:pPr>
              <w:jc w:val="center"/>
            </w:pPr>
            <w:r w:rsidRPr="00F60A9B">
              <w:rPr>
                <w:rFonts w:ascii="Calibri" w:hAnsi="Calibri" w:cs="Calibri"/>
              </w:rPr>
              <w:t>0</w:t>
            </w:r>
          </w:p>
        </w:tc>
        <w:tc>
          <w:tcPr>
            <w:tcW w:w="0" w:type="auto"/>
            <w:vAlign w:val="center"/>
          </w:tcPr>
          <w:p w14:paraId="05457791"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5508A03C" w14:textId="77777777" w:rsidR="00CD55F1" w:rsidRDefault="00CD55F1" w:rsidP="00024DD9">
            <w:pPr>
              <w:jc w:val="center"/>
            </w:pPr>
          </w:p>
        </w:tc>
        <w:tc>
          <w:tcPr>
            <w:tcW w:w="0" w:type="auto"/>
            <w:vAlign w:val="center"/>
          </w:tcPr>
          <w:p w14:paraId="46F7FE3B" w14:textId="77777777" w:rsidR="00CD55F1" w:rsidRPr="005B7BEE" w:rsidRDefault="00CD55F1" w:rsidP="00024DD9">
            <w:pPr>
              <w:jc w:val="center"/>
              <w:rPr>
                <w:sz w:val="14"/>
                <w:szCs w:val="14"/>
              </w:rPr>
            </w:pPr>
            <w:r w:rsidRPr="005B7BEE">
              <w:rPr>
                <w:sz w:val="14"/>
                <w:szCs w:val="14"/>
              </w:rPr>
              <w:t>Frequent</w:t>
            </w:r>
          </w:p>
        </w:tc>
        <w:tc>
          <w:tcPr>
            <w:tcW w:w="0" w:type="auto"/>
            <w:vAlign w:val="center"/>
          </w:tcPr>
          <w:p w14:paraId="32E0EE82" w14:textId="77777777" w:rsidR="00CD55F1" w:rsidRDefault="00CD55F1" w:rsidP="00024DD9">
            <w:pPr>
              <w:jc w:val="center"/>
            </w:pPr>
            <w:r>
              <w:rPr>
                <w:rFonts w:ascii="Calibri" w:hAnsi="Calibri" w:cs="Calibri"/>
              </w:rPr>
              <w:t>0</w:t>
            </w:r>
          </w:p>
        </w:tc>
        <w:tc>
          <w:tcPr>
            <w:tcW w:w="0" w:type="auto"/>
            <w:shd w:val="clear" w:color="auto" w:fill="D5DCE4" w:themeFill="text2" w:themeFillTint="33"/>
            <w:vAlign w:val="center"/>
          </w:tcPr>
          <w:p w14:paraId="7A2AB93B" w14:textId="77777777" w:rsidR="00CD55F1" w:rsidRPr="00210DD1" w:rsidRDefault="00CD55F1" w:rsidP="00024DD9">
            <w:pPr>
              <w:jc w:val="center"/>
            </w:pPr>
            <w:r>
              <w:rPr>
                <w:rFonts w:ascii="Calibri" w:hAnsi="Calibri" w:cs="Calibri"/>
              </w:rPr>
              <w:t>3</w:t>
            </w:r>
          </w:p>
        </w:tc>
        <w:tc>
          <w:tcPr>
            <w:tcW w:w="0" w:type="auto"/>
            <w:vAlign w:val="center"/>
          </w:tcPr>
          <w:p w14:paraId="5410FBA0" w14:textId="77777777" w:rsidR="00CD55F1" w:rsidRPr="00210DD1" w:rsidRDefault="00CD55F1" w:rsidP="00024DD9">
            <w:pPr>
              <w:jc w:val="center"/>
            </w:pPr>
            <w:r w:rsidRPr="00F60A9B">
              <w:rPr>
                <w:rFonts w:ascii="Calibri" w:hAnsi="Calibri" w:cs="Calibri"/>
              </w:rPr>
              <w:t>0</w:t>
            </w:r>
          </w:p>
        </w:tc>
        <w:tc>
          <w:tcPr>
            <w:tcW w:w="0" w:type="auto"/>
            <w:vAlign w:val="center"/>
          </w:tcPr>
          <w:p w14:paraId="2A92183F" w14:textId="77777777" w:rsidR="00CD55F1" w:rsidRPr="00210DD1" w:rsidRDefault="00CD55F1" w:rsidP="00024DD9">
            <w:pPr>
              <w:jc w:val="center"/>
            </w:pPr>
            <w:r w:rsidRPr="00F60A9B">
              <w:rPr>
                <w:rFonts w:ascii="Calibri" w:hAnsi="Calibri" w:cs="Calibri"/>
              </w:rPr>
              <w:t>0</w:t>
            </w:r>
          </w:p>
        </w:tc>
        <w:tc>
          <w:tcPr>
            <w:tcW w:w="0" w:type="auto"/>
            <w:vAlign w:val="center"/>
          </w:tcPr>
          <w:p w14:paraId="41B8EAAD" w14:textId="77777777" w:rsidR="00CD55F1" w:rsidRDefault="00CD55F1" w:rsidP="00024DD9">
            <w:pPr>
              <w:jc w:val="center"/>
            </w:pPr>
            <w:r w:rsidRPr="00F60A9B">
              <w:rPr>
                <w:rFonts w:ascii="Calibri" w:hAnsi="Calibri" w:cs="Calibri"/>
              </w:rPr>
              <w:t>0</w:t>
            </w:r>
          </w:p>
        </w:tc>
      </w:tr>
      <w:tr w:rsidR="00CD55F1" w:rsidRPr="00F60A9B" w14:paraId="7124B442" w14:textId="77777777" w:rsidTr="00374958">
        <w:trPr>
          <w:jc w:val="center"/>
        </w:trPr>
        <w:tc>
          <w:tcPr>
            <w:tcW w:w="0" w:type="auto"/>
            <w:tcBorders>
              <w:right w:val="single" w:sz="12" w:space="0" w:color="auto"/>
            </w:tcBorders>
          </w:tcPr>
          <w:p w14:paraId="6B963C02"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shd w:val="clear" w:color="auto" w:fill="D5DCE4" w:themeFill="text2" w:themeFillTint="33"/>
            <w:vAlign w:val="center"/>
          </w:tcPr>
          <w:p w14:paraId="7D890824" w14:textId="77777777" w:rsidR="00CD55F1" w:rsidRPr="00F60A9B" w:rsidRDefault="00CD55F1" w:rsidP="00024DD9">
            <w:pPr>
              <w:jc w:val="center"/>
            </w:pPr>
            <w:r>
              <w:rPr>
                <w:rFonts w:ascii="Calibri" w:hAnsi="Calibri" w:cs="Calibri"/>
              </w:rPr>
              <w:t>0</w:t>
            </w:r>
          </w:p>
        </w:tc>
        <w:tc>
          <w:tcPr>
            <w:tcW w:w="0" w:type="auto"/>
            <w:shd w:val="clear" w:color="auto" w:fill="D5DCE4" w:themeFill="text2" w:themeFillTint="33"/>
            <w:vAlign w:val="center"/>
          </w:tcPr>
          <w:p w14:paraId="0D0A512E"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5FD90E2D" w14:textId="77777777" w:rsidR="00CD55F1" w:rsidRPr="00210DD1" w:rsidRDefault="00CD55F1" w:rsidP="00024DD9">
            <w:pPr>
              <w:jc w:val="center"/>
            </w:pPr>
            <w:r>
              <w:rPr>
                <w:rFonts w:ascii="Calibri" w:hAnsi="Calibri" w:cs="Calibri"/>
              </w:rPr>
              <w:t>2</w:t>
            </w:r>
          </w:p>
        </w:tc>
        <w:tc>
          <w:tcPr>
            <w:tcW w:w="0" w:type="auto"/>
            <w:shd w:val="clear" w:color="auto" w:fill="auto"/>
            <w:vAlign w:val="center"/>
          </w:tcPr>
          <w:p w14:paraId="2501C498" w14:textId="77777777" w:rsidR="00CD55F1" w:rsidRPr="00210DD1" w:rsidRDefault="00CD55F1" w:rsidP="00024DD9">
            <w:pPr>
              <w:jc w:val="center"/>
            </w:pPr>
            <w:r w:rsidRPr="00F60A9B">
              <w:rPr>
                <w:rFonts w:ascii="Calibri" w:hAnsi="Calibri" w:cs="Calibri"/>
              </w:rPr>
              <w:t>0</w:t>
            </w:r>
          </w:p>
        </w:tc>
        <w:tc>
          <w:tcPr>
            <w:tcW w:w="0" w:type="auto"/>
            <w:vAlign w:val="center"/>
          </w:tcPr>
          <w:p w14:paraId="4FDFB271"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53CD6DDE"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0AFCCF2B" w14:textId="77777777" w:rsidR="00CD55F1" w:rsidRDefault="00CD55F1" w:rsidP="00024DD9">
            <w:pPr>
              <w:jc w:val="center"/>
            </w:pPr>
            <w:r w:rsidRPr="005B7BEE">
              <w:rPr>
                <w:sz w:val="14"/>
                <w:szCs w:val="14"/>
              </w:rPr>
              <w:t>Probable</w:t>
            </w:r>
          </w:p>
        </w:tc>
        <w:tc>
          <w:tcPr>
            <w:tcW w:w="0" w:type="auto"/>
            <w:shd w:val="clear" w:color="auto" w:fill="D5DCE4" w:themeFill="text2" w:themeFillTint="33"/>
            <w:vAlign w:val="center"/>
          </w:tcPr>
          <w:p w14:paraId="1FA45F38" w14:textId="77777777" w:rsidR="00CD55F1" w:rsidRDefault="00CD55F1" w:rsidP="00024DD9">
            <w:pPr>
              <w:jc w:val="center"/>
            </w:pPr>
            <w:r>
              <w:rPr>
                <w:rFonts w:ascii="Calibri" w:hAnsi="Calibri" w:cs="Calibri"/>
              </w:rPr>
              <w:t>11</w:t>
            </w:r>
          </w:p>
        </w:tc>
        <w:tc>
          <w:tcPr>
            <w:tcW w:w="0" w:type="auto"/>
            <w:shd w:val="clear" w:color="auto" w:fill="D5DCE4" w:themeFill="text2" w:themeFillTint="33"/>
            <w:vAlign w:val="center"/>
          </w:tcPr>
          <w:p w14:paraId="7FE59C77" w14:textId="77777777" w:rsidR="00CD55F1" w:rsidRDefault="00CD55F1" w:rsidP="00024DD9">
            <w:pPr>
              <w:jc w:val="center"/>
            </w:pPr>
            <w:r>
              <w:rPr>
                <w:rFonts w:ascii="Calibri" w:hAnsi="Calibri" w:cs="Calibri"/>
              </w:rPr>
              <w:t>1</w:t>
            </w:r>
          </w:p>
        </w:tc>
        <w:tc>
          <w:tcPr>
            <w:tcW w:w="0" w:type="auto"/>
            <w:shd w:val="clear" w:color="auto" w:fill="D5DCE4" w:themeFill="text2" w:themeFillTint="33"/>
            <w:vAlign w:val="center"/>
          </w:tcPr>
          <w:p w14:paraId="26B0791E" w14:textId="77777777" w:rsidR="00CD55F1" w:rsidRDefault="00CD55F1" w:rsidP="00024DD9">
            <w:pPr>
              <w:jc w:val="center"/>
            </w:pPr>
            <w:r>
              <w:rPr>
                <w:rFonts w:ascii="Calibri" w:hAnsi="Calibri" w:cs="Calibri"/>
              </w:rPr>
              <w:t>0</w:t>
            </w:r>
          </w:p>
        </w:tc>
        <w:tc>
          <w:tcPr>
            <w:tcW w:w="0" w:type="auto"/>
            <w:shd w:val="clear" w:color="auto" w:fill="auto"/>
            <w:vAlign w:val="center"/>
          </w:tcPr>
          <w:p w14:paraId="5B233F5A" w14:textId="77777777" w:rsidR="00CD55F1" w:rsidRDefault="00CD55F1" w:rsidP="00024DD9">
            <w:pPr>
              <w:jc w:val="center"/>
            </w:pPr>
            <w:r w:rsidRPr="00F60A9B">
              <w:rPr>
                <w:rFonts w:ascii="Calibri" w:hAnsi="Calibri" w:cs="Calibri"/>
              </w:rPr>
              <w:t>1</w:t>
            </w:r>
          </w:p>
        </w:tc>
        <w:tc>
          <w:tcPr>
            <w:tcW w:w="0" w:type="auto"/>
            <w:vAlign w:val="center"/>
          </w:tcPr>
          <w:p w14:paraId="72423629" w14:textId="77777777" w:rsidR="00CD55F1" w:rsidRDefault="00CD55F1" w:rsidP="00024DD9">
            <w:pPr>
              <w:jc w:val="center"/>
            </w:pPr>
            <w:r w:rsidRPr="00F60A9B">
              <w:rPr>
                <w:rFonts w:ascii="Calibri" w:hAnsi="Calibri" w:cs="Calibri"/>
              </w:rPr>
              <w:t>0</w:t>
            </w:r>
          </w:p>
        </w:tc>
      </w:tr>
      <w:tr w:rsidR="00CD55F1" w:rsidRPr="00F60A9B" w14:paraId="32131E21" w14:textId="77777777" w:rsidTr="00374958">
        <w:trPr>
          <w:jc w:val="center"/>
        </w:trPr>
        <w:tc>
          <w:tcPr>
            <w:tcW w:w="0" w:type="auto"/>
            <w:tcBorders>
              <w:right w:val="single" w:sz="12" w:space="0" w:color="auto"/>
            </w:tcBorders>
          </w:tcPr>
          <w:p w14:paraId="28244170"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shd w:val="clear" w:color="auto" w:fill="D5DCE4" w:themeFill="text2" w:themeFillTint="33"/>
            <w:vAlign w:val="center"/>
          </w:tcPr>
          <w:p w14:paraId="11EF2A1A" w14:textId="77777777" w:rsidR="00CD55F1" w:rsidRPr="00F60A9B" w:rsidRDefault="00CD55F1" w:rsidP="00024DD9">
            <w:pPr>
              <w:jc w:val="center"/>
            </w:pPr>
            <w:r>
              <w:rPr>
                <w:rFonts w:ascii="Calibri" w:hAnsi="Calibri" w:cs="Calibri"/>
              </w:rPr>
              <w:t>0</w:t>
            </w:r>
          </w:p>
        </w:tc>
        <w:tc>
          <w:tcPr>
            <w:tcW w:w="0" w:type="auto"/>
            <w:shd w:val="clear" w:color="auto" w:fill="auto"/>
            <w:vAlign w:val="center"/>
          </w:tcPr>
          <w:p w14:paraId="1F2ED4B4" w14:textId="77777777" w:rsidR="00CD55F1" w:rsidRPr="00210DD1" w:rsidRDefault="00CD55F1" w:rsidP="00024DD9">
            <w:pPr>
              <w:jc w:val="center"/>
            </w:pPr>
            <w:r w:rsidRPr="00F60A9B">
              <w:rPr>
                <w:rFonts w:ascii="Calibri" w:hAnsi="Calibri" w:cs="Calibri"/>
              </w:rPr>
              <w:t>0</w:t>
            </w:r>
          </w:p>
        </w:tc>
        <w:tc>
          <w:tcPr>
            <w:tcW w:w="0" w:type="auto"/>
            <w:shd w:val="clear" w:color="auto" w:fill="D5DCE4" w:themeFill="text2" w:themeFillTint="33"/>
            <w:vAlign w:val="center"/>
          </w:tcPr>
          <w:p w14:paraId="62A2CC23"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1A7E5740" w14:textId="77777777" w:rsidR="00CD55F1" w:rsidRPr="00210DD1" w:rsidRDefault="00CD55F1" w:rsidP="00024DD9">
            <w:pPr>
              <w:jc w:val="center"/>
            </w:pPr>
            <w:r>
              <w:t>2</w:t>
            </w:r>
          </w:p>
        </w:tc>
        <w:tc>
          <w:tcPr>
            <w:tcW w:w="0" w:type="auto"/>
            <w:vAlign w:val="center"/>
          </w:tcPr>
          <w:p w14:paraId="7BE5E160"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3D0429BE" w14:textId="77777777" w:rsidR="00CD55F1" w:rsidRDefault="00CD55F1" w:rsidP="00024DD9">
            <w:pPr>
              <w:jc w:val="center"/>
            </w:pPr>
          </w:p>
        </w:tc>
        <w:tc>
          <w:tcPr>
            <w:tcW w:w="0" w:type="auto"/>
            <w:vAlign w:val="center"/>
          </w:tcPr>
          <w:p w14:paraId="63C24041" w14:textId="77777777" w:rsidR="00CD55F1" w:rsidRDefault="00CD55F1" w:rsidP="00024DD9">
            <w:pPr>
              <w:jc w:val="center"/>
            </w:pPr>
            <w:r w:rsidRPr="005B7BEE">
              <w:rPr>
                <w:sz w:val="14"/>
                <w:szCs w:val="14"/>
              </w:rPr>
              <w:t>Occasional</w:t>
            </w:r>
          </w:p>
        </w:tc>
        <w:tc>
          <w:tcPr>
            <w:tcW w:w="0" w:type="auto"/>
            <w:shd w:val="clear" w:color="auto" w:fill="D5DCE4" w:themeFill="text2" w:themeFillTint="33"/>
            <w:vAlign w:val="center"/>
          </w:tcPr>
          <w:p w14:paraId="2E27DC79" w14:textId="77777777" w:rsidR="00CD55F1" w:rsidRDefault="00CD55F1" w:rsidP="00024DD9">
            <w:pPr>
              <w:jc w:val="center"/>
            </w:pPr>
            <w:r>
              <w:rPr>
                <w:rFonts w:ascii="Calibri" w:hAnsi="Calibri" w:cs="Calibri"/>
              </w:rPr>
              <w:t>1</w:t>
            </w:r>
          </w:p>
        </w:tc>
        <w:tc>
          <w:tcPr>
            <w:tcW w:w="0" w:type="auto"/>
            <w:shd w:val="clear" w:color="auto" w:fill="auto"/>
            <w:vAlign w:val="center"/>
          </w:tcPr>
          <w:p w14:paraId="4A41E626" w14:textId="77777777" w:rsidR="00CD55F1" w:rsidRDefault="00CD55F1" w:rsidP="00024DD9">
            <w:pPr>
              <w:jc w:val="center"/>
            </w:pPr>
            <w:r w:rsidRPr="00F60A9B">
              <w:rPr>
                <w:rFonts w:ascii="Calibri" w:hAnsi="Calibri" w:cs="Calibri"/>
              </w:rPr>
              <w:t>10</w:t>
            </w:r>
          </w:p>
        </w:tc>
        <w:tc>
          <w:tcPr>
            <w:tcW w:w="0" w:type="auto"/>
            <w:shd w:val="clear" w:color="auto" w:fill="D5DCE4" w:themeFill="text2" w:themeFillTint="33"/>
            <w:vAlign w:val="center"/>
          </w:tcPr>
          <w:p w14:paraId="5D2711A0" w14:textId="77777777" w:rsidR="00CD55F1" w:rsidRDefault="00CD55F1" w:rsidP="00024DD9">
            <w:pPr>
              <w:jc w:val="center"/>
            </w:pPr>
            <w:r>
              <w:rPr>
                <w:rFonts w:ascii="Calibri" w:hAnsi="Calibri" w:cs="Calibri"/>
              </w:rPr>
              <w:t>0</w:t>
            </w:r>
          </w:p>
        </w:tc>
        <w:tc>
          <w:tcPr>
            <w:tcW w:w="0" w:type="auto"/>
            <w:shd w:val="clear" w:color="auto" w:fill="D5DCE4" w:themeFill="text2" w:themeFillTint="33"/>
            <w:vAlign w:val="center"/>
          </w:tcPr>
          <w:p w14:paraId="3EDC0E74" w14:textId="77777777" w:rsidR="00CD55F1" w:rsidRDefault="00CD55F1" w:rsidP="00024DD9">
            <w:pPr>
              <w:jc w:val="center"/>
            </w:pPr>
            <w:r>
              <w:rPr>
                <w:rFonts w:ascii="Calibri" w:hAnsi="Calibri" w:cs="Calibri"/>
              </w:rPr>
              <w:t>0</w:t>
            </w:r>
          </w:p>
        </w:tc>
        <w:tc>
          <w:tcPr>
            <w:tcW w:w="0" w:type="auto"/>
            <w:vAlign w:val="center"/>
          </w:tcPr>
          <w:p w14:paraId="1B233E20" w14:textId="77777777" w:rsidR="00CD55F1" w:rsidRDefault="00CD55F1" w:rsidP="00024DD9">
            <w:pPr>
              <w:jc w:val="center"/>
            </w:pPr>
            <w:r w:rsidRPr="00F60A9B">
              <w:rPr>
                <w:rFonts w:ascii="Calibri" w:hAnsi="Calibri" w:cs="Calibri"/>
              </w:rPr>
              <w:t>1</w:t>
            </w:r>
          </w:p>
        </w:tc>
      </w:tr>
      <w:tr w:rsidR="00CD55F1" w:rsidRPr="00F60A9B" w14:paraId="339AA3F0" w14:textId="77777777" w:rsidTr="00374958">
        <w:trPr>
          <w:jc w:val="center"/>
        </w:trPr>
        <w:tc>
          <w:tcPr>
            <w:tcW w:w="0" w:type="auto"/>
            <w:tcBorders>
              <w:right w:val="single" w:sz="12" w:space="0" w:color="auto"/>
            </w:tcBorders>
          </w:tcPr>
          <w:p w14:paraId="22779CED"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shd w:val="clear" w:color="auto" w:fill="D5DCE4" w:themeFill="text2" w:themeFillTint="33"/>
            <w:vAlign w:val="center"/>
          </w:tcPr>
          <w:p w14:paraId="61CBE7C5" w14:textId="77777777" w:rsidR="00CD55F1" w:rsidRPr="00F60A9B" w:rsidRDefault="00CD55F1" w:rsidP="00024DD9">
            <w:pPr>
              <w:jc w:val="center"/>
            </w:pPr>
            <w:r>
              <w:rPr>
                <w:rFonts w:ascii="Calibri" w:hAnsi="Calibri" w:cs="Calibri"/>
              </w:rPr>
              <w:t>3</w:t>
            </w:r>
          </w:p>
        </w:tc>
        <w:tc>
          <w:tcPr>
            <w:tcW w:w="0" w:type="auto"/>
            <w:shd w:val="clear" w:color="auto" w:fill="D5DCE4" w:themeFill="text2" w:themeFillTint="33"/>
            <w:vAlign w:val="center"/>
          </w:tcPr>
          <w:p w14:paraId="668748D4"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6F01EC2B"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37CE10D4" w14:textId="77777777" w:rsidR="00CD55F1" w:rsidRPr="00210DD1" w:rsidRDefault="00CD55F1" w:rsidP="00024DD9">
            <w:pPr>
              <w:jc w:val="center"/>
            </w:pPr>
            <w:r>
              <w:rPr>
                <w:rFonts w:ascii="Calibri" w:hAnsi="Calibri" w:cs="Calibri"/>
              </w:rPr>
              <w:t>3</w:t>
            </w:r>
          </w:p>
        </w:tc>
        <w:tc>
          <w:tcPr>
            <w:tcW w:w="0" w:type="auto"/>
            <w:shd w:val="clear" w:color="auto" w:fill="D5DCE4" w:themeFill="text2" w:themeFillTint="33"/>
            <w:vAlign w:val="center"/>
          </w:tcPr>
          <w:p w14:paraId="77685B5F" w14:textId="77777777" w:rsidR="00CD55F1" w:rsidRPr="00F60A9B" w:rsidRDefault="00CD55F1" w:rsidP="00024DD9">
            <w:pPr>
              <w:jc w:val="center"/>
            </w:pPr>
            <w:r>
              <w:rPr>
                <w:rFonts w:ascii="Calibri" w:hAnsi="Calibri" w:cs="Calibri"/>
              </w:rPr>
              <w:t>0</w:t>
            </w:r>
          </w:p>
        </w:tc>
        <w:tc>
          <w:tcPr>
            <w:tcW w:w="0" w:type="auto"/>
            <w:tcBorders>
              <w:top w:val="nil"/>
              <w:left w:val="nil"/>
              <w:bottom w:val="nil"/>
              <w:right w:val="nil"/>
            </w:tcBorders>
            <w:vAlign w:val="center"/>
          </w:tcPr>
          <w:p w14:paraId="79863ADA" w14:textId="77777777" w:rsidR="00CD55F1" w:rsidRDefault="00CD55F1" w:rsidP="00024DD9">
            <w:pPr>
              <w:jc w:val="center"/>
            </w:pPr>
          </w:p>
        </w:tc>
        <w:tc>
          <w:tcPr>
            <w:tcW w:w="0" w:type="auto"/>
            <w:vAlign w:val="center"/>
          </w:tcPr>
          <w:p w14:paraId="2D8CBA67" w14:textId="77777777" w:rsidR="00CD55F1" w:rsidRDefault="00CD55F1" w:rsidP="00024DD9">
            <w:pPr>
              <w:jc w:val="center"/>
            </w:pPr>
            <w:r w:rsidRPr="005B7BEE">
              <w:rPr>
                <w:sz w:val="14"/>
                <w:szCs w:val="14"/>
              </w:rPr>
              <w:t>Remote</w:t>
            </w:r>
          </w:p>
        </w:tc>
        <w:tc>
          <w:tcPr>
            <w:tcW w:w="0" w:type="auto"/>
            <w:shd w:val="clear" w:color="auto" w:fill="D5DCE4" w:themeFill="text2" w:themeFillTint="33"/>
            <w:vAlign w:val="center"/>
          </w:tcPr>
          <w:p w14:paraId="0AD7C8FA" w14:textId="77777777" w:rsidR="00CD55F1" w:rsidRDefault="00CD55F1" w:rsidP="00024DD9">
            <w:pPr>
              <w:jc w:val="center"/>
            </w:pPr>
            <w:r>
              <w:rPr>
                <w:rFonts w:ascii="Calibri" w:hAnsi="Calibri" w:cs="Calibri"/>
              </w:rPr>
              <w:t>0</w:t>
            </w:r>
          </w:p>
        </w:tc>
        <w:tc>
          <w:tcPr>
            <w:tcW w:w="0" w:type="auto"/>
            <w:shd w:val="clear" w:color="auto" w:fill="D5DCE4" w:themeFill="text2" w:themeFillTint="33"/>
            <w:vAlign w:val="center"/>
          </w:tcPr>
          <w:p w14:paraId="1345E435" w14:textId="77777777" w:rsidR="00CD55F1" w:rsidRDefault="00CD55F1" w:rsidP="00024DD9">
            <w:pPr>
              <w:jc w:val="center"/>
            </w:pPr>
            <w:r>
              <w:rPr>
                <w:rFonts w:ascii="Calibri" w:hAnsi="Calibri" w:cs="Calibri"/>
              </w:rPr>
              <w:t>2</w:t>
            </w:r>
          </w:p>
        </w:tc>
        <w:tc>
          <w:tcPr>
            <w:tcW w:w="0" w:type="auto"/>
            <w:shd w:val="clear" w:color="auto" w:fill="D5DCE4" w:themeFill="text2" w:themeFillTint="33"/>
            <w:vAlign w:val="center"/>
          </w:tcPr>
          <w:p w14:paraId="7B50805E" w14:textId="77777777" w:rsidR="00CD55F1" w:rsidRDefault="00CD55F1" w:rsidP="00024DD9">
            <w:pPr>
              <w:jc w:val="center"/>
            </w:pPr>
            <w:r>
              <w:rPr>
                <w:rFonts w:ascii="Calibri" w:hAnsi="Calibri" w:cs="Calibri"/>
              </w:rPr>
              <w:t>0</w:t>
            </w:r>
          </w:p>
        </w:tc>
        <w:tc>
          <w:tcPr>
            <w:tcW w:w="0" w:type="auto"/>
            <w:shd w:val="clear" w:color="auto" w:fill="D5DCE4" w:themeFill="text2" w:themeFillTint="33"/>
            <w:vAlign w:val="center"/>
          </w:tcPr>
          <w:p w14:paraId="5A59A26A" w14:textId="77777777" w:rsidR="00CD55F1" w:rsidRDefault="00CD55F1" w:rsidP="00024DD9">
            <w:pPr>
              <w:jc w:val="center"/>
            </w:pPr>
            <w:r>
              <w:rPr>
                <w:rFonts w:ascii="Calibri" w:hAnsi="Calibri" w:cs="Calibri"/>
              </w:rPr>
              <w:t>0</w:t>
            </w:r>
          </w:p>
        </w:tc>
        <w:tc>
          <w:tcPr>
            <w:tcW w:w="0" w:type="auto"/>
            <w:shd w:val="clear" w:color="auto" w:fill="D5DCE4" w:themeFill="text2" w:themeFillTint="33"/>
            <w:vAlign w:val="center"/>
          </w:tcPr>
          <w:p w14:paraId="3BB8978C" w14:textId="77777777" w:rsidR="00CD55F1" w:rsidRDefault="00CD55F1" w:rsidP="00024DD9">
            <w:pPr>
              <w:jc w:val="center"/>
            </w:pPr>
            <w:r>
              <w:rPr>
                <w:rFonts w:ascii="Calibri" w:hAnsi="Calibri" w:cs="Calibri"/>
              </w:rPr>
              <w:t>0</w:t>
            </w:r>
          </w:p>
        </w:tc>
      </w:tr>
      <w:tr w:rsidR="00CD55F1" w:rsidRPr="00F60A9B" w14:paraId="75EA6E93" w14:textId="77777777" w:rsidTr="00374958">
        <w:trPr>
          <w:jc w:val="center"/>
        </w:trPr>
        <w:tc>
          <w:tcPr>
            <w:tcW w:w="0" w:type="auto"/>
            <w:tcBorders>
              <w:right w:val="single" w:sz="12" w:space="0" w:color="auto"/>
            </w:tcBorders>
          </w:tcPr>
          <w:p w14:paraId="4E8FEC01"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shd w:val="clear" w:color="auto" w:fill="D5DCE4" w:themeFill="text2" w:themeFillTint="33"/>
            <w:vAlign w:val="center"/>
          </w:tcPr>
          <w:p w14:paraId="025DB696" w14:textId="77777777" w:rsidR="00CD55F1" w:rsidRPr="00F60A9B" w:rsidRDefault="00CD55F1" w:rsidP="00024DD9">
            <w:pPr>
              <w:jc w:val="center"/>
            </w:pPr>
            <w:r>
              <w:rPr>
                <w:rFonts w:ascii="Calibri" w:hAnsi="Calibri" w:cs="Calibri"/>
              </w:rPr>
              <w:t>0</w:t>
            </w:r>
          </w:p>
        </w:tc>
        <w:tc>
          <w:tcPr>
            <w:tcW w:w="0" w:type="auto"/>
            <w:shd w:val="clear" w:color="auto" w:fill="D5DCE4" w:themeFill="text2" w:themeFillTint="33"/>
            <w:vAlign w:val="center"/>
          </w:tcPr>
          <w:p w14:paraId="60325243"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058AAFE9" w14:textId="77777777" w:rsidR="00CD55F1" w:rsidRPr="00210DD1" w:rsidRDefault="00CD55F1" w:rsidP="00024DD9">
            <w:pPr>
              <w:jc w:val="center"/>
            </w:pPr>
            <w:r>
              <w:rPr>
                <w:rFonts w:ascii="Calibri" w:hAnsi="Calibri" w:cs="Calibri"/>
              </w:rPr>
              <w:t>0</w:t>
            </w:r>
          </w:p>
        </w:tc>
        <w:tc>
          <w:tcPr>
            <w:tcW w:w="0" w:type="auto"/>
            <w:shd w:val="clear" w:color="auto" w:fill="D5DCE4" w:themeFill="text2" w:themeFillTint="33"/>
            <w:vAlign w:val="center"/>
          </w:tcPr>
          <w:p w14:paraId="348B206A" w14:textId="77777777" w:rsidR="00CD55F1" w:rsidRPr="00210DD1" w:rsidRDefault="00CD55F1" w:rsidP="00024DD9">
            <w:pPr>
              <w:jc w:val="center"/>
            </w:pPr>
            <w:r>
              <w:rPr>
                <w:rFonts w:ascii="Calibri" w:hAnsi="Calibri" w:cs="Calibri"/>
              </w:rPr>
              <w:t>0</w:t>
            </w:r>
          </w:p>
        </w:tc>
        <w:tc>
          <w:tcPr>
            <w:tcW w:w="0" w:type="auto"/>
            <w:vAlign w:val="center"/>
          </w:tcPr>
          <w:p w14:paraId="586740C6"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0C2CC399" w14:textId="77777777" w:rsidR="00CD55F1" w:rsidRDefault="00CD55F1" w:rsidP="00024DD9">
            <w:pPr>
              <w:keepNext/>
              <w:jc w:val="center"/>
            </w:pPr>
          </w:p>
        </w:tc>
        <w:tc>
          <w:tcPr>
            <w:tcW w:w="0" w:type="auto"/>
            <w:vAlign w:val="center"/>
          </w:tcPr>
          <w:p w14:paraId="2C588BFD" w14:textId="77777777" w:rsidR="00CD55F1" w:rsidRDefault="00CD55F1" w:rsidP="00024DD9">
            <w:pPr>
              <w:keepNext/>
              <w:jc w:val="center"/>
            </w:pPr>
            <w:r w:rsidRPr="005B7BEE">
              <w:rPr>
                <w:sz w:val="14"/>
                <w:szCs w:val="14"/>
              </w:rPr>
              <w:t>Improbable</w:t>
            </w:r>
          </w:p>
        </w:tc>
        <w:tc>
          <w:tcPr>
            <w:tcW w:w="0" w:type="auto"/>
            <w:shd w:val="clear" w:color="auto" w:fill="D5DCE4" w:themeFill="text2" w:themeFillTint="33"/>
            <w:vAlign w:val="center"/>
          </w:tcPr>
          <w:p w14:paraId="5BFF46B8" w14:textId="77777777" w:rsidR="00CD55F1" w:rsidRDefault="00CD55F1" w:rsidP="00024DD9">
            <w:pPr>
              <w:keepNext/>
              <w:jc w:val="center"/>
            </w:pPr>
            <w:r>
              <w:rPr>
                <w:rFonts w:ascii="Calibri" w:hAnsi="Calibri" w:cs="Calibri"/>
              </w:rPr>
              <w:t>0</w:t>
            </w:r>
          </w:p>
        </w:tc>
        <w:tc>
          <w:tcPr>
            <w:tcW w:w="0" w:type="auto"/>
            <w:shd w:val="clear" w:color="auto" w:fill="D5DCE4" w:themeFill="text2" w:themeFillTint="33"/>
            <w:vAlign w:val="center"/>
          </w:tcPr>
          <w:p w14:paraId="6B48EA91" w14:textId="77777777" w:rsidR="00CD55F1" w:rsidRDefault="00CD55F1" w:rsidP="00024DD9">
            <w:pPr>
              <w:keepNext/>
              <w:jc w:val="center"/>
            </w:pPr>
            <w:r>
              <w:rPr>
                <w:rFonts w:ascii="Calibri" w:hAnsi="Calibri" w:cs="Calibri"/>
              </w:rPr>
              <w:t>1</w:t>
            </w:r>
          </w:p>
        </w:tc>
        <w:tc>
          <w:tcPr>
            <w:tcW w:w="0" w:type="auto"/>
            <w:shd w:val="clear" w:color="auto" w:fill="D5DCE4" w:themeFill="text2" w:themeFillTint="33"/>
            <w:vAlign w:val="center"/>
          </w:tcPr>
          <w:p w14:paraId="675BA1D4" w14:textId="77777777" w:rsidR="00CD55F1" w:rsidRDefault="00CD55F1" w:rsidP="00024DD9">
            <w:pPr>
              <w:keepNext/>
              <w:jc w:val="center"/>
            </w:pPr>
            <w:r>
              <w:rPr>
                <w:rFonts w:ascii="Calibri" w:hAnsi="Calibri" w:cs="Calibri"/>
              </w:rPr>
              <w:t>0</w:t>
            </w:r>
          </w:p>
        </w:tc>
        <w:tc>
          <w:tcPr>
            <w:tcW w:w="0" w:type="auto"/>
            <w:shd w:val="clear" w:color="auto" w:fill="D5DCE4" w:themeFill="text2" w:themeFillTint="33"/>
            <w:vAlign w:val="center"/>
          </w:tcPr>
          <w:p w14:paraId="415C243F" w14:textId="77777777" w:rsidR="00CD55F1" w:rsidRDefault="00CD55F1" w:rsidP="00024DD9">
            <w:pPr>
              <w:keepNext/>
              <w:jc w:val="center"/>
            </w:pPr>
            <w:r>
              <w:rPr>
                <w:rFonts w:ascii="Calibri" w:hAnsi="Calibri" w:cs="Calibri"/>
              </w:rPr>
              <w:t>9</w:t>
            </w:r>
          </w:p>
        </w:tc>
        <w:tc>
          <w:tcPr>
            <w:tcW w:w="0" w:type="auto"/>
            <w:vAlign w:val="center"/>
          </w:tcPr>
          <w:p w14:paraId="06E763C0" w14:textId="77777777" w:rsidR="00CD55F1" w:rsidRDefault="00CD55F1" w:rsidP="00024DD9">
            <w:pPr>
              <w:keepNext/>
              <w:jc w:val="center"/>
            </w:pPr>
            <w:r w:rsidRPr="00F60A9B">
              <w:rPr>
                <w:rFonts w:ascii="Calibri" w:hAnsi="Calibri" w:cs="Calibri"/>
              </w:rPr>
              <w:t>0</w:t>
            </w:r>
          </w:p>
        </w:tc>
      </w:tr>
    </w:tbl>
    <w:p w14:paraId="3DA0F596" w14:textId="03177E91" w:rsidR="00CD55F1" w:rsidRPr="00F60A9B" w:rsidRDefault="00CD55F1" w:rsidP="008C5452">
      <w:pPr>
        <w:pStyle w:val="Caption"/>
        <w:spacing w:before="120"/>
        <w:jc w:val="center"/>
        <w:rPr>
          <w:color w:val="auto"/>
        </w:rPr>
      </w:pPr>
      <w:bookmarkStart w:id="60" w:name="_Ref146706091"/>
      <w:r>
        <w:t xml:space="preserve">Equation </w:t>
      </w:r>
      <w:r>
        <w:fldChar w:fldCharType="begin"/>
      </w:r>
      <w:r>
        <w:instrText xml:space="preserve"> SEQ Equation \* ARABIC </w:instrText>
      </w:r>
      <w:r>
        <w:fldChar w:fldCharType="separate"/>
      </w:r>
      <w:r w:rsidR="003468AE">
        <w:rPr>
          <w:noProof/>
        </w:rPr>
        <w:t>14</w:t>
      </w:r>
      <w:r>
        <w:rPr>
          <w:noProof/>
        </w:rPr>
        <w:fldChar w:fldCharType="end"/>
      </w:r>
      <w:bookmarkEnd w:id="60"/>
    </w:p>
    <w:p w14:paraId="36EAA560" w14:textId="01BB8743" w:rsidR="00940614" w:rsidRPr="00F60A9B" w:rsidRDefault="00E0175E" w:rsidP="008C5452">
      <w:pPr>
        <w:pStyle w:val="ListParagraph"/>
        <w:spacing w:before="160"/>
        <w:ind w:left="0"/>
      </w:pPr>
      <w:r w:rsidRPr="00E0175E">
        <w:t xml:space="preserve">Since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0175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0175E">
        <w:rPr>
          <w:rFonts w:eastAsiaTheme="minorEastAsia"/>
        </w:rPr>
        <w:t xml:space="preserve"> contain risks to the patient’s health before, and after, respectively, the medical treatment, and since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E0175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E0175E">
        <w:rPr>
          <w:rFonts w:eastAsiaTheme="minorEastAsia"/>
        </w:rPr>
        <w:t xml:space="preserve"> are on opposite sides of the inequality in </w:t>
      </w:r>
      <w:r w:rsidRPr="00E0175E">
        <w:fldChar w:fldCharType="begin"/>
      </w:r>
      <w:r w:rsidRPr="00E0175E">
        <w:instrText xml:space="preserve"> REF _Ref147639186 \h </w:instrText>
      </w:r>
      <w:r>
        <w:instrText xml:space="preserve"> \* MERGEFORMAT </w:instrText>
      </w:r>
      <w:r w:rsidRPr="00E0175E">
        <w:fldChar w:fldCharType="separate"/>
      </w:r>
      <w:r w:rsidR="001E41EA">
        <w:t xml:space="preserve">Equation </w:t>
      </w:r>
      <w:r w:rsidR="001E41EA">
        <w:rPr>
          <w:noProof/>
        </w:rPr>
        <w:t>9</w:t>
      </w:r>
      <w:r w:rsidRPr="00E0175E">
        <w:fldChar w:fldCharType="end"/>
      </w:r>
      <w:r w:rsidRPr="00E0175E">
        <w:rPr>
          <w:rFonts w:eastAsiaTheme="minorEastAsia"/>
        </w:rPr>
        <w:t>,</w:t>
      </w:r>
      <w:r w:rsidRPr="00E0175E">
        <w:t xml:space="preserve"> </w:t>
      </w:r>
      <w:r w:rsidR="00445AB5">
        <w:fldChar w:fldCharType="begin"/>
      </w:r>
      <w:r w:rsidR="00445AB5">
        <w:instrText xml:space="preserve"> REF _Ref151218484 \h </w:instrText>
      </w:r>
      <w:r w:rsidR="00445AB5">
        <w:fldChar w:fldCharType="separate"/>
      </w:r>
      <w:r w:rsidR="00445AB5" w:rsidRPr="00646086">
        <w:rPr>
          <w:rFonts w:eastAsia="TimesNewRomanPSMT" w:cs="TimesNewRomanPSMT"/>
          <w:b/>
          <w:color w:val="000000"/>
          <w:u w:val="single"/>
        </w:rPr>
        <w:t>Removing Identical Risks</w:t>
      </w:r>
      <w:r w:rsidR="00445AB5">
        <w:fldChar w:fldCharType="end"/>
      </w:r>
      <w:r w:rsidR="00CD55F1" w:rsidRPr="00E0175E">
        <w:t xml:space="preserve"> will eliminate all of the patient health risks that are not affected by the </w:t>
      </w:r>
      <w:r w:rsidRPr="00E0175E">
        <w:t>medical treatment</w:t>
      </w:r>
      <w:r w:rsidR="00CD55F1" w:rsidRPr="00F60A9B">
        <w:t xml:space="preserve">.  Therefore, depending on the depth of detail in the patient health model, </w:t>
      </w:r>
      <w:r>
        <w:t xml:space="preserve">the first application of </w:t>
      </w:r>
      <w:r w:rsidR="00445AB5">
        <w:fldChar w:fldCharType="begin"/>
      </w:r>
      <w:r w:rsidR="00445AB5">
        <w:instrText xml:space="preserve"> REF _Ref151218484 \h </w:instrText>
      </w:r>
      <w:r w:rsidR="00445AB5">
        <w:fldChar w:fldCharType="separate"/>
      </w:r>
      <w:r w:rsidR="00445AB5" w:rsidRPr="00646086">
        <w:rPr>
          <w:rFonts w:eastAsia="TimesNewRomanPSMT" w:cs="TimesNewRomanPSMT"/>
          <w:b/>
          <w:color w:val="000000"/>
          <w:u w:val="single"/>
        </w:rPr>
        <w:t>Removing Identical Risks</w:t>
      </w:r>
      <w:r w:rsidR="00445AB5">
        <w:fldChar w:fldCharType="end"/>
      </w:r>
      <w:r>
        <w:t xml:space="preserve"> </w:t>
      </w:r>
      <w:r w:rsidR="00CD55F1" w:rsidRPr="00F60A9B">
        <w:t xml:space="preserve">may eliminate a </w:t>
      </w:r>
      <w:r>
        <w:t xml:space="preserve">quite a few </w:t>
      </w:r>
      <w:r w:rsidR="00CD55F1">
        <w:t xml:space="preserve">Risks </w:t>
      </w:r>
      <w:r w:rsidR="00CD55F1" w:rsidRPr="00F60A9B">
        <w:t>on both sides of the inequality in</w:t>
      </w:r>
      <w:r w:rsidR="00CD55F1">
        <w:t xml:space="preserve"> </w:t>
      </w:r>
      <w:bookmarkStart w:id="61" w:name="_Hlk148178083"/>
      <w:r w:rsidR="00CD55F1">
        <w:fldChar w:fldCharType="begin"/>
      </w:r>
      <w:r w:rsidR="00CD55F1">
        <w:instrText xml:space="preserve"> REF _Ref147639186 \h </w:instrText>
      </w:r>
      <w:r w:rsidR="00CD55F1">
        <w:fldChar w:fldCharType="separate"/>
      </w:r>
      <w:r w:rsidR="001E41EA">
        <w:t xml:space="preserve">Equation </w:t>
      </w:r>
      <w:r w:rsidR="001E41EA">
        <w:rPr>
          <w:noProof/>
        </w:rPr>
        <w:t>9</w:t>
      </w:r>
      <w:r w:rsidR="00CD55F1">
        <w:fldChar w:fldCharType="end"/>
      </w:r>
      <w:bookmarkEnd w:id="61"/>
      <w:r w:rsidR="00CD55F1" w:rsidRPr="00F60A9B">
        <w:t xml:space="preserve">.  </w:t>
      </w:r>
    </w:p>
    <w:p w14:paraId="3AADD846" w14:textId="77777777" w:rsidR="00CD55F1" w:rsidRPr="00F60A9B" w:rsidRDefault="00CD55F1" w:rsidP="00AA2310">
      <w:pPr>
        <w:spacing w:after="0" w:line="240" w:lineRule="auto"/>
      </w:pPr>
    </w:p>
    <w:p w14:paraId="3A4EC1EF" w14:textId="1A8F54E0" w:rsidR="00CD55F1" w:rsidRPr="00646086" w:rsidRDefault="00CD55F1" w:rsidP="00A600C8">
      <w:pPr>
        <w:pStyle w:val="Heading2"/>
        <w:rPr>
          <w:rFonts w:eastAsia="TimesNewRomanPSMT" w:cs="TimesNewRomanPSMT"/>
          <w:b/>
          <w:color w:val="000000"/>
          <w:u w:val="single"/>
        </w:rPr>
      </w:pPr>
      <w:bookmarkStart w:id="62" w:name="_Ref151223378"/>
      <w:bookmarkStart w:id="63" w:name="_Toc156728650"/>
      <w:r w:rsidRPr="00646086">
        <w:rPr>
          <w:rFonts w:eastAsia="TimesNewRomanPSMT" w:cs="TimesNewRomanPSMT"/>
          <w:b/>
          <w:color w:val="000000"/>
          <w:u w:val="single"/>
        </w:rPr>
        <w:t>Moving Repeated Risks</w:t>
      </w:r>
      <w:bookmarkEnd w:id="62"/>
      <w:bookmarkEnd w:id="63"/>
    </w:p>
    <w:p w14:paraId="7A72B2C1" w14:textId="2F3DC8B2" w:rsidR="00CD55F1" w:rsidRDefault="00CD55F1" w:rsidP="00CD55F1">
      <w:pPr>
        <w:spacing w:after="0"/>
      </w:pPr>
      <w:r>
        <w:rPr>
          <w:rFonts w:eastAsiaTheme="minorEastAsia"/>
        </w:rPr>
        <w:t xml:space="preserve">Because the rows in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represent probability, we can </w:t>
      </w:r>
      <w:r>
        <w:rPr>
          <w:rFonts w:eastAsiaTheme="minorEastAsia"/>
        </w:rPr>
        <w:t>change which row holds the ‘count’ for a risk if we change the number of occurrences of the risk to maintain the same probability.  In general, i</w:t>
      </w:r>
      <w:r>
        <w:t xml:space="preserve">f a cell contains a count of </w:t>
      </w:r>
      <m:oMath>
        <m:r>
          <w:rPr>
            <w:rFonts w:ascii="Cambria Math" w:hAnsi="Cambria Math"/>
          </w:rPr>
          <m:t>n</m:t>
        </m:r>
      </m:oMath>
      <w:r>
        <w:rPr>
          <w:rFonts w:eastAsiaTheme="minorEastAsia"/>
        </w:rPr>
        <w:t xml:space="preserve"> risks</w:t>
      </w:r>
      <w:r>
        <w:t>, then we can move some, or all, of the risks down one row by:</w:t>
      </w:r>
    </w:p>
    <w:p w14:paraId="1D409A84" w14:textId="77777777" w:rsidR="00CD55F1" w:rsidRDefault="00CD55F1">
      <w:pPr>
        <w:pStyle w:val="ListParagraph"/>
        <w:numPr>
          <w:ilvl w:val="0"/>
          <w:numId w:val="26"/>
        </w:numPr>
        <w:spacing w:after="0"/>
      </w:pPr>
      <w:r>
        <w:t xml:space="preserve">In the original cell, reducing </w:t>
      </w:r>
      <m:oMath>
        <m:r>
          <w:rPr>
            <w:rFonts w:ascii="Cambria Math" w:hAnsi="Cambria Math"/>
          </w:rPr>
          <m:t>n</m:t>
        </m:r>
      </m:oMath>
      <w:r>
        <w:t xml:space="preserve"> by any positive integer less than or equal to </w:t>
      </w:r>
      <m:oMath>
        <m:r>
          <w:rPr>
            <w:rFonts w:ascii="Cambria Math" w:hAnsi="Cambria Math"/>
          </w:rPr>
          <m:t>n</m:t>
        </m:r>
      </m:oMath>
      <w:r>
        <w:t xml:space="preserve">, say </w:t>
      </w:r>
      <m:oMath>
        <m:r>
          <w:rPr>
            <w:rFonts w:ascii="Cambria Math" w:hAnsi="Cambria Math"/>
          </w:rPr>
          <m:t>i</m:t>
        </m:r>
      </m:oMath>
      <w:r>
        <w:rPr>
          <w:rFonts w:eastAsiaTheme="minorEastAsia"/>
        </w:rPr>
        <w:t xml:space="preserve">.  So, the ‘count’ in the original cell changes from </w:t>
      </w:r>
      <m:oMath>
        <m:r>
          <w:rPr>
            <w:rFonts w:ascii="Cambria Math" w:hAnsi="Cambria Math"/>
          </w:rPr>
          <m:t>n</m:t>
        </m:r>
      </m:oMath>
      <w:r>
        <w:rPr>
          <w:rFonts w:eastAsiaTheme="minorEastAsia"/>
        </w:rPr>
        <w:t xml:space="preserve"> to </w:t>
      </w:r>
      <m:oMath>
        <m:r>
          <w:rPr>
            <w:rFonts w:ascii="Cambria Math" w:hAnsi="Cambria Math"/>
          </w:rPr>
          <m:t>n-i</m:t>
        </m:r>
      </m:oMath>
      <w:r>
        <w:rPr>
          <w:rFonts w:eastAsiaTheme="minorEastAsia"/>
        </w:rPr>
        <w:t>.</w:t>
      </w:r>
    </w:p>
    <w:p w14:paraId="52746BEE" w14:textId="77777777" w:rsidR="00CD55F1" w:rsidRDefault="00CD55F1">
      <w:pPr>
        <w:pStyle w:val="ListParagraph"/>
        <w:numPr>
          <w:ilvl w:val="0"/>
          <w:numId w:val="26"/>
        </w:numPr>
        <w:spacing w:after="0"/>
      </w:pPr>
      <w:r>
        <w:t xml:space="preserve">Multiplying </w:t>
      </w:r>
      <m:oMath>
        <m:r>
          <w:rPr>
            <w:rFonts w:ascii="Cambria Math" w:hAnsi="Cambria Math"/>
          </w:rPr>
          <m:t>i</m:t>
        </m:r>
      </m:oMath>
      <w:r>
        <w:t xml:space="preserve"> by the factor used to decrease probability range from the original row to the row below, </w:t>
      </w:r>
      <m:oMath>
        <m:sSub>
          <m:sSubPr>
            <m:ctrlPr>
              <w:rPr>
                <w:rFonts w:ascii="Cambria Math" w:hAnsi="Cambria Math"/>
                <w:i/>
              </w:rPr>
            </m:ctrlPr>
          </m:sSubPr>
          <m:e>
            <m:r>
              <w:rPr>
                <w:rFonts w:ascii="Cambria Math" w:hAnsi="Cambria Math"/>
              </w:rPr>
              <m:t>F</m:t>
            </m:r>
          </m:e>
          <m:sub>
            <m:r>
              <w:rPr>
                <w:rFonts w:ascii="Cambria Math" w:hAnsi="Cambria Math"/>
              </w:rPr>
              <m:t>P</m:t>
            </m:r>
          </m:sub>
        </m:sSub>
      </m:oMath>
      <w:r>
        <w:t xml:space="preserve">, and </w:t>
      </w:r>
    </w:p>
    <w:p w14:paraId="575D6938" w14:textId="77777777" w:rsidR="00CD55F1" w:rsidRDefault="00CD55F1">
      <w:pPr>
        <w:pStyle w:val="ListParagraph"/>
        <w:numPr>
          <w:ilvl w:val="0"/>
          <w:numId w:val="26"/>
        </w:numPr>
      </w:pPr>
      <w:r>
        <w:t xml:space="preserve">Adding </w:t>
      </w:r>
      <m:oMath>
        <m:r>
          <w:rPr>
            <w:rFonts w:ascii="Cambria Math" w:hAnsi="Cambria Math"/>
          </w:rPr>
          <m:t>i×</m:t>
        </m:r>
        <m:sSub>
          <m:sSubPr>
            <m:ctrlPr>
              <w:rPr>
                <w:rFonts w:ascii="Cambria Math" w:hAnsi="Cambria Math"/>
                <w:i/>
              </w:rPr>
            </m:ctrlPr>
          </m:sSubPr>
          <m:e>
            <m:r>
              <w:rPr>
                <w:rFonts w:ascii="Cambria Math" w:hAnsi="Cambria Math"/>
              </w:rPr>
              <m:t>F</m:t>
            </m:r>
          </m:e>
          <m:sub>
            <m:r>
              <w:rPr>
                <w:rFonts w:ascii="Cambria Math" w:hAnsi="Cambria Math"/>
              </w:rPr>
              <m:t>P</m:t>
            </m:r>
          </m:sub>
        </m:sSub>
      </m:oMath>
      <w:r>
        <w:rPr>
          <w:rFonts w:eastAsiaTheme="minorEastAsia"/>
        </w:rPr>
        <w:t xml:space="preserve"> to the ‘count’ in the cell below the original cell. </w:t>
      </w:r>
    </w:p>
    <w:p w14:paraId="359A686E" w14:textId="77777777" w:rsidR="00CD55F1" w:rsidRDefault="00CD55F1" w:rsidP="00CD55F1"/>
    <w:p w14:paraId="7FA50AB1" w14:textId="77777777" w:rsidR="00CD55F1" w:rsidRDefault="00CD55F1" w:rsidP="00CD55F1">
      <w:r>
        <w:t xml:space="preserve">For example, </w:t>
      </w:r>
    </w:p>
    <w:p w14:paraId="7998141F" w14:textId="1CEA6D6E" w:rsidR="00CD55F1" w:rsidRDefault="00CD55F1">
      <w:pPr>
        <w:pStyle w:val="ListParagraph"/>
        <w:numPr>
          <w:ilvl w:val="0"/>
          <w:numId w:val="25"/>
        </w:numPr>
      </w:pPr>
      <w:r>
        <w:lastRenderedPageBreak/>
        <w:t>S</w:t>
      </w:r>
      <w:r w:rsidRPr="000805F7">
        <w:rPr>
          <w:rFonts w:eastAsiaTheme="minorEastAsia"/>
        </w:rPr>
        <w:t xml:space="preserve">ince we are using </w:t>
      </w:r>
      <w:r w:rsidRPr="000805F7">
        <w:rPr>
          <w:rFonts w:eastAsiaTheme="minorEastAsia"/>
        </w:rPr>
        <w:fldChar w:fldCharType="begin"/>
      </w:r>
      <w:r w:rsidRPr="000805F7">
        <w:rPr>
          <w:rFonts w:eastAsiaTheme="minorEastAsia"/>
        </w:rPr>
        <w:instrText xml:space="preserve"> REF _Ref146694551 \h </w:instrText>
      </w:r>
      <w:r w:rsidRPr="000805F7">
        <w:rPr>
          <w:rFonts w:eastAsiaTheme="minorEastAsia"/>
        </w:rPr>
      </w:r>
      <w:r w:rsidRPr="000805F7">
        <w:rPr>
          <w:rFonts w:eastAsiaTheme="minorEastAsia"/>
        </w:rPr>
        <w:fldChar w:fldCharType="separate"/>
      </w:r>
      <w:r w:rsidR="001E41EA">
        <w:t xml:space="preserve">Table </w:t>
      </w:r>
      <w:r w:rsidR="001E41EA">
        <w:rPr>
          <w:noProof/>
        </w:rPr>
        <w:t>4</w:t>
      </w:r>
      <w:r w:rsidRPr="000805F7">
        <w:rPr>
          <w:rFonts w:eastAsiaTheme="minorEastAsia"/>
        </w:rPr>
        <w:fldChar w:fldCharType="end"/>
      </w:r>
      <w:r w:rsidRPr="000805F7">
        <w:rPr>
          <w:rFonts w:eastAsiaTheme="minorEastAsia"/>
        </w:rPr>
        <w:t xml:space="preserve"> to define the probability in each row of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then, in the left-hand side of </w:t>
      </w:r>
      <w:r>
        <w:fldChar w:fldCharType="begin"/>
      </w:r>
      <w:r>
        <w:instrText xml:space="preserve"> REF _Ref146706091 \h </w:instrText>
      </w:r>
      <w:r>
        <w:fldChar w:fldCharType="separate"/>
      </w:r>
      <w:r w:rsidR="001E41EA">
        <w:t xml:space="preserve">Equation </w:t>
      </w:r>
      <w:r w:rsidR="001E41EA">
        <w:rPr>
          <w:noProof/>
        </w:rPr>
        <w:t>14</w:t>
      </w:r>
      <w:r>
        <w:fldChar w:fldCharType="end"/>
      </w:r>
      <w:r>
        <w:t>,</w:t>
      </w:r>
      <w:r w:rsidRPr="003C5987">
        <w:t xml:space="preserve"> </w:t>
      </w:r>
      <w:r>
        <w:t>the row below ‘Frequent’ (named ‘Probable’) has a probability range that is 1/10</w:t>
      </w:r>
      <w:r w:rsidRPr="00311F74">
        <w:rPr>
          <w:vertAlign w:val="superscript"/>
        </w:rPr>
        <w:t>th</w:t>
      </w:r>
      <w:r>
        <w:t xml:space="preserve"> the probability range of ‘Frequent’; i.e., </w:t>
      </w:r>
      <m:oMath>
        <m:sSub>
          <m:sSubPr>
            <m:ctrlPr>
              <w:rPr>
                <w:rFonts w:ascii="Cambria Math" w:hAnsi="Cambria Math"/>
                <w:i/>
              </w:rPr>
            </m:ctrlPr>
          </m:sSubPr>
          <m:e>
            <m:r>
              <w:rPr>
                <w:rFonts w:ascii="Cambria Math" w:hAnsi="Cambria Math"/>
              </w:rPr>
              <m:t>F</m:t>
            </m:r>
          </m:e>
          <m:sub>
            <m:r>
              <w:rPr>
                <w:rFonts w:ascii="Cambria Math" w:hAnsi="Cambria Math"/>
              </w:rPr>
              <m:t>P</m:t>
            </m:r>
          </m:sub>
        </m:sSub>
      </m:oMath>
      <w:r>
        <w:rPr>
          <w:rFonts w:eastAsiaTheme="minorEastAsia"/>
        </w:rPr>
        <w:t xml:space="preserve"> = 10. </w:t>
      </w:r>
    </w:p>
    <w:p w14:paraId="5A48D1C9" w14:textId="18B85B99" w:rsidR="00CD55F1" w:rsidRDefault="00CD55F1">
      <w:pPr>
        <w:pStyle w:val="ListParagraph"/>
        <w:numPr>
          <w:ilvl w:val="0"/>
          <w:numId w:val="25"/>
        </w:numPr>
      </w:pPr>
      <w:r>
        <w:t xml:space="preserve">The Frequent / Negligible cell in the left-hand side of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has a value of ‘2’; i.e., </w:t>
      </w:r>
      <m:oMath>
        <m:r>
          <w:rPr>
            <w:rFonts w:ascii="Cambria Math" w:hAnsi="Cambria Math"/>
          </w:rPr>
          <m:t>n=2</m:t>
        </m:r>
      </m:oMath>
      <w:r>
        <w:t xml:space="preserve">.  </w:t>
      </w:r>
    </w:p>
    <w:p w14:paraId="36A4F4D8" w14:textId="3DC093F5" w:rsidR="00CD55F1" w:rsidRDefault="00CD55F1">
      <w:pPr>
        <w:pStyle w:val="ListParagraph"/>
        <w:numPr>
          <w:ilvl w:val="0"/>
          <w:numId w:val="25"/>
        </w:numPr>
      </w:pPr>
      <w:r>
        <w:t xml:space="preserve">Reduce the count in the Frequent / Negligible cell in the left-hand side of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by ‘1’; i.e., </w:t>
      </w:r>
      <m:oMath>
        <m:r>
          <w:rPr>
            <w:rFonts w:ascii="Cambria Math" w:hAnsi="Cambria Math"/>
          </w:rPr>
          <m:t>i=1</m:t>
        </m:r>
      </m:oMath>
      <w:r>
        <w:t xml:space="preserve">. </w:t>
      </w:r>
    </w:p>
    <w:p w14:paraId="7151E0BA" w14:textId="69325BF7" w:rsidR="00CD55F1" w:rsidRDefault="00CD55F1">
      <w:pPr>
        <w:pStyle w:val="ListParagraph"/>
        <w:numPr>
          <w:ilvl w:val="0"/>
          <w:numId w:val="25"/>
        </w:numPr>
      </w:pPr>
      <w:r>
        <w:t xml:space="preserve">Increase the count in the Probable / Negligible cell in the left-hand side of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by ‘10’; i.e., </w:t>
      </w:r>
      <m:oMath>
        <m:r>
          <w:rPr>
            <w:rFonts w:ascii="Cambria Math" w:hAnsi="Cambria Math"/>
          </w:rPr>
          <m:t>i×</m:t>
        </m:r>
        <m:sSub>
          <m:sSubPr>
            <m:ctrlPr>
              <w:rPr>
                <w:rFonts w:ascii="Cambria Math" w:hAnsi="Cambria Math"/>
                <w:i/>
              </w:rPr>
            </m:ctrlPr>
          </m:sSubPr>
          <m:e>
            <m:r>
              <w:rPr>
                <w:rFonts w:ascii="Cambria Math" w:hAnsi="Cambria Math"/>
              </w:rPr>
              <m:t>F</m:t>
            </m:r>
          </m:e>
          <m:sub>
            <m:r>
              <w:rPr>
                <w:rFonts w:ascii="Cambria Math" w:hAnsi="Cambria Math"/>
              </w:rPr>
              <m:t>P</m:t>
            </m:r>
          </m:sub>
        </m:sSub>
      </m:oMath>
      <w:r>
        <w:t xml:space="preserve">. </w:t>
      </w:r>
    </w:p>
    <w:p w14:paraId="6D272CBD" w14:textId="59DC14AB" w:rsidR="00CD55F1" w:rsidRDefault="00CD55F1" w:rsidP="00CD55F1">
      <w:r>
        <w:t xml:space="preserve">The result of the previous four bullets is to change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to: </w:t>
      </w:r>
    </w:p>
    <w:tbl>
      <w:tblPr>
        <w:tblStyle w:val="TableGrid"/>
        <w:tblW w:w="9157" w:type="dxa"/>
        <w:jc w:val="center"/>
        <w:tblLook w:val="04A0" w:firstRow="1" w:lastRow="0" w:firstColumn="1" w:lastColumn="0" w:noHBand="0" w:noVBand="1"/>
      </w:tblPr>
      <w:tblGrid>
        <w:gridCol w:w="874"/>
        <w:gridCol w:w="882"/>
        <w:gridCol w:w="565"/>
        <w:gridCol w:w="634"/>
        <w:gridCol w:w="607"/>
        <w:gridCol w:w="928"/>
        <w:gridCol w:w="381"/>
        <w:gridCol w:w="874"/>
        <w:gridCol w:w="780"/>
        <w:gridCol w:w="565"/>
        <w:gridCol w:w="634"/>
        <w:gridCol w:w="607"/>
        <w:gridCol w:w="928"/>
      </w:tblGrid>
      <w:tr w:rsidR="00CD55F1" w:rsidRPr="00F60A9B" w14:paraId="7C86BAA7" w14:textId="77777777" w:rsidTr="00024DD9">
        <w:trPr>
          <w:tblHeader/>
          <w:jc w:val="center"/>
        </w:trPr>
        <w:tc>
          <w:tcPr>
            <w:tcW w:w="0" w:type="auto"/>
            <w:tcBorders>
              <w:top w:val="nil"/>
              <w:left w:val="nil"/>
              <w:bottom w:val="single" w:sz="4" w:space="0" w:color="auto"/>
            </w:tcBorders>
            <w:vAlign w:val="center"/>
          </w:tcPr>
          <w:p w14:paraId="12EC4187"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C9A9D0E"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2287E0BA"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1C513B7"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10922CA6"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2C795A0" w14:textId="77777777" w:rsidR="00CD55F1" w:rsidRPr="005B7BEE" w:rsidRDefault="00CD55F1" w:rsidP="00024DD9">
            <w:pPr>
              <w:jc w:val="center"/>
              <w:rPr>
                <w:sz w:val="14"/>
                <w:szCs w:val="14"/>
              </w:rPr>
            </w:pPr>
            <w:r w:rsidRPr="005B7BEE">
              <w:rPr>
                <w:sz w:val="14"/>
                <w:szCs w:val="14"/>
              </w:rPr>
              <w:t xml:space="preserve">Catastrophic </w:t>
            </w:r>
          </w:p>
          <w:p w14:paraId="4DC3F33D"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71575C60"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3F7FBA53"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21BC7EA"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ED1139B"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5E9F29B"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0B0D0139"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CF4A42D" w14:textId="77777777" w:rsidR="00CD55F1" w:rsidRPr="005B7BEE" w:rsidRDefault="00CD55F1" w:rsidP="00024DD9">
            <w:pPr>
              <w:jc w:val="center"/>
              <w:rPr>
                <w:sz w:val="14"/>
                <w:szCs w:val="14"/>
              </w:rPr>
            </w:pPr>
            <w:r w:rsidRPr="005B7BEE">
              <w:rPr>
                <w:sz w:val="14"/>
                <w:szCs w:val="14"/>
              </w:rPr>
              <w:t xml:space="preserve">Catastrophic </w:t>
            </w:r>
          </w:p>
          <w:p w14:paraId="204B1C3B"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3AEBC7DA" w14:textId="77777777" w:rsidTr="00024DD9">
        <w:trPr>
          <w:jc w:val="center"/>
        </w:trPr>
        <w:tc>
          <w:tcPr>
            <w:tcW w:w="0" w:type="auto"/>
            <w:tcBorders>
              <w:top w:val="single" w:sz="4" w:space="0" w:color="auto"/>
              <w:right w:val="single" w:sz="12" w:space="0" w:color="auto"/>
            </w:tcBorders>
          </w:tcPr>
          <w:p w14:paraId="57B393D9"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1F3BDD5A" w14:textId="77777777" w:rsidR="00CD55F1" w:rsidRPr="00F60A9B" w:rsidRDefault="00CD55F1" w:rsidP="00024DD9">
            <w:pPr>
              <w:jc w:val="center"/>
            </w:pPr>
            <w:r>
              <w:t>0</w:t>
            </w:r>
          </w:p>
        </w:tc>
        <w:tc>
          <w:tcPr>
            <w:tcW w:w="0" w:type="auto"/>
            <w:tcBorders>
              <w:top w:val="single" w:sz="12" w:space="0" w:color="auto"/>
            </w:tcBorders>
            <w:vAlign w:val="center"/>
          </w:tcPr>
          <w:p w14:paraId="56A7804A" w14:textId="77777777" w:rsidR="00CD55F1" w:rsidRPr="00210DD1" w:rsidRDefault="00CD55F1" w:rsidP="00024DD9">
            <w:pPr>
              <w:jc w:val="center"/>
            </w:pPr>
            <w:r>
              <w:t>0</w:t>
            </w:r>
          </w:p>
        </w:tc>
        <w:tc>
          <w:tcPr>
            <w:tcW w:w="0" w:type="auto"/>
            <w:tcBorders>
              <w:top w:val="single" w:sz="12" w:space="0" w:color="auto"/>
            </w:tcBorders>
            <w:vAlign w:val="center"/>
          </w:tcPr>
          <w:p w14:paraId="72F1725E" w14:textId="77777777" w:rsidR="00CD55F1" w:rsidRPr="00210DD1" w:rsidRDefault="00CD55F1" w:rsidP="00024DD9">
            <w:pPr>
              <w:jc w:val="center"/>
            </w:pPr>
            <w:r>
              <w:t>0</w:t>
            </w:r>
          </w:p>
        </w:tc>
        <w:tc>
          <w:tcPr>
            <w:tcW w:w="0" w:type="auto"/>
            <w:tcBorders>
              <w:top w:val="single" w:sz="12" w:space="0" w:color="auto"/>
            </w:tcBorders>
            <w:vAlign w:val="center"/>
          </w:tcPr>
          <w:p w14:paraId="33BD7809" w14:textId="77777777" w:rsidR="00CD55F1" w:rsidRPr="00210DD1" w:rsidRDefault="00CD55F1" w:rsidP="00024DD9">
            <w:pPr>
              <w:jc w:val="center"/>
            </w:pPr>
            <w:r>
              <w:t>0</w:t>
            </w:r>
          </w:p>
        </w:tc>
        <w:tc>
          <w:tcPr>
            <w:tcW w:w="0" w:type="auto"/>
            <w:tcBorders>
              <w:top w:val="single" w:sz="12" w:space="0" w:color="auto"/>
            </w:tcBorders>
            <w:vAlign w:val="center"/>
          </w:tcPr>
          <w:p w14:paraId="06B2BCBA" w14:textId="77777777" w:rsidR="00CD55F1" w:rsidRPr="00F60A9B" w:rsidRDefault="00CD55F1" w:rsidP="00024DD9">
            <w:pPr>
              <w:jc w:val="center"/>
            </w:pPr>
            <w:r>
              <w:t>0</w:t>
            </w:r>
          </w:p>
        </w:tc>
        <w:tc>
          <w:tcPr>
            <w:tcW w:w="0" w:type="auto"/>
            <w:tcBorders>
              <w:top w:val="nil"/>
              <w:left w:val="nil"/>
              <w:bottom w:val="nil"/>
              <w:right w:val="nil"/>
            </w:tcBorders>
            <w:vAlign w:val="center"/>
          </w:tcPr>
          <w:p w14:paraId="11FEDBAD" w14:textId="77777777" w:rsidR="00CD55F1" w:rsidRDefault="00CD55F1" w:rsidP="00024DD9">
            <w:pPr>
              <w:jc w:val="center"/>
            </w:pPr>
          </w:p>
        </w:tc>
        <w:tc>
          <w:tcPr>
            <w:tcW w:w="0" w:type="auto"/>
            <w:tcBorders>
              <w:top w:val="single" w:sz="12" w:space="0" w:color="auto"/>
            </w:tcBorders>
            <w:vAlign w:val="center"/>
          </w:tcPr>
          <w:p w14:paraId="793E46D9"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6530EC37" w14:textId="77777777" w:rsidR="00CD55F1" w:rsidRDefault="00CD55F1" w:rsidP="00024DD9">
            <w:pPr>
              <w:jc w:val="center"/>
            </w:pPr>
            <w:r>
              <w:t>0</w:t>
            </w:r>
          </w:p>
        </w:tc>
        <w:tc>
          <w:tcPr>
            <w:tcW w:w="0" w:type="auto"/>
            <w:tcBorders>
              <w:top w:val="single" w:sz="12" w:space="0" w:color="auto"/>
            </w:tcBorders>
            <w:vAlign w:val="center"/>
          </w:tcPr>
          <w:p w14:paraId="20E2DDB6" w14:textId="77777777" w:rsidR="00CD55F1" w:rsidRDefault="00CD55F1" w:rsidP="00024DD9">
            <w:pPr>
              <w:jc w:val="center"/>
            </w:pPr>
            <w:r>
              <w:t>0</w:t>
            </w:r>
          </w:p>
        </w:tc>
        <w:tc>
          <w:tcPr>
            <w:tcW w:w="0" w:type="auto"/>
            <w:tcBorders>
              <w:top w:val="single" w:sz="12" w:space="0" w:color="auto"/>
            </w:tcBorders>
            <w:vAlign w:val="center"/>
          </w:tcPr>
          <w:p w14:paraId="3A605FE4" w14:textId="77777777" w:rsidR="00CD55F1" w:rsidRDefault="00CD55F1" w:rsidP="00024DD9">
            <w:pPr>
              <w:jc w:val="center"/>
            </w:pPr>
            <w:r>
              <w:t>0</w:t>
            </w:r>
          </w:p>
        </w:tc>
        <w:tc>
          <w:tcPr>
            <w:tcW w:w="0" w:type="auto"/>
            <w:tcBorders>
              <w:top w:val="single" w:sz="12" w:space="0" w:color="auto"/>
            </w:tcBorders>
            <w:vAlign w:val="center"/>
          </w:tcPr>
          <w:p w14:paraId="1E4B8054" w14:textId="77777777" w:rsidR="00CD55F1" w:rsidRDefault="00CD55F1" w:rsidP="00024DD9">
            <w:pPr>
              <w:jc w:val="center"/>
            </w:pPr>
            <w:r>
              <w:t>0</w:t>
            </w:r>
          </w:p>
        </w:tc>
        <w:tc>
          <w:tcPr>
            <w:tcW w:w="0" w:type="auto"/>
            <w:tcBorders>
              <w:top w:val="single" w:sz="12" w:space="0" w:color="auto"/>
            </w:tcBorders>
            <w:vAlign w:val="center"/>
          </w:tcPr>
          <w:p w14:paraId="5186C977" w14:textId="77777777" w:rsidR="00CD55F1" w:rsidRDefault="00CD55F1" w:rsidP="00024DD9">
            <w:pPr>
              <w:jc w:val="center"/>
            </w:pPr>
            <w:r>
              <w:t>0</w:t>
            </w:r>
          </w:p>
        </w:tc>
      </w:tr>
      <w:tr w:rsidR="00CD55F1" w:rsidRPr="00F60A9B" w14:paraId="0C72074A" w14:textId="77777777" w:rsidTr="00024DD9">
        <w:trPr>
          <w:jc w:val="center"/>
        </w:trPr>
        <w:tc>
          <w:tcPr>
            <w:tcW w:w="0" w:type="auto"/>
            <w:tcBorders>
              <w:right w:val="single" w:sz="12" w:space="0" w:color="auto"/>
            </w:tcBorders>
          </w:tcPr>
          <w:p w14:paraId="025EC613"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08E16C25" w14:textId="77777777" w:rsidR="00CD55F1" w:rsidRDefault="00CD55F1" w:rsidP="00024DD9">
            <w:pPr>
              <w:jc w:val="center"/>
            </w:pPr>
            <w:r>
              <w:t>0</w:t>
            </w:r>
          </w:p>
        </w:tc>
        <w:tc>
          <w:tcPr>
            <w:tcW w:w="0" w:type="auto"/>
            <w:vAlign w:val="center"/>
          </w:tcPr>
          <w:p w14:paraId="4AFE857C" w14:textId="77777777" w:rsidR="00CD55F1" w:rsidRPr="00210DD1" w:rsidRDefault="00CD55F1" w:rsidP="00024DD9">
            <w:pPr>
              <w:jc w:val="center"/>
            </w:pPr>
            <w:r>
              <w:t>0</w:t>
            </w:r>
          </w:p>
        </w:tc>
        <w:tc>
          <w:tcPr>
            <w:tcW w:w="0" w:type="auto"/>
            <w:vAlign w:val="center"/>
          </w:tcPr>
          <w:p w14:paraId="2153BFCE" w14:textId="77777777" w:rsidR="00CD55F1" w:rsidRPr="00210DD1" w:rsidRDefault="00CD55F1" w:rsidP="00024DD9">
            <w:pPr>
              <w:jc w:val="center"/>
            </w:pPr>
            <w:r>
              <w:t>0</w:t>
            </w:r>
          </w:p>
        </w:tc>
        <w:tc>
          <w:tcPr>
            <w:tcW w:w="0" w:type="auto"/>
            <w:vAlign w:val="center"/>
          </w:tcPr>
          <w:p w14:paraId="24F1FD42" w14:textId="77777777" w:rsidR="00CD55F1" w:rsidRPr="00210DD1" w:rsidRDefault="00CD55F1" w:rsidP="00024DD9">
            <w:pPr>
              <w:jc w:val="center"/>
            </w:pPr>
            <w:r>
              <w:t>0</w:t>
            </w:r>
          </w:p>
        </w:tc>
        <w:tc>
          <w:tcPr>
            <w:tcW w:w="0" w:type="auto"/>
            <w:vAlign w:val="center"/>
          </w:tcPr>
          <w:p w14:paraId="728D8206" w14:textId="77777777" w:rsidR="00CD55F1" w:rsidRDefault="00CD55F1" w:rsidP="00024DD9">
            <w:pPr>
              <w:jc w:val="center"/>
            </w:pPr>
            <w:r>
              <w:t>0</w:t>
            </w:r>
          </w:p>
        </w:tc>
        <w:tc>
          <w:tcPr>
            <w:tcW w:w="0" w:type="auto"/>
            <w:tcBorders>
              <w:top w:val="nil"/>
              <w:left w:val="nil"/>
              <w:bottom w:val="nil"/>
              <w:right w:val="nil"/>
            </w:tcBorders>
            <w:vAlign w:val="center"/>
          </w:tcPr>
          <w:p w14:paraId="39C21119" w14:textId="77777777" w:rsidR="00CD55F1" w:rsidRDefault="00CD55F1" w:rsidP="00024DD9">
            <w:pPr>
              <w:jc w:val="center"/>
            </w:pPr>
          </w:p>
        </w:tc>
        <w:tc>
          <w:tcPr>
            <w:tcW w:w="0" w:type="auto"/>
            <w:vAlign w:val="center"/>
          </w:tcPr>
          <w:p w14:paraId="6516BBBB" w14:textId="77777777" w:rsidR="00CD55F1" w:rsidRPr="005B7BEE" w:rsidRDefault="00CD55F1" w:rsidP="00024DD9">
            <w:pPr>
              <w:jc w:val="center"/>
              <w:rPr>
                <w:sz w:val="14"/>
                <w:szCs w:val="14"/>
              </w:rPr>
            </w:pPr>
            <w:r>
              <w:rPr>
                <w:sz w:val="14"/>
                <w:szCs w:val="14"/>
              </w:rPr>
              <w:t>Often</w:t>
            </w:r>
          </w:p>
        </w:tc>
        <w:tc>
          <w:tcPr>
            <w:tcW w:w="0" w:type="auto"/>
            <w:vAlign w:val="center"/>
          </w:tcPr>
          <w:p w14:paraId="342CD1FF" w14:textId="77777777" w:rsidR="00CD55F1" w:rsidRDefault="00CD55F1" w:rsidP="00024DD9">
            <w:pPr>
              <w:jc w:val="center"/>
            </w:pPr>
            <w:r>
              <w:t>0</w:t>
            </w:r>
          </w:p>
        </w:tc>
        <w:tc>
          <w:tcPr>
            <w:tcW w:w="0" w:type="auto"/>
            <w:vAlign w:val="center"/>
          </w:tcPr>
          <w:p w14:paraId="3680EE0B" w14:textId="77777777" w:rsidR="00CD55F1" w:rsidRPr="00210DD1" w:rsidRDefault="00CD55F1" w:rsidP="00024DD9">
            <w:pPr>
              <w:jc w:val="center"/>
            </w:pPr>
            <w:r>
              <w:t>0</w:t>
            </w:r>
          </w:p>
        </w:tc>
        <w:tc>
          <w:tcPr>
            <w:tcW w:w="0" w:type="auto"/>
            <w:vAlign w:val="center"/>
          </w:tcPr>
          <w:p w14:paraId="0B38DDA3" w14:textId="77777777" w:rsidR="00CD55F1" w:rsidRPr="00210DD1" w:rsidRDefault="00CD55F1" w:rsidP="00024DD9">
            <w:pPr>
              <w:jc w:val="center"/>
            </w:pPr>
            <w:r>
              <w:t>0</w:t>
            </w:r>
          </w:p>
        </w:tc>
        <w:tc>
          <w:tcPr>
            <w:tcW w:w="0" w:type="auto"/>
            <w:vAlign w:val="center"/>
          </w:tcPr>
          <w:p w14:paraId="1F9B6E30" w14:textId="77777777" w:rsidR="00CD55F1" w:rsidRPr="00210DD1" w:rsidRDefault="00CD55F1" w:rsidP="00024DD9">
            <w:pPr>
              <w:jc w:val="center"/>
            </w:pPr>
            <w:r>
              <w:t>0</w:t>
            </w:r>
          </w:p>
        </w:tc>
        <w:tc>
          <w:tcPr>
            <w:tcW w:w="0" w:type="auto"/>
            <w:vAlign w:val="center"/>
          </w:tcPr>
          <w:p w14:paraId="28DEF537" w14:textId="77777777" w:rsidR="00CD55F1" w:rsidRDefault="00CD55F1" w:rsidP="00024DD9">
            <w:pPr>
              <w:jc w:val="center"/>
            </w:pPr>
            <w:r>
              <w:t>0</w:t>
            </w:r>
          </w:p>
        </w:tc>
      </w:tr>
      <w:tr w:rsidR="00CD55F1" w:rsidRPr="00F60A9B" w14:paraId="2FD11E95" w14:textId="77777777" w:rsidTr="00024DD9">
        <w:trPr>
          <w:jc w:val="center"/>
        </w:trPr>
        <w:tc>
          <w:tcPr>
            <w:tcW w:w="0" w:type="auto"/>
            <w:tcBorders>
              <w:right w:val="single" w:sz="12" w:space="0" w:color="auto"/>
            </w:tcBorders>
          </w:tcPr>
          <w:p w14:paraId="0D8E603A"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shd w:val="clear" w:color="auto" w:fill="D9E2F3" w:themeFill="accent1" w:themeFillTint="33"/>
            <w:vAlign w:val="center"/>
          </w:tcPr>
          <w:p w14:paraId="2A0E4958" w14:textId="77777777" w:rsidR="00CD55F1" w:rsidRDefault="00CD55F1" w:rsidP="00024DD9">
            <w:pPr>
              <w:jc w:val="center"/>
            </w:pPr>
            <w:r>
              <w:t>2 -1 = 1</w:t>
            </w:r>
          </w:p>
        </w:tc>
        <w:tc>
          <w:tcPr>
            <w:tcW w:w="0" w:type="auto"/>
            <w:vAlign w:val="center"/>
          </w:tcPr>
          <w:p w14:paraId="01207842" w14:textId="77777777" w:rsidR="00CD55F1" w:rsidRPr="00210DD1" w:rsidRDefault="00CD55F1" w:rsidP="00024DD9">
            <w:pPr>
              <w:jc w:val="center"/>
            </w:pPr>
            <w:r>
              <w:rPr>
                <w:rFonts w:ascii="Calibri" w:hAnsi="Calibri" w:cs="Calibri"/>
              </w:rPr>
              <w:t>0</w:t>
            </w:r>
          </w:p>
        </w:tc>
        <w:tc>
          <w:tcPr>
            <w:tcW w:w="0" w:type="auto"/>
            <w:vAlign w:val="center"/>
          </w:tcPr>
          <w:p w14:paraId="55B233CC" w14:textId="77777777" w:rsidR="00CD55F1" w:rsidRPr="00210DD1" w:rsidRDefault="00CD55F1" w:rsidP="00024DD9">
            <w:pPr>
              <w:jc w:val="center"/>
            </w:pPr>
            <w:r w:rsidRPr="00F60A9B">
              <w:rPr>
                <w:rFonts w:ascii="Calibri" w:hAnsi="Calibri" w:cs="Calibri"/>
              </w:rPr>
              <w:t>3</w:t>
            </w:r>
          </w:p>
        </w:tc>
        <w:tc>
          <w:tcPr>
            <w:tcW w:w="0" w:type="auto"/>
            <w:vAlign w:val="center"/>
          </w:tcPr>
          <w:p w14:paraId="3079FF50" w14:textId="77777777" w:rsidR="00CD55F1" w:rsidRPr="00210DD1" w:rsidRDefault="00CD55F1" w:rsidP="00024DD9">
            <w:pPr>
              <w:jc w:val="center"/>
            </w:pPr>
            <w:r w:rsidRPr="00F60A9B">
              <w:rPr>
                <w:rFonts w:ascii="Calibri" w:hAnsi="Calibri" w:cs="Calibri"/>
              </w:rPr>
              <w:t>0</w:t>
            </w:r>
          </w:p>
        </w:tc>
        <w:tc>
          <w:tcPr>
            <w:tcW w:w="0" w:type="auto"/>
            <w:vAlign w:val="center"/>
          </w:tcPr>
          <w:p w14:paraId="53447C13"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0558C0D8" w14:textId="77777777" w:rsidR="00CD55F1" w:rsidRDefault="00CD55F1" w:rsidP="00024DD9">
            <w:pPr>
              <w:jc w:val="center"/>
            </w:pPr>
          </w:p>
        </w:tc>
        <w:tc>
          <w:tcPr>
            <w:tcW w:w="0" w:type="auto"/>
            <w:vAlign w:val="center"/>
          </w:tcPr>
          <w:p w14:paraId="38EACD13" w14:textId="77777777" w:rsidR="00CD55F1" w:rsidRPr="005B7BEE" w:rsidRDefault="00CD55F1" w:rsidP="00024DD9">
            <w:pPr>
              <w:jc w:val="center"/>
              <w:rPr>
                <w:sz w:val="14"/>
                <w:szCs w:val="14"/>
              </w:rPr>
            </w:pPr>
            <w:r w:rsidRPr="005B7BEE">
              <w:rPr>
                <w:sz w:val="14"/>
                <w:szCs w:val="14"/>
              </w:rPr>
              <w:t>Frequent</w:t>
            </w:r>
          </w:p>
        </w:tc>
        <w:tc>
          <w:tcPr>
            <w:tcW w:w="0" w:type="auto"/>
            <w:vAlign w:val="center"/>
          </w:tcPr>
          <w:p w14:paraId="22CA2AFF" w14:textId="77777777" w:rsidR="00CD55F1" w:rsidRDefault="00CD55F1" w:rsidP="00024DD9">
            <w:pPr>
              <w:jc w:val="center"/>
            </w:pPr>
            <w:r>
              <w:rPr>
                <w:rFonts w:ascii="Calibri" w:hAnsi="Calibri" w:cs="Calibri"/>
              </w:rPr>
              <w:t>0</w:t>
            </w:r>
          </w:p>
        </w:tc>
        <w:tc>
          <w:tcPr>
            <w:tcW w:w="0" w:type="auto"/>
            <w:vAlign w:val="center"/>
          </w:tcPr>
          <w:p w14:paraId="40E02AFD" w14:textId="77777777" w:rsidR="00CD55F1" w:rsidRPr="00210DD1" w:rsidRDefault="00CD55F1" w:rsidP="00024DD9">
            <w:pPr>
              <w:jc w:val="center"/>
            </w:pPr>
            <w:r>
              <w:rPr>
                <w:rFonts w:ascii="Calibri" w:hAnsi="Calibri" w:cs="Calibri"/>
              </w:rPr>
              <w:t>3</w:t>
            </w:r>
          </w:p>
        </w:tc>
        <w:tc>
          <w:tcPr>
            <w:tcW w:w="0" w:type="auto"/>
            <w:vAlign w:val="center"/>
          </w:tcPr>
          <w:p w14:paraId="72DE0825" w14:textId="77777777" w:rsidR="00CD55F1" w:rsidRPr="00210DD1" w:rsidRDefault="00CD55F1" w:rsidP="00024DD9">
            <w:pPr>
              <w:jc w:val="center"/>
            </w:pPr>
            <w:r w:rsidRPr="00F60A9B">
              <w:rPr>
                <w:rFonts w:ascii="Calibri" w:hAnsi="Calibri" w:cs="Calibri"/>
              </w:rPr>
              <w:t>0</w:t>
            </w:r>
          </w:p>
        </w:tc>
        <w:tc>
          <w:tcPr>
            <w:tcW w:w="0" w:type="auto"/>
            <w:vAlign w:val="center"/>
          </w:tcPr>
          <w:p w14:paraId="4AEB6448" w14:textId="77777777" w:rsidR="00CD55F1" w:rsidRPr="00210DD1" w:rsidRDefault="00CD55F1" w:rsidP="00024DD9">
            <w:pPr>
              <w:jc w:val="center"/>
            </w:pPr>
            <w:r w:rsidRPr="00F60A9B">
              <w:rPr>
                <w:rFonts w:ascii="Calibri" w:hAnsi="Calibri" w:cs="Calibri"/>
              </w:rPr>
              <w:t>0</w:t>
            </w:r>
          </w:p>
        </w:tc>
        <w:tc>
          <w:tcPr>
            <w:tcW w:w="0" w:type="auto"/>
            <w:vAlign w:val="center"/>
          </w:tcPr>
          <w:p w14:paraId="43730D46" w14:textId="77777777" w:rsidR="00CD55F1" w:rsidRDefault="00CD55F1" w:rsidP="00024DD9">
            <w:pPr>
              <w:jc w:val="center"/>
            </w:pPr>
            <w:r w:rsidRPr="00F60A9B">
              <w:rPr>
                <w:rFonts w:ascii="Calibri" w:hAnsi="Calibri" w:cs="Calibri"/>
              </w:rPr>
              <w:t>0</w:t>
            </w:r>
          </w:p>
        </w:tc>
      </w:tr>
      <w:tr w:rsidR="00CD55F1" w:rsidRPr="00F60A9B" w14:paraId="78BFA7A7" w14:textId="77777777" w:rsidTr="00024DD9">
        <w:trPr>
          <w:jc w:val="center"/>
        </w:trPr>
        <w:tc>
          <w:tcPr>
            <w:tcW w:w="0" w:type="auto"/>
            <w:tcBorders>
              <w:right w:val="single" w:sz="12" w:space="0" w:color="auto"/>
            </w:tcBorders>
          </w:tcPr>
          <w:p w14:paraId="048F000A"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shd w:val="clear" w:color="auto" w:fill="D9E2F3" w:themeFill="accent1" w:themeFillTint="33"/>
            <w:vAlign w:val="center"/>
          </w:tcPr>
          <w:p w14:paraId="7D01452A" w14:textId="77777777" w:rsidR="00CD55F1" w:rsidRPr="00F60A9B" w:rsidRDefault="00CD55F1" w:rsidP="00024DD9">
            <w:pPr>
              <w:jc w:val="center"/>
            </w:pPr>
            <w:r>
              <w:t>0+1*10 = 10</w:t>
            </w:r>
          </w:p>
        </w:tc>
        <w:tc>
          <w:tcPr>
            <w:tcW w:w="0" w:type="auto"/>
            <w:vAlign w:val="center"/>
          </w:tcPr>
          <w:p w14:paraId="34C74BAD" w14:textId="77777777" w:rsidR="00CD55F1" w:rsidRPr="00210DD1" w:rsidRDefault="00CD55F1" w:rsidP="00024DD9">
            <w:pPr>
              <w:jc w:val="center"/>
            </w:pPr>
            <w:r>
              <w:rPr>
                <w:rFonts w:ascii="Calibri" w:hAnsi="Calibri" w:cs="Calibri"/>
              </w:rPr>
              <w:t>0</w:t>
            </w:r>
          </w:p>
        </w:tc>
        <w:tc>
          <w:tcPr>
            <w:tcW w:w="0" w:type="auto"/>
            <w:vAlign w:val="center"/>
          </w:tcPr>
          <w:p w14:paraId="5CAF0995" w14:textId="77777777" w:rsidR="00CD55F1" w:rsidRPr="00210DD1" w:rsidRDefault="00CD55F1" w:rsidP="00024DD9">
            <w:pPr>
              <w:jc w:val="center"/>
            </w:pPr>
            <w:r>
              <w:rPr>
                <w:rFonts w:ascii="Calibri" w:hAnsi="Calibri" w:cs="Calibri"/>
              </w:rPr>
              <w:t>2</w:t>
            </w:r>
          </w:p>
        </w:tc>
        <w:tc>
          <w:tcPr>
            <w:tcW w:w="0" w:type="auto"/>
            <w:vAlign w:val="center"/>
          </w:tcPr>
          <w:p w14:paraId="420F7BE2" w14:textId="77777777" w:rsidR="00CD55F1" w:rsidRPr="00210DD1" w:rsidRDefault="00CD55F1" w:rsidP="00024DD9">
            <w:pPr>
              <w:jc w:val="center"/>
            </w:pPr>
            <w:r w:rsidRPr="00F60A9B">
              <w:rPr>
                <w:rFonts w:ascii="Calibri" w:hAnsi="Calibri" w:cs="Calibri"/>
              </w:rPr>
              <w:t>0</w:t>
            </w:r>
          </w:p>
        </w:tc>
        <w:tc>
          <w:tcPr>
            <w:tcW w:w="0" w:type="auto"/>
            <w:vAlign w:val="center"/>
          </w:tcPr>
          <w:p w14:paraId="67107660"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7D9A2294"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1D2D8293" w14:textId="77777777" w:rsidR="00CD55F1" w:rsidRDefault="00CD55F1" w:rsidP="00024DD9">
            <w:pPr>
              <w:jc w:val="center"/>
            </w:pPr>
            <w:r w:rsidRPr="005B7BEE">
              <w:rPr>
                <w:sz w:val="14"/>
                <w:szCs w:val="14"/>
              </w:rPr>
              <w:t>Probable</w:t>
            </w:r>
          </w:p>
        </w:tc>
        <w:tc>
          <w:tcPr>
            <w:tcW w:w="0" w:type="auto"/>
            <w:vAlign w:val="center"/>
          </w:tcPr>
          <w:p w14:paraId="75F71026" w14:textId="77777777" w:rsidR="00CD55F1" w:rsidRDefault="00CD55F1" w:rsidP="00024DD9">
            <w:pPr>
              <w:jc w:val="center"/>
            </w:pPr>
            <w:r>
              <w:rPr>
                <w:rFonts w:ascii="Calibri" w:hAnsi="Calibri" w:cs="Calibri"/>
              </w:rPr>
              <w:t>11</w:t>
            </w:r>
          </w:p>
        </w:tc>
        <w:tc>
          <w:tcPr>
            <w:tcW w:w="0" w:type="auto"/>
            <w:vAlign w:val="center"/>
          </w:tcPr>
          <w:p w14:paraId="22337E56" w14:textId="77777777" w:rsidR="00CD55F1" w:rsidRDefault="00CD55F1" w:rsidP="00024DD9">
            <w:pPr>
              <w:jc w:val="center"/>
            </w:pPr>
            <w:r>
              <w:rPr>
                <w:rFonts w:ascii="Calibri" w:hAnsi="Calibri" w:cs="Calibri"/>
              </w:rPr>
              <w:t>1</w:t>
            </w:r>
          </w:p>
        </w:tc>
        <w:tc>
          <w:tcPr>
            <w:tcW w:w="0" w:type="auto"/>
            <w:vAlign w:val="center"/>
          </w:tcPr>
          <w:p w14:paraId="2C827EE3" w14:textId="77777777" w:rsidR="00CD55F1" w:rsidRDefault="00CD55F1" w:rsidP="00024DD9">
            <w:pPr>
              <w:jc w:val="center"/>
            </w:pPr>
            <w:r>
              <w:rPr>
                <w:rFonts w:ascii="Calibri" w:hAnsi="Calibri" w:cs="Calibri"/>
              </w:rPr>
              <w:t>0</w:t>
            </w:r>
          </w:p>
        </w:tc>
        <w:tc>
          <w:tcPr>
            <w:tcW w:w="0" w:type="auto"/>
            <w:vAlign w:val="center"/>
          </w:tcPr>
          <w:p w14:paraId="254A958C" w14:textId="77777777" w:rsidR="00CD55F1" w:rsidRDefault="00CD55F1" w:rsidP="00024DD9">
            <w:pPr>
              <w:jc w:val="center"/>
            </w:pPr>
            <w:r w:rsidRPr="00F60A9B">
              <w:rPr>
                <w:rFonts w:ascii="Calibri" w:hAnsi="Calibri" w:cs="Calibri"/>
              </w:rPr>
              <w:t>1</w:t>
            </w:r>
          </w:p>
        </w:tc>
        <w:tc>
          <w:tcPr>
            <w:tcW w:w="0" w:type="auto"/>
            <w:vAlign w:val="center"/>
          </w:tcPr>
          <w:p w14:paraId="3957CF7C" w14:textId="77777777" w:rsidR="00CD55F1" w:rsidRDefault="00CD55F1" w:rsidP="00024DD9">
            <w:pPr>
              <w:jc w:val="center"/>
            </w:pPr>
            <w:r w:rsidRPr="00F60A9B">
              <w:rPr>
                <w:rFonts w:ascii="Calibri" w:hAnsi="Calibri" w:cs="Calibri"/>
              </w:rPr>
              <w:t>0</w:t>
            </w:r>
          </w:p>
        </w:tc>
      </w:tr>
      <w:tr w:rsidR="00CD55F1" w:rsidRPr="00F60A9B" w14:paraId="673A7210" w14:textId="77777777" w:rsidTr="00024DD9">
        <w:trPr>
          <w:jc w:val="center"/>
        </w:trPr>
        <w:tc>
          <w:tcPr>
            <w:tcW w:w="0" w:type="auto"/>
            <w:tcBorders>
              <w:right w:val="single" w:sz="12" w:space="0" w:color="auto"/>
            </w:tcBorders>
          </w:tcPr>
          <w:p w14:paraId="6B8FA92D"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vAlign w:val="center"/>
          </w:tcPr>
          <w:p w14:paraId="015A18C4" w14:textId="77777777" w:rsidR="00CD55F1" w:rsidRPr="00F60A9B" w:rsidRDefault="00CD55F1" w:rsidP="00024DD9">
            <w:pPr>
              <w:jc w:val="center"/>
            </w:pPr>
            <w:r>
              <w:rPr>
                <w:rFonts w:ascii="Calibri" w:hAnsi="Calibri" w:cs="Calibri"/>
              </w:rPr>
              <w:t>0</w:t>
            </w:r>
          </w:p>
        </w:tc>
        <w:tc>
          <w:tcPr>
            <w:tcW w:w="0" w:type="auto"/>
            <w:vAlign w:val="center"/>
          </w:tcPr>
          <w:p w14:paraId="7874BC97" w14:textId="77777777" w:rsidR="00CD55F1" w:rsidRPr="00210DD1" w:rsidRDefault="00CD55F1" w:rsidP="00024DD9">
            <w:pPr>
              <w:jc w:val="center"/>
            </w:pPr>
            <w:r w:rsidRPr="00F60A9B">
              <w:rPr>
                <w:rFonts w:ascii="Calibri" w:hAnsi="Calibri" w:cs="Calibri"/>
              </w:rPr>
              <w:t>0</w:t>
            </w:r>
          </w:p>
        </w:tc>
        <w:tc>
          <w:tcPr>
            <w:tcW w:w="0" w:type="auto"/>
            <w:vAlign w:val="center"/>
          </w:tcPr>
          <w:p w14:paraId="3173DF33" w14:textId="77777777" w:rsidR="00CD55F1" w:rsidRPr="00210DD1" w:rsidRDefault="00CD55F1" w:rsidP="00024DD9">
            <w:pPr>
              <w:jc w:val="center"/>
            </w:pPr>
            <w:r>
              <w:rPr>
                <w:rFonts w:ascii="Calibri" w:hAnsi="Calibri" w:cs="Calibri"/>
              </w:rPr>
              <w:t>0</w:t>
            </w:r>
          </w:p>
        </w:tc>
        <w:tc>
          <w:tcPr>
            <w:tcW w:w="0" w:type="auto"/>
            <w:vAlign w:val="center"/>
          </w:tcPr>
          <w:p w14:paraId="45466D96" w14:textId="77777777" w:rsidR="00CD55F1" w:rsidRPr="00210DD1" w:rsidRDefault="00CD55F1" w:rsidP="00024DD9">
            <w:pPr>
              <w:jc w:val="center"/>
            </w:pPr>
            <w:r>
              <w:t>2</w:t>
            </w:r>
          </w:p>
        </w:tc>
        <w:tc>
          <w:tcPr>
            <w:tcW w:w="0" w:type="auto"/>
            <w:vAlign w:val="center"/>
          </w:tcPr>
          <w:p w14:paraId="39E6E6F7"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6A37528B" w14:textId="77777777" w:rsidR="00CD55F1" w:rsidRDefault="00CD55F1" w:rsidP="00024DD9">
            <w:pPr>
              <w:jc w:val="center"/>
            </w:pPr>
          </w:p>
        </w:tc>
        <w:tc>
          <w:tcPr>
            <w:tcW w:w="0" w:type="auto"/>
            <w:vAlign w:val="center"/>
          </w:tcPr>
          <w:p w14:paraId="67667CE7" w14:textId="77777777" w:rsidR="00CD55F1" w:rsidRDefault="00CD55F1" w:rsidP="00024DD9">
            <w:pPr>
              <w:jc w:val="center"/>
            </w:pPr>
            <w:r w:rsidRPr="005B7BEE">
              <w:rPr>
                <w:sz w:val="14"/>
                <w:szCs w:val="14"/>
              </w:rPr>
              <w:t>Occasional</w:t>
            </w:r>
          </w:p>
        </w:tc>
        <w:tc>
          <w:tcPr>
            <w:tcW w:w="0" w:type="auto"/>
            <w:vAlign w:val="center"/>
          </w:tcPr>
          <w:p w14:paraId="61D2A506" w14:textId="77777777" w:rsidR="00CD55F1" w:rsidRDefault="00CD55F1" w:rsidP="00024DD9">
            <w:pPr>
              <w:jc w:val="center"/>
            </w:pPr>
            <w:r>
              <w:rPr>
                <w:rFonts w:ascii="Calibri" w:hAnsi="Calibri" w:cs="Calibri"/>
              </w:rPr>
              <w:t>1</w:t>
            </w:r>
          </w:p>
        </w:tc>
        <w:tc>
          <w:tcPr>
            <w:tcW w:w="0" w:type="auto"/>
            <w:vAlign w:val="center"/>
          </w:tcPr>
          <w:p w14:paraId="6911C1BA" w14:textId="77777777" w:rsidR="00CD55F1" w:rsidRDefault="00CD55F1" w:rsidP="00024DD9">
            <w:pPr>
              <w:jc w:val="center"/>
            </w:pPr>
            <w:r w:rsidRPr="00F60A9B">
              <w:rPr>
                <w:rFonts w:ascii="Calibri" w:hAnsi="Calibri" w:cs="Calibri"/>
              </w:rPr>
              <w:t>10</w:t>
            </w:r>
          </w:p>
        </w:tc>
        <w:tc>
          <w:tcPr>
            <w:tcW w:w="0" w:type="auto"/>
            <w:vAlign w:val="center"/>
          </w:tcPr>
          <w:p w14:paraId="6941E1A5" w14:textId="77777777" w:rsidR="00CD55F1" w:rsidRDefault="00CD55F1" w:rsidP="00024DD9">
            <w:pPr>
              <w:jc w:val="center"/>
            </w:pPr>
            <w:r>
              <w:rPr>
                <w:rFonts w:ascii="Calibri" w:hAnsi="Calibri" w:cs="Calibri"/>
              </w:rPr>
              <w:t>0</w:t>
            </w:r>
          </w:p>
        </w:tc>
        <w:tc>
          <w:tcPr>
            <w:tcW w:w="0" w:type="auto"/>
            <w:vAlign w:val="center"/>
          </w:tcPr>
          <w:p w14:paraId="1F7A786B" w14:textId="77777777" w:rsidR="00CD55F1" w:rsidRDefault="00CD55F1" w:rsidP="00024DD9">
            <w:pPr>
              <w:jc w:val="center"/>
            </w:pPr>
            <w:r>
              <w:rPr>
                <w:rFonts w:ascii="Calibri" w:hAnsi="Calibri" w:cs="Calibri"/>
              </w:rPr>
              <w:t>0</w:t>
            </w:r>
          </w:p>
        </w:tc>
        <w:tc>
          <w:tcPr>
            <w:tcW w:w="0" w:type="auto"/>
            <w:vAlign w:val="center"/>
          </w:tcPr>
          <w:p w14:paraId="386A75EA" w14:textId="77777777" w:rsidR="00CD55F1" w:rsidRDefault="00CD55F1" w:rsidP="00024DD9">
            <w:pPr>
              <w:jc w:val="center"/>
            </w:pPr>
            <w:r w:rsidRPr="00F60A9B">
              <w:rPr>
                <w:rFonts w:ascii="Calibri" w:hAnsi="Calibri" w:cs="Calibri"/>
              </w:rPr>
              <w:t>1</w:t>
            </w:r>
          </w:p>
        </w:tc>
      </w:tr>
      <w:tr w:rsidR="00CD55F1" w:rsidRPr="00F60A9B" w14:paraId="0D711224" w14:textId="77777777" w:rsidTr="00024DD9">
        <w:trPr>
          <w:jc w:val="center"/>
        </w:trPr>
        <w:tc>
          <w:tcPr>
            <w:tcW w:w="0" w:type="auto"/>
            <w:tcBorders>
              <w:right w:val="single" w:sz="12" w:space="0" w:color="auto"/>
            </w:tcBorders>
          </w:tcPr>
          <w:p w14:paraId="4836CAC5"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vAlign w:val="center"/>
          </w:tcPr>
          <w:p w14:paraId="790DC42D" w14:textId="77777777" w:rsidR="00CD55F1" w:rsidRPr="00F60A9B" w:rsidRDefault="00CD55F1" w:rsidP="00024DD9">
            <w:pPr>
              <w:jc w:val="center"/>
            </w:pPr>
            <w:r>
              <w:rPr>
                <w:rFonts w:ascii="Calibri" w:hAnsi="Calibri" w:cs="Calibri"/>
              </w:rPr>
              <w:t>3</w:t>
            </w:r>
          </w:p>
        </w:tc>
        <w:tc>
          <w:tcPr>
            <w:tcW w:w="0" w:type="auto"/>
            <w:vAlign w:val="center"/>
          </w:tcPr>
          <w:p w14:paraId="202BDFAC" w14:textId="77777777" w:rsidR="00CD55F1" w:rsidRPr="00210DD1" w:rsidRDefault="00CD55F1" w:rsidP="00024DD9">
            <w:pPr>
              <w:jc w:val="center"/>
            </w:pPr>
            <w:r>
              <w:rPr>
                <w:rFonts w:ascii="Calibri" w:hAnsi="Calibri" w:cs="Calibri"/>
              </w:rPr>
              <w:t>0</w:t>
            </w:r>
          </w:p>
        </w:tc>
        <w:tc>
          <w:tcPr>
            <w:tcW w:w="0" w:type="auto"/>
            <w:vAlign w:val="center"/>
          </w:tcPr>
          <w:p w14:paraId="4E307D8F" w14:textId="77777777" w:rsidR="00CD55F1" w:rsidRPr="00210DD1" w:rsidRDefault="00CD55F1" w:rsidP="00024DD9">
            <w:pPr>
              <w:jc w:val="center"/>
            </w:pPr>
            <w:r>
              <w:rPr>
                <w:rFonts w:ascii="Calibri" w:hAnsi="Calibri" w:cs="Calibri"/>
              </w:rPr>
              <w:t>0</w:t>
            </w:r>
          </w:p>
        </w:tc>
        <w:tc>
          <w:tcPr>
            <w:tcW w:w="0" w:type="auto"/>
            <w:vAlign w:val="center"/>
          </w:tcPr>
          <w:p w14:paraId="354DBA01" w14:textId="77777777" w:rsidR="00CD55F1" w:rsidRPr="00210DD1" w:rsidRDefault="00CD55F1" w:rsidP="00024DD9">
            <w:pPr>
              <w:jc w:val="center"/>
            </w:pPr>
            <w:r>
              <w:rPr>
                <w:rFonts w:ascii="Calibri" w:hAnsi="Calibri" w:cs="Calibri"/>
              </w:rPr>
              <w:t>3</w:t>
            </w:r>
          </w:p>
        </w:tc>
        <w:tc>
          <w:tcPr>
            <w:tcW w:w="0" w:type="auto"/>
            <w:vAlign w:val="center"/>
          </w:tcPr>
          <w:p w14:paraId="01E59727" w14:textId="77777777" w:rsidR="00CD55F1" w:rsidRPr="00F60A9B" w:rsidRDefault="00CD55F1" w:rsidP="00024DD9">
            <w:pPr>
              <w:jc w:val="center"/>
            </w:pPr>
            <w:r>
              <w:rPr>
                <w:rFonts w:ascii="Calibri" w:hAnsi="Calibri" w:cs="Calibri"/>
              </w:rPr>
              <w:t>0</w:t>
            </w:r>
          </w:p>
        </w:tc>
        <w:tc>
          <w:tcPr>
            <w:tcW w:w="0" w:type="auto"/>
            <w:tcBorders>
              <w:top w:val="nil"/>
              <w:left w:val="nil"/>
              <w:bottom w:val="nil"/>
              <w:right w:val="nil"/>
            </w:tcBorders>
            <w:vAlign w:val="center"/>
          </w:tcPr>
          <w:p w14:paraId="5FE45E06" w14:textId="77777777" w:rsidR="00CD55F1" w:rsidRDefault="00CD55F1" w:rsidP="00024DD9">
            <w:pPr>
              <w:jc w:val="center"/>
            </w:pPr>
          </w:p>
        </w:tc>
        <w:tc>
          <w:tcPr>
            <w:tcW w:w="0" w:type="auto"/>
            <w:vAlign w:val="center"/>
          </w:tcPr>
          <w:p w14:paraId="56F8087D" w14:textId="77777777" w:rsidR="00CD55F1" w:rsidRDefault="00CD55F1" w:rsidP="00024DD9">
            <w:pPr>
              <w:jc w:val="center"/>
            </w:pPr>
            <w:r w:rsidRPr="005B7BEE">
              <w:rPr>
                <w:sz w:val="14"/>
                <w:szCs w:val="14"/>
              </w:rPr>
              <w:t>Remote</w:t>
            </w:r>
          </w:p>
        </w:tc>
        <w:tc>
          <w:tcPr>
            <w:tcW w:w="0" w:type="auto"/>
            <w:vAlign w:val="center"/>
          </w:tcPr>
          <w:p w14:paraId="046A7B01" w14:textId="77777777" w:rsidR="00CD55F1" w:rsidRDefault="00CD55F1" w:rsidP="00024DD9">
            <w:pPr>
              <w:jc w:val="center"/>
            </w:pPr>
            <w:r>
              <w:rPr>
                <w:rFonts w:ascii="Calibri" w:hAnsi="Calibri" w:cs="Calibri"/>
              </w:rPr>
              <w:t>0</w:t>
            </w:r>
          </w:p>
        </w:tc>
        <w:tc>
          <w:tcPr>
            <w:tcW w:w="0" w:type="auto"/>
            <w:vAlign w:val="center"/>
          </w:tcPr>
          <w:p w14:paraId="03FD95CE" w14:textId="77777777" w:rsidR="00CD55F1" w:rsidRDefault="00CD55F1" w:rsidP="00024DD9">
            <w:pPr>
              <w:jc w:val="center"/>
            </w:pPr>
            <w:r>
              <w:rPr>
                <w:rFonts w:ascii="Calibri" w:hAnsi="Calibri" w:cs="Calibri"/>
              </w:rPr>
              <w:t>2</w:t>
            </w:r>
          </w:p>
        </w:tc>
        <w:tc>
          <w:tcPr>
            <w:tcW w:w="0" w:type="auto"/>
            <w:vAlign w:val="center"/>
          </w:tcPr>
          <w:p w14:paraId="3268BB68" w14:textId="77777777" w:rsidR="00CD55F1" w:rsidRDefault="00CD55F1" w:rsidP="00024DD9">
            <w:pPr>
              <w:jc w:val="center"/>
            </w:pPr>
            <w:r>
              <w:rPr>
                <w:rFonts w:ascii="Calibri" w:hAnsi="Calibri" w:cs="Calibri"/>
              </w:rPr>
              <w:t>0</w:t>
            </w:r>
          </w:p>
        </w:tc>
        <w:tc>
          <w:tcPr>
            <w:tcW w:w="0" w:type="auto"/>
            <w:vAlign w:val="center"/>
          </w:tcPr>
          <w:p w14:paraId="76EA47C4" w14:textId="77777777" w:rsidR="00CD55F1" w:rsidRDefault="00CD55F1" w:rsidP="00024DD9">
            <w:pPr>
              <w:jc w:val="center"/>
            </w:pPr>
            <w:r>
              <w:rPr>
                <w:rFonts w:ascii="Calibri" w:hAnsi="Calibri" w:cs="Calibri"/>
              </w:rPr>
              <w:t>0</w:t>
            </w:r>
          </w:p>
        </w:tc>
        <w:tc>
          <w:tcPr>
            <w:tcW w:w="0" w:type="auto"/>
            <w:vAlign w:val="center"/>
          </w:tcPr>
          <w:p w14:paraId="14D012E2" w14:textId="77777777" w:rsidR="00CD55F1" w:rsidRDefault="00CD55F1" w:rsidP="00024DD9">
            <w:pPr>
              <w:jc w:val="center"/>
            </w:pPr>
            <w:r>
              <w:rPr>
                <w:rFonts w:ascii="Calibri" w:hAnsi="Calibri" w:cs="Calibri"/>
              </w:rPr>
              <w:t>0</w:t>
            </w:r>
          </w:p>
        </w:tc>
      </w:tr>
      <w:tr w:rsidR="00CD55F1" w:rsidRPr="00F60A9B" w14:paraId="1453DAA5" w14:textId="77777777" w:rsidTr="00024DD9">
        <w:trPr>
          <w:jc w:val="center"/>
        </w:trPr>
        <w:tc>
          <w:tcPr>
            <w:tcW w:w="0" w:type="auto"/>
            <w:tcBorders>
              <w:right w:val="single" w:sz="12" w:space="0" w:color="auto"/>
            </w:tcBorders>
          </w:tcPr>
          <w:p w14:paraId="45D19EBC"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vAlign w:val="center"/>
          </w:tcPr>
          <w:p w14:paraId="15C359DB" w14:textId="77777777" w:rsidR="00CD55F1" w:rsidRPr="00F60A9B" w:rsidRDefault="00CD55F1" w:rsidP="00024DD9">
            <w:pPr>
              <w:jc w:val="center"/>
            </w:pPr>
            <w:r>
              <w:rPr>
                <w:rFonts w:ascii="Calibri" w:hAnsi="Calibri" w:cs="Calibri"/>
              </w:rPr>
              <w:t>0</w:t>
            </w:r>
          </w:p>
        </w:tc>
        <w:tc>
          <w:tcPr>
            <w:tcW w:w="0" w:type="auto"/>
            <w:vAlign w:val="center"/>
          </w:tcPr>
          <w:p w14:paraId="025AEBF2" w14:textId="77777777" w:rsidR="00CD55F1" w:rsidRPr="00210DD1" w:rsidRDefault="00CD55F1" w:rsidP="00024DD9">
            <w:pPr>
              <w:jc w:val="center"/>
            </w:pPr>
            <w:r>
              <w:rPr>
                <w:rFonts w:ascii="Calibri" w:hAnsi="Calibri" w:cs="Calibri"/>
              </w:rPr>
              <w:t>0</w:t>
            </w:r>
          </w:p>
        </w:tc>
        <w:tc>
          <w:tcPr>
            <w:tcW w:w="0" w:type="auto"/>
            <w:vAlign w:val="center"/>
          </w:tcPr>
          <w:p w14:paraId="751A5E08" w14:textId="77777777" w:rsidR="00CD55F1" w:rsidRPr="00210DD1" w:rsidRDefault="00CD55F1" w:rsidP="00024DD9">
            <w:pPr>
              <w:jc w:val="center"/>
            </w:pPr>
            <w:r>
              <w:rPr>
                <w:rFonts w:ascii="Calibri" w:hAnsi="Calibri" w:cs="Calibri"/>
              </w:rPr>
              <w:t>0</w:t>
            </w:r>
          </w:p>
        </w:tc>
        <w:tc>
          <w:tcPr>
            <w:tcW w:w="0" w:type="auto"/>
            <w:vAlign w:val="center"/>
          </w:tcPr>
          <w:p w14:paraId="0F963ED0" w14:textId="77777777" w:rsidR="00CD55F1" w:rsidRPr="00210DD1" w:rsidRDefault="00CD55F1" w:rsidP="00024DD9">
            <w:pPr>
              <w:jc w:val="center"/>
            </w:pPr>
            <w:r>
              <w:rPr>
                <w:rFonts w:ascii="Calibri" w:hAnsi="Calibri" w:cs="Calibri"/>
              </w:rPr>
              <w:t>0</w:t>
            </w:r>
          </w:p>
        </w:tc>
        <w:tc>
          <w:tcPr>
            <w:tcW w:w="0" w:type="auto"/>
            <w:vAlign w:val="center"/>
          </w:tcPr>
          <w:p w14:paraId="11F47D51"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6B785867" w14:textId="77777777" w:rsidR="00CD55F1" w:rsidRDefault="00CD55F1" w:rsidP="00024DD9">
            <w:pPr>
              <w:keepNext/>
              <w:jc w:val="center"/>
            </w:pPr>
          </w:p>
        </w:tc>
        <w:tc>
          <w:tcPr>
            <w:tcW w:w="0" w:type="auto"/>
            <w:vAlign w:val="center"/>
          </w:tcPr>
          <w:p w14:paraId="02E4484E" w14:textId="77777777" w:rsidR="00CD55F1" w:rsidRDefault="00CD55F1" w:rsidP="00024DD9">
            <w:pPr>
              <w:keepNext/>
              <w:jc w:val="center"/>
            </w:pPr>
            <w:r w:rsidRPr="005B7BEE">
              <w:rPr>
                <w:sz w:val="14"/>
                <w:szCs w:val="14"/>
              </w:rPr>
              <w:t>Improbable</w:t>
            </w:r>
          </w:p>
        </w:tc>
        <w:tc>
          <w:tcPr>
            <w:tcW w:w="0" w:type="auto"/>
            <w:vAlign w:val="center"/>
          </w:tcPr>
          <w:p w14:paraId="0AB68692" w14:textId="77777777" w:rsidR="00CD55F1" w:rsidRDefault="00CD55F1" w:rsidP="00024DD9">
            <w:pPr>
              <w:keepNext/>
              <w:jc w:val="center"/>
            </w:pPr>
            <w:r>
              <w:rPr>
                <w:rFonts w:ascii="Calibri" w:hAnsi="Calibri" w:cs="Calibri"/>
              </w:rPr>
              <w:t>0</w:t>
            </w:r>
          </w:p>
        </w:tc>
        <w:tc>
          <w:tcPr>
            <w:tcW w:w="0" w:type="auto"/>
            <w:vAlign w:val="center"/>
          </w:tcPr>
          <w:p w14:paraId="1755454B" w14:textId="77777777" w:rsidR="00CD55F1" w:rsidRDefault="00CD55F1" w:rsidP="00024DD9">
            <w:pPr>
              <w:keepNext/>
              <w:jc w:val="center"/>
            </w:pPr>
            <w:r>
              <w:rPr>
                <w:rFonts w:ascii="Calibri" w:hAnsi="Calibri" w:cs="Calibri"/>
              </w:rPr>
              <w:t>1</w:t>
            </w:r>
          </w:p>
        </w:tc>
        <w:tc>
          <w:tcPr>
            <w:tcW w:w="0" w:type="auto"/>
            <w:vAlign w:val="center"/>
          </w:tcPr>
          <w:p w14:paraId="3D5005D6" w14:textId="77777777" w:rsidR="00CD55F1" w:rsidRDefault="00CD55F1" w:rsidP="00024DD9">
            <w:pPr>
              <w:keepNext/>
              <w:jc w:val="center"/>
            </w:pPr>
            <w:r>
              <w:rPr>
                <w:rFonts w:ascii="Calibri" w:hAnsi="Calibri" w:cs="Calibri"/>
              </w:rPr>
              <w:t>0</w:t>
            </w:r>
          </w:p>
        </w:tc>
        <w:tc>
          <w:tcPr>
            <w:tcW w:w="0" w:type="auto"/>
            <w:vAlign w:val="center"/>
          </w:tcPr>
          <w:p w14:paraId="41FCA4CB" w14:textId="77777777" w:rsidR="00CD55F1" w:rsidRDefault="00CD55F1" w:rsidP="00024DD9">
            <w:pPr>
              <w:keepNext/>
              <w:jc w:val="center"/>
            </w:pPr>
            <w:r>
              <w:rPr>
                <w:rFonts w:ascii="Calibri" w:hAnsi="Calibri" w:cs="Calibri"/>
              </w:rPr>
              <w:t>9</w:t>
            </w:r>
          </w:p>
        </w:tc>
        <w:tc>
          <w:tcPr>
            <w:tcW w:w="0" w:type="auto"/>
            <w:vAlign w:val="center"/>
          </w:tcPr>
          <w:p w14:paraId="144ACAD4" w14:textId="77777777" w:rsidR="00CD55F1" w:rsidRDefault="00CD55F1" w:rsidP="00024DD9">
            <w:pPr>
              <w:keepNext/>
              <w:jc w:val="center"/>
            </w:pPr>
            <w:r w:rsidRPr="00F60A9B">
              <w:rPr>
                <w:rFonts w:ascii="Calibri" w:hAnsi="Calibri" w:cs="Calibri"/>
              </w:rPr>
              <w:t>0</w:t>
            </w:r>
          </w:p>
        </w:tc>
      </w:tr>
    </w:tbl>
    <w:p w14:paraId="6FF7A52F" w14:textId="64018D02" w:rsidR="00CD55F1" w:rsidRDefault="00CD55F1" w:rsidP="00CD55F1">
      <w:pPr>
        <w:pStyle w:val="Caption"/>
        <w:keepNext/>
        <w:spacing w:before="120"/>
        <w:jc w:val="center"/>
      </w:pPr>
      <w:bookmarkStart w:id="64" w:name="_Ref147726849"/>
      <w:r>
        <w:t xml:space="preserve">Equation </w:t>
      </w:r>
      <w:r>
        <w:fldChar w:fldCharType="begin"/>
      </w:r>
      <w:r>
        <w:instrText xml:space="preserve"> SEQ Equation \* ARABIC </w:instrText>
      </w:r>
      <w:r>
        <w:fldChar w:fldCharType="separate"/>
      </w:r>
      <w:r w:rsidR="003468AE">
        <w:rPr>
          <w:noProof/>
        </w:rPr>
        <w:t>15</w:t>
      </w:r>
      <w:r>
        <w:rPr>
          <w:noProof/>
        </w:rPr>
        <w:fldChar w:fldCharType="end"/>
      </w:r>
      <w:bookmarkEnd w:id="64"/>
    </w:p>
    <w:p w14:paraId="0A88F397" w14:textId="273CBBBF" w:rsidR="00CD55F1" w:rsidRDefault="00CD55F1" w:rsidP="00CD55F1">
      <w:r>
        <w:t xml:space="preserve">We can now show that the reason for using the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rule is that we can use the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rule to simplify </w:t>
      </w:r>
      <w:r>
        <w:fldChar w:fldCharType="begin"/>
      </w:r>
      <w:r>
        <w:instrText xml:space="preserve"> REF _Ref147726849 \h </w:instrText>
      </w:r>
      <w:r>
        <w:fldChar w:fldCharType="separate"/>
      </w:r>
      <w:r w:rsidR="001E41EA">
        <w:t xml:space="preserve">Equation </w:t>
      </w:r>
      <w:r w:rsidR="001E41EA">
        <w:rPr>
          <w:noProof/>
        </w:rPr>
        <w:t>15</w:t>
      </w:r>
      <w:r>
        <w:fldChar w:fldCharType="end"/>
      </w:r>
      <w:r>
        <w:t xml:space="preserve">, while we could not use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on  </w:t>
      </w:r>
      <w:r>
        <w:fldChar w:fldCharType="begin"/>
      </w:r>
      <w:r>
        <w:instrText xml:space="preserve"> REF _Ref146706091 \h </w:instrText>
      </w:r>
      <w:r>
        <w:fldChar w:fldCharType="separate"/>
      </w:r>
      <w:r w:rsidR="001E41EA">
        <w:t xml:space="preserve">Equation </w:t>
      </w:r>
      <w:r w:rsidR="001E41EA">
        <w:rPr>
          <w:noProof/>
        </w:rPr>
        <w:t>14</w:t>
      </w:r>
      <w:r>
        <w:fldChar w:fldCharType="end"/>
      </w:r>
      <w:r>
        <w:t xml:space="preserve">.  </w:t>
      </w:r>
    </w:p>
    <w:p w14:paraId="42F5908B" w14:textId="4A6FEF87" w:rsidR="00CD55F1" w:rsidRDefault="00CD55F1" w:rsidP="00CD55F1">
      <w:r>
        <w:t xml:space="preserve">Using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on </w:t>
      </w:r>
      <w:r>
        <w:fldChar w:fldCharType="begin"/>
      </w:r>
      <w:r>
        <w:instrText xml:space="preserve"> REF _Ref147726849 \h </w:instrText>
      </w:r>
      <w:r>
        <w:fldChar w:fldCharType="separate"/>
      </w:r>
      <w:r w:rsidR="001E41EA">
        <w:t xml:space="preserve">Equation </w:t>
      </w:r>
      <w:r w:rsidR="001E41EA">
        <w:rPr>
          <w:noProof/>
        </w:rPr>
        <w:t>15</w:t>
      </w:r>
      <w:r>
        <w:fldChar w:fldCharType="end"/>
      </w:r>
      <w:r>
        <w:t xml:space="preserve"> gives: </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31E71853" w14:textId="77777777" w:rsidTr="00024DD9">
        <w:trPr>
          <w:tblHeader/>
          <w:jc w:val="center"/>
        </w:trPr>
        <w:tc>
          <w:tcPr>
            <w:tcW w:w="0" w:type="auto"/>
            <w:tcBorders>
              <w:top w:val="nil"/>
              <w:left w:val="nil"/>
              <w:bottom w:val="single" w:sz="4" w:space="0" w:color="auto"/>
            </w:tcBorders>
            <w:vAlign w:val="center"/>
          </w:tcPr>
          <w:p w14:paraId="61B6F02C"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228B35B"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2E758F10"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6EFE2CF4"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280F8C2C"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7812D74" w14:textId="77777777" w:rsidR="00CD55F1" w:rsidRPr="005B7BEE" w:rsidRDefault="00CD55F1" w:rsidP="00024DD9">
            <w:pPr>
              <w:jc w:val="center"/>
              <w:rPr>
                <w:sz w:val="14"/>
                <w:szCs w:val="14"/>
              </w:rPr>
            </w:pPr>
            <w:r w:rsidRPr="005B7BEE">
              <w:rPr>
                <w:sz w:val="14"/>
                <w:szCs w:val="14"/>
              </w:rPr>
              <w:t xml:space="preserve">Catastrophic </w:t>
            </w:r>
          </w:p>
          <w:p w14:paraId="31B9A132"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3969BDED"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28A800DF"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0362156"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47A9AE2B"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38B7DDD"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296863C0"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24C775C6" w14:textId="77777777" w:rsidR="00CD55F1" w:rsidRPr="005B7BEE" w:rsidRDefault="00CD55F1" w:rsidP="00024DD9">
            <w:pPr>
              <w:jc w:val="center"/>
              <w:rPr>
                <w:sz w:val="14"/>
                <w:szCs w:val="14"/>
              </w:rPr>
            </w:pPr>
            <w:r w:rsidRPr="005B7BEE">
              <w:rPr>
                <w:sz w:val="14"/>
                <w:szCs w:val="14"/>
              </w:rPr>
              <w:t xml:space="preserve">Catastrophic </w:t>
            </w:r>
          </w:p>
          <w:p w14:paraId="12FDE92D"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01C80F26" w14:textId="77777777" w:rsidTr="00024DD9">
        <w:trPr>
          <w:jc w:val="center"/>
        </w:trPr>
        <w:tc>
          <w:tcPr>
            <w:tcW w:w="0" w:type="auto"/>
            <w:tcBorders>
              <w:top w:val="single" w:sz="4" w:space="0" w:color="auto"/>
              <w:right w:val="single" w:sz="12" w:space="0" w:color="auto"/>
            </w:tcBorders>
          </w:tcPr>
          <w:p w14:paraId="099CEBBE"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640C855A" w14:textId="77777777" w:rsidR="00CD55F1" w:rsidRPr="00F60A9B" w:rsidRDefault="00CD55F1" w:rsidP="00024DD9">
            <w:pPr>
              <w:jc w:val="center"/>
            </w:pPr>
            <w:r>
              <w:t>0</w:t>
            </w:r>
          </w:p>
        </w:tc>
        <w:tc>
          <w:tcPr>
            <w:tcW w:w="0" w:type="auto"/>
            <w:tcBorders>
              <w:top w:val="single" w:sz="12" w:space="0" w:color="auto"/>
            </w:tcBorders>
            <w:vAlign w:val="center"/>
          </w:tcPr>
          <w:p w14:paraId="4F64C9C7" w14:textId="77777777" w:rsidR="00CD55F1" w:rsidRPr="00210DD1" w:rsidRDefault="00CD55F1" w:rsidP="00024DD9">
            <w:pPr>
              <w:jc w:val="center"/>
            </w:pPr>
            <w:r>
              <w:t>0</w:t>
            </w:r>
          </w:p>
        </w:tc>
        <w:tc>
          <w:tcPr>
            <w:tcW w:w="0" w:type="auto"/>
            <w:tcBorders>
              <w:top w:val="single" w:sz="12" w:space="0" w:color="auto"/>
            </w:tcBorders>
            <w:vAlign w:val="center"/>
          </w:tcPr>
          <w:p w14:paraId="689DA956" w14:textId="77777777" w:rsidR="00CD55F1" w:rsidRPr="00210DD1" w:rsidRDefault="00CD55F1" w:rsidP="00024DD9">
            <w:pPr>
              <w:jc w:val="center"/>
            </w:pPr>
            <w:r>
              <w:t>0</w:t>
            </w:r>
          </w:p>
        </w:tc>
        <w:tc>
          <w:tcPr>
            <w:tcW w:w="0" w:type="auto"/>
            <w:tcBorders>
              <w:top w:val="single" w:sz="12" w:space="0" w:color="auto"/>
            </w:tcBorders>
            <w:vAlign w:val="center"/>
          </w:tcPr>
          <w:p w14:paraId="0376447A" w14:textId="77777777" w:rsidR="00CD55F1" w:rsidRPr="00210DD1" w:rsidRDefault="00CD55F1" w:rsidP="00024DD9">
            <w:pPr>
              <w:jc w:val="center"/>
            </w:pPr>
            <w:r>
              <w:t>0</w:t>
            </w:r>
          </w:p>
        </w:tc>
        <w:tc>
          <w:tcPr>
            <w:tcW w:w="0" w:type="auto"/>
            <w:tcBorders>
              <w:top w:val="single" w:sz="12" w:space="0" w:color="auto"/>
            </w:tcBorders>
            <w:vAlign w:val="center"/>
          </w:tcPr>
          <w:p w14:paraId="6B2DB5F0" w14:textId="77777777" w:rsidR="00CD55F1" w:rsidRPr="00F60A9B" w:rsidRDefault="00CD55F1" w:rsidP="00024DD9">
            <w:pPr>
              <w:jc w:val="center"/>
            </w:pPr>
            <w:r>
              <w:t>0</w:t>
            </w:r>
          </w:p>
        </w:tc>
        <w:tc>
          <w:tcPr>
            <w:tcW w:w="0" w:type="auto"/>
            <w:tcBorders>
              <w:top w:val="nil"/>
              <w:left w:val="nil"/>
              <w:bottom w:val="nil"/>
              <w:right w:val="nil"/>
            </w:tcBorders>
            <w:vAlign w:val="center"/>
          </w:tcPr>
          <w:p w14:paraId="53A9AC2D" w14:textId="77777777" w:rsidR="00CD55F1" w:rsidRDefault="00CD55F1" w:rsidP="00024DD9">
            <w:pPr>
              <w:jc w:val="center"/>
            </w:pPr>
          </w:p>
        </w:tc>
        <w:tc>
          <w:tcPr>
            <w:tcW w:w="0" w:type="auto"/>
            <w:tcBorders>
              <w:top w:val="single" w:sz="12" w:space="0" w:color="auto"/>
            </w:tcBorders>
            <w:vAlign w:val="center"/>
          </w:tcPr>
          <w:p w14:paraId="2F3F1B15"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22FEBB37" w14:textId="77777777" w:rsidR="00CD55F1" w:rsidRDefault="00CD55F1" w:rsidP="00024DD9">
            <w:pPr>
              <w:jc w:val="center"/>
            </w:pPr>
            <w:r>
              <w:t>0</w:t>
            </w:r>
          </w:p>
        </w:tc>
        <w:tc>
          <w:tcPr>
            <w:tcW w:w="0" w:type="auto"/>
            <w:tcBorders>
              <w:top w:val="single" w:sz="12" w:space="0" w:color="auto"/>
            </w:tcBorders>
            <w:vAlign w:val="center"/>
          </w:tcPr>
          <w:p w14:paraId="2160E481" w14:textId="77777777" w:rsidR="00CD55F1" w:rsidRDefault="00CD55F1" w:rsidP="00024DD9">
            <w:pPr>
              <w:jc w:val="center"/>
            </w:pPr>
            <w:r>
              <w:t>0</w:t>
            </w:r>
          </w:p>
        </w:tc>
        <w:tc>
          <w:tcPr>
            <w:tcW w:w="0" w:type="auto"/>
            <w:tcBorders>
              <w:top w:val="single" w:sz="12" w:space="0" w:color="auto"/>
            </w:tcBorders>
            <w:vAlign w:val="center"/>
          </w:tcPr>
          <w:p w14:paraId="1D2AF332" w14:textId="77777777" w:rsidR="00CD55F1" w:rsidRDefault="00CD55F1" w:rsidP="00024DD9">
            <w:pPr>
              <w:jc w:val="center"/>
            </w:pPr>
            <w:r>
              <w:t>0</w:t>
            </w:r>
          </w:p>
        </w:tc>
        <w:tc>
          <w:tcPr>
            <w:tcW w:w="0" w:type="auto"/>
            <w:tcBorders>
              <w:top w:val="single" w:sz="12" w:space="0" w:color="auto"/>
            </w:tcBorders>
            <w:vAlign w:val="center"/>
          </w:tcPr>
          <w:p w14:paraId="13C07FD6" w14:textId="77777777" w:rsidR="00CD55F1" w:rsidRDefault="00CD55F1" w:rsidP="00024DD9">
            <w:pPr>
              <w:jc w:val="center"/>
            </w:pPr>
            <w:r>
              <w:t>0</w:t>
            </w:r>
          </w:p>
        </w:tc>
        <w:tc>
          <w:tcPr>
            <w:tcW w:w="0" w:type="auto"/>
            <w:tcBorders>
              <w:top w:val="single" w:sz="12" w:space="0" w:color="auto"/>
            </w:tcBorders>
            <w:vAlign w:val="center"/>
          </w:tcPr>
          <w:p w14:paraId="5AF4F0D5" w14:textId="77777777" w:rsidR="00CD55F1" w:rsidRDefault="00CD55F1" w:rsidP="00024DD9">
            <w:pPr>
              <w:jc w:val="center"/>
            </w:pPr>
            <w:r>
              <w:t>0</w:t>
            </w:r>
          </w:p>
        </w:tc>
      </w:tr>
      <w:tr w:rsidR="00CD55F1" w:rsidRPr="00F60A9B" w14:paraId="6047D47C" w14:textId="77777777" w:rsidTr="00024DD9">
        <w:trPr>
          <w:jc w:val="center"/>
        </w:trPr>
        <w:tc>
          <w:tcPr>
            <w:tcW w:w="0" w:type="auto"/>
            <w:tcBorders>
              <w:right w:val="single" w:sz="12" w:space="0" w:color="auto"/>
            </w:tcBorders>
          </w:tcPr>
          <w:p w14:paraId="72F9CA44"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73D18C03" w14:textId="77777777" w:rsidR="00CD55F1" w:rsidRDefault="00CD55F1" w:rsidP="00024DD9">
            <w:pPr>
              <w:jc w:val="center"/>
            </w:pPr>
            <w:r>
              <w:t>0</w:t>
            </w:r>
          </w:p>
        </w:tc>
        <w:tc>
          <w:tcPr>
            <w:tcW w:w="0" w:type="auto"/>
            <w:vAlign w:val="center"/>
          </w:tcPr>
          <w:p w14:paraId="48F542DB" w14:textId="77777777" w:rsidR="00CD55F1" w:rsidRPr="00210DD1" w:rsidRDefault="00CD55F1" w:rsidP="00024DD9">
            <w:pPr>
              <w:jc w:val="center"/>
            </w:pPr>
            <w:r>
              <w:t>0</w:t>
            </w:r>
          </w:p>
        </w:tc>
        <w:tc>
          <w:tcPr>
            <w:tcW w:w="0" w:type="auto"/>
            <w:vAlign w:val="center"/>
          </w:tcPr>
          <w:p w14:paraId="04129777" w14:textId="77777777" w:rsidR="00CD55F1" w:rsidRPr="00210DD1" w:rsidRDefault="00CD55F1" w:rsidP="00024DD9">
            <w:pPr>
              <w:jc w:val="center"/>
            </w:pPr>
            <w:r>
              <w:t>0</w:t>
            </w:r>
          </w:p>
        </w:tc>
        <w:tc>
          <w:tcPr>
            <w:tcW w:w="0" w:type="auto"/>
            <w:vAlign w:val="center"/>
          </w:tcPr>
          <w:p w14:paraId="584963C8" w14:textId="77777777" w:rsidR="00CD55F1" w:rsidRPr="00210DD1" w:rsidRDefault="00CD55F1" w:rsidP="00024DD9">
            <w:pPr>
              <w:jc w:val="center"/>
            </w:pPr>
            <w:r>
              <w:t>0</w:t>
            </w:r>
          </w:p>
        </w:tc>
        <w:tc>
          <w:tcPr>
            <w:tcW w:w="0" w:type="auto"/>
            <w:vAlign w:val="center"/>
          </w:tcPr>
          <w:p w14:paraId="1285C84D" w14:textId="77777777" w:rsidR="00CD55F1" w:rsidRDefault="00CD55F1" w:rsidP="00024DD9">
            <w:pPr>
              <w:jc w:val="center"/>
            </w:pPr>
            <w:r>
              <w:t>0</w:t>
            </w:r>
          </w:p>
        </w:tc>
        <w:tc>
          <w:tcPr>
            <w:tcW w:w="0" w:type="auto"/>
            <w:tcBorders>
              <w:top w:val="nil"/>
              <w:left w:val="nil"/>
              <w:bottom w:val="nil"/>
              <w:right w:val="nil"/>
            </w:tcBorders>
            <w:vAlign w:val="center"/>
          </w:tcPr>
          <w:p w14:paraId="3161E0E1" w14:textId="77777777" w:rsidR="00CD55F1" w:rsidRDefault="00CD55F1" w:rsidP="00024DD9">
            <w:pPr>
              <w:jc w:val="center"/>
            </w:pPr>
          </w:p>
        </w:tc>
        <w:tc>
          <w:tcPr>
            <w:tcW w:w="0" w:type="auto"/>
            <w:vAlign w:val="center"/>
          </w:tcPr>
          <w:p w14:paraId="12FCE657" w14:textId="77777777" w:rsidR="00CD55F1" w:rsidRPr="005B7BEE" w:rsidRDefault="00CD55F1" w:rsidP="00024DD9">
            <w:pPr>
              <w:jc w:val="center"/>
              <w:rPr>
                <w:sz w:val="14"/>
                <w:szCs w:val="14"/>
              </w:rPr>
            </w:pPr>
            <w:r>
              <w:rPr>
                <w:sz w:val="14"/>
                <w:szCs w:val="14"/>
              </w:rPr>
              <w:t>Often</w:t>
            </w:r>
          </w:p>
        </w:tc>
        <w:tc>
          <w:tcPr>
            <w:tcW w:w="0" w:type="auto"/>
            <w:vAlign w:val="center"/>
          </w:tcPr>
          <w:p w14:paraId="0B1D5FD7" w14:textId="77777777" w:rsidR="00CD55F1" w:rsidRDefault="00CD55F1" w:rsidP="00024DD9">
            <w:pPr>
              <w:jc w:val="center"/>
            </w:pPr>
            <w:r>
              <w:t>0</w:t>
            </w:r>
          </w:p>
        </w:tc>
        <w:tc>
          <w:tcPr>
            <w:tcW w:w="0" w:type="auto"/>
            <w:vAlign w:val="center"/>
          </w:tcPr>
          <w:p w14:paraId="00F2727B" w14:textId="77777777" w:rsidR="00CD55F1" w:rsidRPr="00210DD1" w:rsidRDefault="00CD55F1" w:rsidP="00024DD9">
            <w:pPr>
              <w:jc w:val="center"/>
            </w:pPr>
            <w:r>
              <w:t>0</w:t>
            </w:r>
          </w:p>
        </w:tc>
        <w:tc>
          <w:tcPr>
            <w:tcW w:w="0" w:type="auto"/>
            <w:vAlign w:val="center"/>
          </w:tcPr>
          <w:p w14:paraId="701E9513" w14:textId="77777777" w:rsidR="00CD55F1" w:rsidRPr="00210DD1" w:rsidRDefault="00CD55F1" w:rsidP="00024DD9">
            <w:pPr>
              <w:jc w:val="center"/>
            </w:pPr>
            <w:r>
              <w:t>0</w:t>
            </w:r>
          </w:p>
        </w:tc>
        <w:tc>
          <w:tcPr>
            <w:tcW w:w="0" w:type="auto"/>
            <w:vAlign w:val="center"/>
          </w:tcPr>
          <w:p w14:paraId="6049E32D" w14:textId="77777777" w:rsidR="00CD55F1" w:rsidRPr="00210DD1" w:rsidRDefault="00CD55F1" w:rsidP="00024DD9">
            <w:pPr>
              <w:jc w:val="center"/>
            </w:pPr>
            <w:r>
              <w:t>0</w:t>
            </w:r>
          </w:p>
        </w:tc>
        <w:tc>
          <w:tcPr>
            <w:tcW w:w="0" w:type="auto"/>
            <w:vAlign w:val="center"/>
          </w:tcPr>
          <w:p w14:paraId="0D9D22AC" w14:textId="77777777" w:rsidR="00CD55F1" w:rsidRDefault="00CD55F1" w:rsidP="00024DD9">
            <w:pPr>
              <w:jc w:val="center"/>
            </w:pPr>
            <w:r>
              <w:t>0</w:t>
            </w:r>
          </w:p>
        </w:tc>
      </w:tr>
      <w:tr w:rsidR="00CD55F1" w:rsidRPr="00F60A9B" w14:paraId="127EFCC6" w14:textId="77777777" w:rsidTr="00024DD9">
        <w:trPr>
          <w:jc w:val="center"/>
        </w:trPr>
        <w:tc>
          <w:tcPr>
            <w:tcW w:w="0" w:type="auto"/>
            <w:tcBorders>
              <w:right w:val="single" w:sz="12" w:space="0" w:color="auto"/>
            </w:tcBorders>
          </w:tcPr>
          <w:p w14:paraId="3EAF7522"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vAlign w:val="center"/>
          </w:tcPr>
          <w:p w14:paraId="6C2D7C41" w14:textId="77777777" w:rsidR="00CD55F1" w:rsidRDefault="00CD55F1" w:rsidP="00024DD9">
            <w:pPr>
              <w:jc w:val="center"/>
            </w:pPr>
            <w:r>
              <w:t>1</w:t>
            </w:r>
          </w:p>
        </w:tc>
        <w:tc>
          <w:tcPr>
            <w:tcW w:w="0" w:type="auto"/>
            <w:vAlign w:val="center"/>
          </w:tcPr>
          <w:p w14:paraId="2804C0D3" w14:textId="77777777" w:rsidR="00CD55F1" w:rsidRPr="00210DD1" w:rsidRDefault="00CD55F1" w:rsidP="00024DD9">
            <w:pPr>
              <w:jc w:val="center"/>
            </w:pPr>
            <w:r>
              <w:rPr>
                <w:rFonts w:ascii="Calibri" w:hAnsi="Calibri" w:cs="Calibri"/>
              </w:rPr>
              <w:t>0</w:t>
            </w:r>
          </w:p>
        </w:tc>
        <w:tc>
          <w:tcPr>
            <w:tcW w:w="0" w:type="auto"/>
            <w:vAlign w:val="center"/>
          </w:tcPr>
          <w:p w14:paraId="59663831" w14:textId="77777777" w:rsidR="00CD55F1" w:rsidRPr="00210DD1" w:rsidRDefault="00CD55F1" w:rsidP="00024DD9">
            <w:pPr>
              <w:jc w:val="center"/>
            </w:pPr>
            <w:r w:rsidRPr="00F60A9B">
              <w:rPr>
                <w:rFonts w:ascii="Calibri" w:hAnsi="Calibri" w:cs="Calibri"/>
              </w:rPr>
              <w:t>3</w:t>
            </w:r>
          </w:p>
        </w:tc>
        <w:tc>
          <w:tcPr>
            <w:tcW w:w="0" w:type="auto"/>
            <w:vAlign w:val="center"/>
          </w:tcPr>
          <w:p w14:paraId="41868BF6" w14:textId="77777777" w:rsidR="00CD55F1" w:rsidRPr="00210DD1" w:rsidRDefault="00CD55F1" w:rsidP="00024DD9">
            <w:pPr>
              <w:jc w:val="center"/>
            </w:pPr>
            <w:r w:rsidRPr="00F60A9B">
              <w:rPr>
                <w:rFonts w:ascii="Calibri" w:hAnsi="Calibri" w:cs="Calibri"/>
              </w:rPr>
              <w:t>0</w:t>
            </w:r>
          </w:p>
        </w:tc>
        <w:tc>
          <w:tcPr>
            <w:tcW w:w="0" w:type="auto"/>
            <w:vAlign w:val="center"/>
          </w:tcPr>
          <w:p w14:paraId="61B4463D"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5BF78540" w14:textId="77777777" w:rsidR="00CD55F1" w:rsidRDefault="00CD55F1" w:rsidP="00024DD9">
            <w:pPr>
              <w:jc w:val="center"/>
            </w:pPr>
          </w:p>
        </w:tc>
        <w:tc>
          <w:tcPr>
            <w:tcW w:w="0" w:type="auto"/>
            <w:vAlign w:val="center"/>
          </w:tcPr>
          <w:p w14:paraId="41BFC217" w14:textId="77777777" w:rsidR="00CD55F1" w:rsidRPr="005B7BEE" w:rsidRDefault="00CD55F1" w:rsidP="00024DD9">
            <w:pPr>
              <w:jc w:val="center"/>
              <w:rPr>
                <w:sz w:val="14"/>
                <w:szCs w:val="14"/>
              </w:rPr>
            </w:pPr>
            <w:r w:rsidRPr="005B7BEE">
              <w:rPr>
                <w:sz w:val="14"/>
                <w:szCs w:val="14"/>
              </w:rPr>
              <w:t>Frequent</w:t>
            </w:r>
          </w:p>
        </w:tc>
        <w:tc>
          <w:tcPr>
            <w:tcW w:w="0" w:type="auto"/>
            <w:vAlign w:val="center"/>
          </w:tcPr>
          <w:p w14:paraId="7485BE06" w14:textId="77777777" w:rsidR="00CD55F1" w:rsidRDefault="00CD55F1" w:rsidP="00024DD9">
            <w:pPr>
              <w:jc w:val="center"/>
            </w:pPr>
            <w:r>
              <w:rPr>
                <w:rFonts w:ascii="Calibri" w:hAnsi="Calibri" w:cs="Calibri"/>
              </w:rPr>
              <w:t>0</w:t>
            </w:r>
          </w:p>
        </w:tc>
        <w:tc>
          <w:tcPr>
            <w:tcW w:w="0" w:type="auto"/>
            <w:vAlign w:val="center"/>
          </w:tcPr>
          <w:p w14:paraId="49D7EBEF" w14:textId="77777777" w:rsidR="00CD55F1" w:rsidRPr="00210DD1" w:rsidRDefault="00CD55F1" w:rsidP="00024DD9">
            <w:pPr>
              <w:jc w:val="center"/>
            </w:pPr>
            <w:r>
              <w:rPr>
                <w:rFonts w:ascii="Calibri" w:hAnsi="Calibri" w:cs="Calibri"/>
              </w:rPr>
              <w:t>3</w:t>
            </w:r>
          </w:p>
        </w:tc>
        <w:tc>
          <w:tcPr>
            <w:tcW w:w="0" w:type="auto"/>
            <w:vAlign w:val="center"/>
          </w:tcPr>
          <w:p w14:paraId="7B82FE1F" w14:textId="77777777" w:rsidR="00CD55F1" w:rsidRPr="00210DD1" w:rsidRDefault="00CD55F1" w:rsidP="00024DD9">
            <w:pPr>
              <w:jc w:val="center"/>
            </w:pPr>
            <w:r w:rsidRPr="00F60A9B">
              <w:rPr>
                <w:rFonts w:ascii="Calibri" w:hAnsi="Calibri" w:cs="Calibri"/>
              </w:rPr>
              <w:t>0</w:t>
            </w:r>
          </w:p>
        </w:tc>
        <w:tc>
          <w:tcPr>
            <w:tcW w:w="0" w:type="auto"/>
            <w:vAlign w:val="center"/>
          </w:tcPr>
          <w:p w14:paraId="6B5BE458" w14:textId="77777777" w:rsidR="00CD55F1" w:rsidRPr="00210DD1" w:rsidRDefault="00CD55F1" w:rsidP="00024DD9">
            <w:pPr>
              <w:jc w:val="center"/>
            </w:pPr>
            <w:r w:rsidRPr="00F60A9B">
              <w:rPr>
                <w:rFonts w:ascii="Calibri" w:hAnsi="Calibri" w:cs="Calibri"/>
              </w:rPr>
              <w:t>0</w:t>
            </w:r>
          </w:p>
        </w:tc>
        <w:tc>
          <w:tcPr>
            <w:tcW w:w="0" w:type="auto"/>
            <w:vAlign w:val="center"/>
          </w:tcPr>
          <w:p w14:paraId="3F53F230" w14:textId="77777777" w:rsidR="00CD55F1" w:rsidRDefault="00CD55F1" w:rsidP="00024DD9">
            <w:pPr>
              <w:jc w:val="center"/>
            </w:pPr>
            <w:r w:rsidRPr="00F60A9B">
              <w:rPr>
                <w:rFonts w:ascii="Calibri" w:hAnsi="Calibri" w:cs="Calibri"/>
              </w:rPr>
              <w:t>0</w:t>
            </w:r>
          </w:p>
        </w:tc>
      </w:tr>
      <w:tr w:rsidR="00CD55F1" w:rsidRPr="00F60A9B" w14:paraId="72728F20" w14:textId="77777777" w:rsidTr="00024DD9">
        <w:trPr>
          <w:jc w:val="center"/>
        </w:trPr>
        <w:tc>
          <w:tcPr>
            <w:tcW w:w="0" w:type="auto"/>
            <w:tcBorders>
              <w:right w:val="single" w:sz="12" w:space="0" w:color="auto"/>
            </w:tcBorders>
          </w:tcPr>
          <w:p w14:paraId="2CB3E989"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shd w:val="clear" w:color="auto" w:fill="D9E2F3" w:themeFill="accent1" w:themeFillTint="33"/>
            <w:vAlign w:val="center"/>
          </w:tcPr>
          <w:p w14:paraId="0D12E9B1" w14:textId="77777777" w:rsidR="00CD55F1" w:rsidRPr="00F60A9B" w:rsidRDefault="00CD55F1" w:rsidP="00024DD9">
            <w:pPr>
              <w:jc w:val="center"/>
            </w:pPr>
            <w:r>
              <w:t>10-10 = 0</w:t>
            </w:r>
          </w:p>
        </w:tc>
        <w:tc>
          <w:tcPr>
            <w:tcW w:w="0" w:type="auto"/>
            <w:vAlign w:val="center"/>
          </w:tcPr>
          <w:p w14:paraId="299BD244" w14:textId="77777777" w:rsidR="00CD55F1" w:rsidRPr="00210DD1" w:rsidRDefault="00CD55F1" w:rsidP="00024DD9">
            <w:pPr>
              <w:jc w:val="center"/>
            </w:pPr>
            <w:r>
              <w:rPr>
                <w:rFonts w:ascii="Calibri" w:hAnsi="Calibri" w:cs="Calibri"/>
              </w:rPr>
              <w:t>0</w:t>
            </w:r>
          </w:p>
        </w:tc>
        <w:tc>
          <w:tcPr>
            <w:tcW w:w="0" w:type="auto"/>
            <w:vAlign w:val="center"/>
          </w:tcPr>
          <w:p w14:paraId="59DE3F90" w14:textId="77777777" w:rsidR="00CD55F1" w:rsidRPr="00210DD1" w:rsidRDefault="00CD55F1" w:rsidP="00024DD9">
            <w:pPr>
              <w:jc w:val="center"/>
            </w:pPr>
            <w:r>
              <w:rPr>
                <w:rFonts w:ascii="Calibri" w:hAnsi="Calibri" w:cs="Calibri"/>
              </w:rPr>
              <w:t>2</w:t>
            </w:r>
          </w:p>
        </w:tc>
        <w:tc>
          <w:tcPr>
            <w:tcW w:w="0" w:type="auto"/>
            <w:vAlign w:val="center"/>
          </w:tcPr>
          <w:p w14:paraId="3E394E61" w14:textId="77777777" w:rsidR="00CD55F1" w:rsidRPr="00210DD1" w:rsidRDefault="00CD55F1" w:rsidP="00024DD9">
            <w:pPr>
              <w:jc w:val="center"/>
            </w:pPr>
            <w:r w:rsidRPr="00F60A9B">
              <w:rPr>
                <w:rFonts w:ascii="Calibri" w:hAnsi="Calibri" w:cs="Calibri"/>
              </w:rPr>
              <w:t>0</w:t>
            </w:r>
          </w:p>
        </w:tc>
        <w:tc>
          <w:tcPr>
            <w:tcW w:w="0" w:type="auto"/>
            <w:vAlign w:val="center"/>
          </w:tcPr>
          <w:p w14:paraId="3780BBA0"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60AAC18A"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11CFB1DD" w14:textId="77777777" w:rsidR="00CD55F1" w:rsidRDefault="00CD55F1" w:rsidP="00024DD9">
            <w:pPr>
              <w:jc w:val="center"/>
            </w:pPr>
            <w:r w:rsidRPr="005B7BEE">
              <w:rPr>
                <w:sz w:val="14"/>
                <w:szCs w:val="14"/>
              </w:rPr>
              <w:t>Probable</w:t>
            </w:r>
          </w:p>
        </w:tc>
        <w:tc>
          <w:tcPr>
            <w:tcW w:w="0" w:type="auto"/>
            <w:shd w:val="clear" w:color="auto" w:fill="D9E2F3" w:themeFill="accent1" w:themeFillTint="33"/>
            <w:vAlign w:val="center"/>
          </w:tcPr>
          <w:p w14:paraId="67E71FE2" w14:textId="77777777" w:rsidR="00CD55F1" w:rsidRDefault="00CD55F1" w:rsidP="00024DD9">
            <w:pPr>
              <w:jc w:val="center"/>
            </w:pPr>
            <w:r>
              <w:rPr>
                <w:rFonts w:ascii="Calibri" w:hAnsi="Calibri" w:cs="Calibri"/>
              </w:rPr>
              <w:t>11-10 = 1</w:t>
            </w:r>
          </w:p>
        </w:tc>
        <w:tc>
          <w:tcPr>
            <w:tcW w:w="0" w:type="auto"/>
            <w:vAlign w:val="center"/>
          </w:tcPr>
          <w:p w14:paraId="28BF0E93" w14:textId="77777777" w:rsidR="00CD55F1" w:rsidRDefault="00CD55F1" w:rsidP="00024DD9">
            <w:pPr>
              <w:jc w:val="center"/>
            </w:pPr>
            <w:r>
              <w:rPr>
                <w:rFonts w:ascii="Calibri" w:hAnsi="Calibri" w:cs="Calibri"/>
              </w:rPr>
              <w:t>1</w:t>
            </w:r>
          </w:p>
        </w:tc>
        <w:tc>
          <w:tcPr>
            <w:tcW w:w="0" w:type="auto"/>
            <w:vAlign w:val="center"/>
          </w:tcPr>
          <w:p w14:paraId="449EDF57" w14:textId="77777777" w:rsidR="00CD55F1" w:rsidRDefault="00CD55F1" w:rsidP="00024DD9">
            <w:pPr>
              <w:jc w:val="center"/>
            </w:pPr>
            <w:r>
              <w:rPr>
                <w:rFonts w:ascii="Calibri" w:hAnsi="Calibri" w:cs="Calibri"/>
              </w:rPr>
              <w:t>0</w:t>
            </w:r>
          </w:p>
        </w:tc>
        <w:tc>
          <w:tcPr>
            <w:tcW w:w="0" w:type="auto"/>
            <w:vAlign w:val="center"/>
          </w:tcPr>
          <w:p w14:paraId="1DEAE074" w14:textId="77777777" w:rsidR="00CD55F1" w:rsidRDefault="00CD55F1" w:rsidP="00024DD9">
            <w:pPr>
              <w:jc w:val="center"/>
            </w:pPr>
            <w:r w:rsidRPr="00F60A9B">
              <w:rPr>
                <w:rFonts w:ascii="Calibri" w:hAnsi="Calibri" w:cs="Calibri"/>
              </w:rPr>
              <w:t>1</w:t>
            </w:r>
          </w:p>
        </w:tc>
        <w:tc>
          <w:tcPr>
            <w:tcW w:w="0" w:type="auto"/>
            <w:vAlign w:val="center"/>
          </w:tcPr>
          <w:p w14:paraId="56B17F6E" w14:textId="77777777" w:rsidR="00CD55F1" w:rsidRDefault="00CD55F1" w:rsidP="00024DD9">
            <w:pPr>
              <w:jc w:val="center"/>
            </w:pPr>
            <w:r w:rsidRPr="00F60A9B">
              <w:rPr>
                <w:rFonts w:ascii="Calibri" w:hAnsi="Calibri" w:cs="Calibri"/>
              </w:rPr>
              <w:t>0</w:t>
            </w:r>
          </w:p>
        </w:tc>
      </w:tr>
      <w:tr w:rsidR="00CD55F1" w:rsidRPr="00F60A9B" w14:paraId="21B739E8" w14:textId="77777777" w:rsidTr="00024DD9">
        <w:trPr>
          <w:jc w:val="center"/>
        </w:trPr>
        <w:tc>
          <w:tcPr>
            <w:tcW w:w="0" w:type="auto"/>
            <w:tcBorders>
              <w:right w:val="single" w:sz="12" w:space="0" w:color="auto"/>
            </w:tcBorders>
          </w:tcPr>
          <w:p w14:paraId="2FE9BB9B"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vAlign w:val="center"/>
          </w:tcPr>
          <w:p w14:paraId="34CF0240" w14:textId="77777777" w:rsidR="00CD55F1" w:rsidRPr="00F60A9B" w:rsidRDefault="00CD55F1" w:rsidP="00024DD9">
            <w:pPr>
              <w:jc w:val="center"/>
            </w:pPr>
            <w:r>
              <w:rPr>
                <w:rFonts w:ascii="Calibri" w:hAnsi="Calibri" w:cs="Calibri"/>
              </w:rPr>
              <w:t>0</w:t>
            </w:r>
          </w:p>
        </w:tc>
        <w:tc>
          <w:tcPr>
            <w:tcW w:w="0" w:type="auto"/>
            <w:vAlign w:val="center"/>
          </w:tcPr>
          <w:p w14:paraId="04961C08" w14:textId="77777777" w:rsidR="00CD55F1" w:rsidRPr="00210DD1" w:rsidRDefault="00CD55F1" w:rsidP="00024DD9">
            <w:pPr>
              <w:jc w:val="center"/>
            </w:pPr>
            <w:r w:rsidRPr="00F60A9B">
              <w:rPr>
                <w:rFonts w:ascii="Calibri" w:hAnsi="Calibri" w:cs="Calibri"/>
              </w:rPr>
              <w:t>0</w:t>
            </w:r>
          </w:p>
        </w:tc>
        <w:tc>
          <w:tcPr>
            <w:tcW w:w="0" w:type="auto"/>
            <w:vAlign w:val="center"/>
          </w:tcPr>
          <w:p w14:paraId="0DBE1D06" w14:textId="77777777" w:rsidR="00CD55F1" w:rsidRPr="00210DD1" w:rsidRDefault="00CD55F1" w:rsidP="00024DD9">
            <w:pPr>
              <w:jc w:val="center"/>
            </w:pPr>
            <w:r>
              <w:rPr>
                <w:rFonts w:ascii="Calibri" w:hAnsi="Calibri" w:cs="Calibri"/>
              </w:rPr>
              <w:t>0</w:t>
            </w:r>
          </w:p>
        </w:tc>
        <w:tc>
          <w:tcPr>
            <w:tcW w:w="0" w:type="auto"/>
            <w:vAlign w:val="center"/>
          </w:tcPr>
          <w:p w14:paraId="516C38E9" w14:textId="77777777" w:rsidR="00CD55F1" w:rsidRPr="00210DD1" w:rsidRDefault="00CD55F1" w:rsidP="00024DD9">
            <w:pPr>
              <w:jc w:val="center"/>
            </w:pPr>
            <w:r>
              <w:t>2</w:t>
            </w:r>
          </w:p>
        </w:tc>
        <w:tc>
          <w:tcPr>
            <w:tcW w:w="0" w:type="auto"/>
            <w:vAlign w:val="center"/>
          </w:tcPr>
          <w:p w14:paraId="3FD0124B"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2C5AA44F" w14:textId="77777777" w:rsidR="00CD55F1" w:rsidRDefault="00CD55F1" w:rsidP="00024DD9">
            <w:pPr>
              <w:jc w:val="center"/>
            </w:pPr>
          </w:p>
        </w:tc>
        <w:tc>
          <w:tcPr>
            <w:tcW w:w="0" w:type="auto"/>
            <w:vAlign w:val="center"/>
          </w:tcPr>
          <w:p w14:paraId="2C5E351B" w14:textId="77777777" w:rsidR="00CD55F1" w:rsidRDefault="00CD55F1" w:rsidP="00024DD9">
            <w:pPr>
              <w:jc w:val="center"/>
            </w:pPr>
            <w:r w:rsidRPr="005B7BEE">
              <w:rPr>
                <w:sz w:val="14"/>
                <w:szCs w:val="14"/>
              </w:rPr>
              <w:t>Occasional</w:t>
            </w:r>
          </w:p>
        </w:tc>
        <w:tc>
          <w:tcPr>
            <w:tcW w:w="0" w:type="auto"/>
            <w:vAlign w:val="center"/>
          </w:tcPr>
          <w:p w14:paraId="35280E72" w14:textId="77777777" w:rsidR="00CD55F1" w:rsidRDefault="00CD55F1" w:rsidP="00024DD9">
            <w:pPr>
              <w:jc w:val="center"/>
            </w:pPr>
            <w:r>
              <w:rPr>
                <w:rFonts w:ascii="Calibri" w:hAnsi="Calibri" w:cs="Calibri"/>
              </w:rPr>
              <w:t>1</w:t>
            </w:r>
          </w:p>
        </w:tc>
        <w:tc>
          <w:tcPr>
            <w:tcW w:w="0" w:type="auto"/>
            <w:vAlign w:val="center"/>
          </w:tcPr>
          <w:p w14:paraId="5CBF09BF" w14:textId="77777777" w:rsidR="00CD55F1" w:rsidRDefault="00CD55F1" w:rsidP="00024DD9">
            <w:pPr>
              <w:jc w:val="center"/>
            </w:pPr>
            <w:r w:rsidRPr="00F60A9B">
              <w:rPr>
                <w:rFonts w:ascii="Calibri" w:hAnsi="Calibri" w:cs="Calibri"/>
              </w:rPr>
              <w:t>10</w:t>
            </w:r>
          </w:p>
        </w:tc>
        <w:tc>
          <w:tcPr>
            <w:tcW w:w="0" w:type="auto"/>
            <w:vAlign w:val="center"/>
          </w:tcPr>
          <w:p w14:paraId="27E5D887" w14:textId="77777777" w:rsidR="00CD55F1" w:rsidRDefault="00CD55F1" w:rsidP="00024DD9">
            <w:pPr>
              <w:jc w:val="center"/>
            </w:pPr>
            <w:r>
              <w:rPr>
                <w:rFonts w:ascii="Calibri" w:hAnsi="Calibri" w:cs="Calibri"/>
              </w:rPr>
              <w:t>0</w:t>
            </w:r>
          </w:p>
        </w:tc>
        <w:tc>
          <w:tcPr>
            <w:tcW w:w="0" w:type="auto"/>
            <w:vAlign w:val="center"/>
          </w:tcPr>
          <w:p w14:paraId="37B07B59" w14:textId="77777777" w:rsidR="00CD55F1" w:rsidRDefault="00CD55F1" w:rsidP="00024DD9">
            <w:pPr>
              <w:jc w:val="center"/>
            </w:pPr>
            <w:r>
              <w:rPr>
                <w:rFonts w:ascii="Calibri" w:hAnsi="Calibri" w:cs="Calibri"/>
              </w:rPr>
              <w:t>0</w:t>
            </w:r>
          </w:p>
        </w:tc>
        <w:tc>
          <w:tcPr>
            <w:tcW w:w="0" w:type="auto"/>
            <w:vAlign w:val="center"/>
          </w:tcPr>
          <w:p w14:paraId="0878EA0A" w14:textId="77777777" w:rsidR="00CD55F1" w:rsidRDefault="00CD55F1" w:rsidP="00024DD9">
            <w:pPr>
              <w:jc w:val="center"/>
            </w:pPr>
            <w:r w:rsidRPr="00F60A9B">
              <w:rPr>
                <w:rFonts w:ascii="Calibri" w:hAnsi="Calibri" w:cs="Calibri"/>
              </w:rPr>
              <w:t>1</w:t>
            </w:r>
          </w:p>
        </w:tc>
      </w:tr>
      <w:tr w:rsidR="00CD55F1" w:rsidRPr="00F60A9B" w14:paraId="6DC3EADD" w14:textId="77777777" w:rsidTr="00024DD9">
        <w:trPr>
          <w:jc w:val="center"/>
        </w:trPr>
        <w:tc>
          <w:tcPr>
            <w:tcW w:w="0" w:type="auto"/>
            <w:tcBorders>
              <w:right w:val="single" w:sz="12" w:space="0" w:color="auto"/>
            </w:tcBorders>
          </w:tcPr>
          <w:p w14:paraId="0D353C92"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vAlign w:val="center"/>
          </w:tcPr>
          <w:p w14:paraId="4E6164DC" w14:textId="77777777" w:rsidR="00CD55F1" w:rsidRPr="00F60A9B" w:rsidRDefault="00CD55F1" w:rsidP="00024DD9">
            <w:pPr>
              <w:jc w:val="center"/>
            </w:pPr>
            <w:r>
              <w:rPr>
                <w:rFonts w:ascii="Calibri" w:hAnsi="Calibri" w:cs="Calibri"/>
              </w:rPr>
              <w:t>3</w:t>
            </w:r>
          </w:p>
        </w:tc>
        <w:tc>
          <w:tcPr>
            <w:tcW w:w="0" w:type="auto"/>
            <w:vAlign w:val="center"/>
          </w:tcPr>
          <w:p w14:paraId="09673221" w14:textId="77777777" w:rsidR="00CD55F1" w:rsidRPr="00210DD1" w:rsidRDefault="00CD55F1" w:rsidP="00024DD9">
            <w:pPr>
              <w:jc w:val="center"/>
            </w:pPr>
            <w:r>
              <w:rPr>
                <w:rFonts w:ascii="Calibri" w:hAnsi="Calibri" w:cs="Calibri"/>
              </w:rPr>
              <w:t>0</w:t>
            </w:r>
          </w:p>
        </w:tc>
        <w:tc>
          <w:tcPr>
            <w:tcW w:w="0" w:type="auto"/>
            <w:vAlign w:val="center"/>
          </w:tcPr>
          <w:p w14:paraId="56FAC62C" w14:textId="77777777" w:rsidR="00CD55F1" w:rsidRPr="00210DD1" w:rsidRDefault="00CD55F1" w:rsidP="00024DD9">
            <w:pPr>
              <w:jc w:val="center"/>
            </w:pPr>
            <w:r>
              <w:rPr>
                <w:rFonts w:ascii="Calibri" w:hAnsi="Calibri" w:cs="Calibri"/>
              </w:rPr>
              <w:t>0</w:t>
            </w:r>
          </w:p>
        </w:tc>
        <w:tc>
          <w:tcPr>
            <w:tcW w:w="0" w:type="auto"/>
            <w:vAlign w:val="center"/>
          </w:tcPr>
          <w:p w14:paraId="6D9169F0" w14:textId="77777777" w:rsidR="00CD55F1" w:rsidRPr="00210DD1" w:rsidRDefault="00CD55F1" w:rsidP="00024DD9">
            <w:pPr>
              <w:jc w:val="center"/>
            </w:pPr>
            <w:r>
              <w:rPr>
                <w:rFonts w:ascii="Calibri" w:hAnsi="Calibri" w:cs="Calibri"/>
              </w:rPr>
              <w:t>3</w:t>
            </w:r>
          </w:p>
        </w:tc>
        <w:tc>
          <w:tcPr>
            <w:tcW w:w="0" w:type="auto"/>
            <w:vAlign w:val="center"/>
          </w:tcPr>
          <w:p w14:paraId="7E9A01DD" w14:textId="77777777" w:rsidR="00CD55F1" w:rsidRPr="00F60A9B" w:rsidRDefault="00CD55F1" w:rsidP="00024DD9">
            <w:pPr>
              <w:jc w:val="center"/>
            </w:pPr>
            <w:r>
              <w:rPr>
                <w:rFonts w:ascii="Calibri" w:hAnsi="Calibri" w:cs="Calibri"/>
              </w:rPr>
              <w:t>0</w:t>
            </w:r>
          </w:p>
        </w:tc>
        <w:tc>
          <w:tcPr>
            <w:tcW w:w="0" w:type="auto"/>
            <w:tcBorders>
              <w:top w:val="nil"/>
              <w:left w:val="nil"/>
              <w:bottom w:val="nil"/>
              <w:right w:val="nil"/>
            </w:tcBorders>
            <w:vAlign w:val="center"/>
          </w:tcPr>
          <w:p w14:paraId="754667DA" w14:textId="77777777" w:rsidR="00CD55F1" w:rsidRDefault="00CD55F1" w:rsidP="00024DD9">
            <w:pPr>
              <w:jc w:val="center"/>
            </w:pPr>
          </w:p>
        </w:tc>
        <w:tc>
          <w:tcPr>
            <w:tcW w:w="0" w:type="auto"/>
            <w:vAlign w:val="center"/>
          </w:tcPr>
          <w:p w14:paraId="290B1E0B" w14:textId="77777777" w:rsidR="00CD55F1" w:rsidRDefault="00CD55F1" w:rsidP="00024DD9">
            <w:pPr>
              <w:jc w:val="center"/>
            </w:pPr>
            <w:r w:rsidRPr="005B7BEE">
              <w:rPr>
                <w:sz w:val="14"/>
                <w:szCs w:val="14"/>
              </w:rPr>
              <w:t>Remote</w:t>
            </w:r>
          </w:p>
        </w:tc>
        <w:tc>
          <w:tcPr>
            <w:tcW w:w="0" w:type="auto"/>
            <w:vAlign w:val="center"/>
          </w:tcPr>
          <w:p w14:paraId="2A8C4B9D" w14:textId="77777777" w:rsidR="00CD55F1" w:rsidRDefault="00CD55F1" w:rsidP="00024DD9">
            <w:pPr>
              <w:jc w:val="center"/>
            </w:pPr>
            <w:r>
              <w:rPr>
                <w:rFonts w:ascii="Calibri" w:hAnsi="Calibri" w:cs="Calibri"/>
              </w:rPr>
              <w:t>0</w:t>
            </w:r>
          </w:p>
        </w:tc>
        <w:tc>
          <w:tcPr>
            <w:tcW w:w="0" w:type="auto"/>
            <w:vAlign w:val="center"/>
          </w:tcPr>
          <w:p w14:paraId="633D81AD" w14:textId="77777777" w:rsidR="00CD55F1" w:rsidRDefault="00CD55F1" w:rsidP="00024DD9">
            <w:pPr>
              <w:jc w:val="center"/>
            </w:pPr>
            <w:r>
              <w:rPr>
                <w:rFonts w:ascii="Calibri" w:hAnsi="Calibri" w:cs="Calibri"/>
              </w:rPr>
              <w:t>2</w:t>
            </w:r>
          </w:p>
        </w:tc>
        <w:tc>
          <w:tcPr>
            <w:tcW w:w="0" w:type="auto"/>
            <w:vAlign w:val="center"/>
          </w:tcPr>
          <w:p w14:paraId="49A4BA2A" w14:textId="77777777" w:rsidR="00CD55F1" w:rsidRDefault="00CD55F1" w:rsidP="00024DD9">
            <w:pPr>
              <w:jc w:val="center"/>
            </w:pPr>
            <w:r>
              <w:rPr>
                <w:rFonts w:ascii="Calibri" w:hAnsi="Calibri" w:cs="Calibri"/>
              </w:rPr>
              <w:t>0</w:t>
            </w:r>
          </w:p>
        </w:tc>
        <w:tc>
          <w:tcPr>
            <w:tcW w:w="0" w:type="auto"/>
            <w:vAlign w:val="center"/>
          </w:tcPr>
          <w:p w14:paraId="4F86C1D0" w14:textId="77777777" w:rsidR="00CD55F1" w:rsidRDefault="00CD55F1" w:rsidP="00024DD9">
            <w:pPr>
              <w:jc w:val="center"/>
            </w:pPr>
            <w:r>
              <w:rPr>
                <w:rFonts w:ascii="Calibri" w:hAnsi="Calibri" w:cs="Calibri"/>
              </w:rPr>
              <w:t>0</w:t>
            </w:r>
          </w:p>
        </w:tc>
        <w:tc>
          <w:tcPr>
            <w:tcW w:w="0" w:type="auto"/>
            <w:vAlign w:val="center"/>
          </w:tcPr>
          <w:p w14:paraId="7FC61942" w14:textId="77777777" w:rsidR="00CD55F1" w:rsidRDefault="00CD55F1" w:rsidP="00024DD9">
            <w:pPr>
              <w:jc w:val="center"/>
            </w:pPr>
            <w:r>
              <w:rPr>
                <w:rFonts w:ascii="Calibri" w:hAnsi="Calibri" w:cs="Calibri"/>
              </w:rPr>
              <w:t>0</w:t>
            </w:r>
          </w:p>
        </w:tc>
      </w:tr>
      <w:tr w:rsidR="00CD55F1" w:rsidRPr="00F60A9B" w14:paraId="3EA18230" w14:textId="77777777" w:rsidTr="00024DD9">
        <w:trPr>
          <w:jc w:val="center"/>
        </w:trPr>
        <w:tc>
          <w:tcPr>
            <w:tcW w:w="0" w:type="auto"/>
            <w:tcBorders>
              <w:right w:val="single" w:sz="12" w:space="0" w:color="auto"/>
            </w:tcBorders>
          </w:tcPr>
          <w:p w14:paraId="10162416"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vAlign w:val="center"/>
          </w:tcPr>
          <w:p w14:paraId="3C7326F3" w14:textId="77777777" w:rsidR="00CD55F1" w:rsidRPr="00F60A9B" w:rsidRDefault="00CD55F1" w:rsidP="00024DD9">
            <w:pPr>
              <w:jc w:val="center"/>
            </w:pPr>
            <w:r>
              <w:rPr>
                <w:rFonts w:ascii="Calibri" w:hAnsi="Calibri" w:cs="Calibri"/>
              </w:rPr>
              <w:t>0</w:t>
            </w:r>
          </w:p>
        </w:tc>
        <w:tc>
          <w:tcPr>
            <w:tcW w:w="0" w:type="auto"/>
            <w:vAlign w:val="center"/>
          </w:tcPr>
          <w:p w14:paraId="28AA12A5" w14:textId="77777777" w:rsidR="00CD55F1" w:rsidRPr="00210DD1" w:rsidRDefault="00CD55F1" w:rsidP="00024DD9">
            <w:pPr>
              <w:jc w:val="center"/>
            </w:pPr>
            <w:r>
              <w:rPr>
                <w:rFonts w:ascii="Calibri" w:hAnsi="Calibri" w:cs="Calibri"/>
              </w:rPr>
              <w:t>0</w:t>
            </w:r>
          </w:p>
        </w:tc>
        <w:tc>
          <w:tcPr>
            <w:tcW w:w="0" w:type="auto"/>
            <w:vAlign w:val="center"/>
          </w:tcPr>
          <w:p w14:paraId="1F99F9AB" w14:textId="77777777" w:rsidR="00CD55F1" w:rsidRPr="00210DD1" w:rsidRDefault="00CD55F1" w:rsidP="00024DD9">
            <w:pPr>
              <w:jc w:val="center"/>
            </w:pPr>
            <w:r>
              <w:rPr>
                <w:rFonts w:ascii="Calibri" w:hAnsi="Calibri" w:cs="Calibri"/>
              </w:rPr>
              <w:t>0</w:t>
            </w:r>
          </w:p>
        </w:tc>
        <w:tc>
          <w:tcPr>
            <w:tcW w:w="0" w:type="auto"/>
            <w:vAlign w:val="center"/>
          </w:tcPr>
          <w:p w14:paraId="710BD1A9" w14:textId="77777777" w:rsidR="00CD55F1" w:rsidRPr="00210DD1" w:rsidRDefault="00CD55F1" w:rsidP="00024DD9">
            <w:pPr>
              <w:jc w:val="center"/>
            </w:pPr>
            <w:r>
              <w:rPr>
                <w:rFonts w:ascii="Calibri" w:hAnsi="Calibri" w:cs="Calibri"/>
              </w:rPr>
              <w:t>0</w:t>
            </w:r>
          </w:p>
        </w:tc>
        <w:tc>
          <w:tcPr>
            <w:tcW w:w="0" w:type="auto"/>
            <w:vAlign w:val="center"/>
          </w:tcPr>
          <w:p w14:paraId="6D77379A"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119D0EDA" w14:textId="77777777" w:rsidR="00CD55F1" w:rsidRDefault="00CD55F1" w:rsidP="00024DD9">
            <w:pPr>
              <w:keepNext/>
              <w:jc w:val="center"/>
            </w:pPr>
          </w:p>
        </w:tc>
        <w:tc>
          <w:tcPr>
            <w:tcW w:w="0" w:type="auto"/>
            <w:vAlign w:val="center"/>
          </w:tcPr>
          <w:p w14:paraId="514F7711" w14:textId="77777777" w:rsidR="00CD55F1" w:rsidRDefault="00CD55F1" w:rsidP="00024DD9">
            <w:pPr>
              <w:keepNext/>
              <w:jc w:val="center"/>
            </w:pPr>
            <w:r w:rsidRPr="005B7BEE">
              <w:rPr>
                <w:sz w:val="14"/>
                <w:szCs w:val="14"/>
              </w:rPr>
              <w:t>Improbable</w:t>
            </w:r>
          </w:p>
        </w:tc>
        <w:tc>
          <w:tcPr>
            <w:tcW w:w="0" w:type="auto"/>
            <w:vAlign w:val="center"/>
          </w:tcPr>
          <w:p w14:paraId="7097B804" w14:textId="77777777" w:rsidR="00CD55F1" w:rsidRDefault="00CD55F1" w:rsidP="00024DD9">
            <w:pPr>
              <w:keepNext/>
              <w:jc w:val="center"/>
            </w:pPr>
            <w:r>
              <w:rPr>
                <w:rFonts w:ascii="Calibri" w:hAnsi="Calibri" w:cs="Calibri"/>
              </w:rPr>
              <w:t>0</w:t>
            </w:r>
          </w:p>
        </w:tc>
        <w:tc>
          <w:tcPr>
            <w:tcW w:w="0" w:type="auto"/>
            <w:vAlign w:val="center"/>
          </w:tcPr>
          <w:p w14:paraId="077B606D" w14:textId="77777777" w:rsidR="00CD55F1" w:rsidRDefault="00CD55F1" w:rsidP="00024DD9">
            <w:pPr>
              <w:keepNext/>
              <w:jc w:val="center"/>
            </w:pPr>
            <w:r>
              <w:rPr>
                <w:rFonts w:ascii="Calibri" w:hAnsi="Calibri" w:cs="Calibri"/>
              </w:rPr>
              <w:t>1</w:t>
            </w:r>
          </w:p>
        </w:tc>
        <w:tc>
          <w:tcPr>
            <w:tcW w:w="0" w:type="auto"/>
            <w:vAlign w:val="center"/>
          </w:tcPr>
          <w:p w14:paraId="232EE986" w14:textId="77777777" w:rsidR="00CD55F1" w:rsidRDefault="00CD55F1" w:rsidP="00024DD9">
            <w:pPr>
              <w:keepNext/>
              <w:jc w:val="center"/>
            </w:pPr>
            <w:r>
              <w:rPr>
                <w:rFonts w:ascii="Calibri" w:hAnsi="Calibri" w:cs="Calibri"/>
              </w:rPr>
              <w:t>0</w:t>
            </w:r>
          </w:p>
        </w:tc>
        <w:tc>
          <w:tcPr>
            <w:tcW w:w="0" w:type="auto"/>
            <w:vAlign w:val="center"/>
          </w:tcPr>
          <w:p w14:paraId="59C18ECC" w14:textId="77777777" w:rsidR="00CD55F1" w:rsidRDefault="00CD55F1" w:rsidP="00024DD9">
            <w:pPr>
              <w:keepNext/>
              <w:jc w:val="center"/>
            </w:pPr>
            <w:r>
              <w:rPr>
                <w:rFonts w:ascii="Calibri" w:hAnsi="Calibri" w:cs="Calibri"/>
              </w:rPr>
              <w:t>9</w:t>
            </w:r>
          </w:p>
        </w:tc>
        <w:tc>
          <w:tcPr>
            <w:tcW w:w="0" w:type="auto"/>
            <w:vAlign w:val="center"/>
          </w:tcPr>
          <w:p w14:paraId="71900F22" w14:textId="77777777" w:rsidR="00CD55F1" w:rsidRDefault="00CD55F1" w:rsidP="00024DD9">
            <w:pPr>
              <w:keepNext/>
              <w:jc w:val="center"/>
            </w:pPr>
            <w:r w:rsidRPr="00F60A9B">
              <w:rPr>
                <w:rFonts w:ascii="Calibri" w:hAnsi="Calibri" w:cs="Calibri"/>
              </w:rPr>
              <w:t>0</w:t>
            </w:r>
          </w:p>
        </w:tc>
      </w:tr>
    </w:tbl>
    <w:p w14:paraId="550C4893" w14:textId="77777777" w:rsidR="00CD55F1" w:rsidRPr="007C5574" w:rsidRDefault="00CD55F1" w:rsidP="00CD55F1">
      <w:pPr>
        <w:pStyle w:val="Caption"/>
        <w:keepNext/>
        <w:spacing w:before="120"/>
        <w:rPr>
          <w:i w:val="0"/>
          <w:iCs w:val="0"/>
        </w:rPr>
      </w:pPr>
      <w:r>
        <w:rPr>
          <w:i w:val="0"/>
          <w:iCs w:val="0"/>
        </w:rPr>
        <w:t>o</w:t>
      </w:r>
      <w:r w:rsidRPr="007C5574">
        <w:rPr>
          <w:i w:val="0"/>
          <w:iCs w:val="0"/>
        </w:rPr>
        <w:t>r</w:t>
      </w:r>
    </w:p>
    <w:tbl>
      <w:tblPr>
        <w:tblStyle w:val="TableGrid"/>
        <w:tblW w:w="9157" w:type="dxa"/>
        <w:jc w:val="center"/>
        <w:tblLook w:val="04A0" w:firstRow="1" w:lastRow="0" w:firstColumn="1" w:lastColumn="0" w:noHBand="0" w:noVBand="1"/>
      </w:tblPr>
      <w:tblGrid>
        <w:gridCol w:w="874"/>
        <w:gridCol w:w="780"/>
        <w:gridCol w:w="565"/>
        <w:gridCol w:w="634"/>
        <w:gridCol w:w="607"/>
        <w:gridCol w:w="928"/>
        <w:gridCol w:w="381"/>
        <w:gridCol w:w="874"/>
        <w:gridCol w:w="780"/>
        <w:gridCol w:w="565"/>
        <w:gridCol w:w="634"/>
        <w:gridCol w:w="607"/>
        <w:gridCol w:w="928"/>
      </w:tblGrid>
      <w:tr w:rsidR="00CD55F1" w:rsidRPr="00F60A9B" w14:paraId="305EABC6" w14:textId="77777777" w:rsidTr="00024DD9">
        <w:trPr>
          <w:tblHeader/>
          <w:jc w:val="center"/>
        </w:trPr>
        <w:tc>
          <w:tcPr>
            <w:tcW w:w="0" w:type="auto"/>
            <w:tcBorders>
              <w:top w:val="nil"/>
              <w:left w:val="nil"/>
              <w:bottom w:val="single" w:sz="4" w:space="0" w:color="auto"/>
            </w:tcBorders>
            <w:vAlign w:val="center"/>
          </w:tcPr>
          <w:p w14:paraId="534900C6"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2AF8FCF"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42CD6E9"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173D72E7"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2B6DBB9F"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2BC382FA" w14:textId="77777777" w:rsidR="00CD55F1" w:rsidRPr="005B7BEE" w:rsidRDefault="00CD55F1" w:rsidP="00024DD9">
            <w:pPr>
              <w:jc w:val="center"/>
              <w:rPr>
                <w:sz w:val="14"/>
                <w:szCs w:val="14"/>
              </w:rPr>
            </w:pPr>
            <w:r w:rsidRPr="005B7BEE">
              <w:rPr>
                <w:sz w:val="14"/>
                <w:szCs w:val="14"/>
              </w:rPr>
              <w:t xml:space="preserve">Catastrophic </w:t>
            </w:r>
          </w:p>
          <w:p w14:paraId="06847DDA" w14:textId="77777777" w:rsidR="00CD55F1" w:rsidRPr="005B7BEE" w:rsidRDefault="00CD55F1" w:rsidP="00024DD9">
            <w:pPr>
              <w:jc w:val="center"/>
              <w:rPr>
                <w:sz w:val="14"/>
                <w:szCs w:val="14"/>
              </w:rPr>
            </w:pPr>
            <w:r w:rsidRPr="005B7BEE">
              <w:rPr>
                <w:sz w:val="14"/>
                <w:szCs w:val="14"/>
              </w:rPr>
              <w:t>/ Fatal</w:t>
            </w:r>
          </w:p>
        </w:tc>
        <w:tc>
          <w:tcPr>
            <w:tcW w:w="0" w:type="auto"/>
            <w:tcBorders>
              <w:top w:val="nil"/>
              <w:left w:val="nil"/>
              <w:bottom w:val="nil"/>
              <w:right w:val="nil"/>
            </w:tcBorders>
          </w:tcPr>
          <w:p w14:paraId="23DCBD2F" w14:textId="77777777" w:rsidR="00CD55F1" w:rsidRPr="005B7BEE" w:rsidRDefault="00CD55F1" w:rsidP="00024DD9">
            <w:pPr>
              <w:jc w:val="center"/>
              <w:rPr>
                <w:sz w:val="14"/>
                <w:szCs w:val="14"/>
              </w:rPr>
            </w:pPr>
          </w:p>
        </w:tc>
        <w:tc>
          <w:tcPr>
            <w:tcW w:w="0" w:type="auto"/>
            <w:tcBorders>
              <w:top w:val="nil"/>
              <w:left w:val="nil"/>
              <w:bottom w:val="single" w:sz="12" w:space="0" w:color="auto"/>
            </w:tcBorders>
            <w:vAlign w:val="center"/>
          </w:tcPr>
          <w:p w14:paraId="66527543"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469663B" w14:textId="77777777" w:rsidR="00CD55F1" w:rsidRPr="005B7BEE" w:rsidRDefault="00CD55F1"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5A83A592" w14:textId="77777777" w:rsidR="00CD55F1" w:rsidRPr="005B7BEE" w:rsidRDefault="00CD55F1"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0773BE77" w14:textId="77777777" w:rsidR="00CD55F1" w:rsidRPr="005B7BEE" w:rsidRDefault="00CD55F1" w:rsidP="00024DD9">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E5E8855" w14:textId="77777777" w:rsidR="00CD55F1" w:rsidRPr="005B7BEE" w:rsidRDefault="00CD55F1"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BA1326C" w14:textId="77777777" w:rsidR="00CD55F1" w:rsidRPr="005B7BEE" w:rsidRDefault="00CD55F1" w:rsidP="00024DD9">
            <w:pPr>
              <w:jc w:val="center"/>
              <w:rPr>
                <w:sz w:val="14"/>
                <w:szCs w:val="14"/>
              </w:rPr>
            </w:pPr>
            <w:r w:rsidRPr="005B7BEE">
              <w:rPr>
                <w:sz w:val="14"/>
                <w:szCs w:val="14"/>
              </w:rPr>
              <w:t xml:space="preserve">Catastrophic </w:t>
            </w:r>
          </w:p>
          <w:p w14:paraId="4218115B"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5B4C5A27" w14:textId="77777777" w:rsidTr="00024DD9">
        <w:trPr>
          <w:jc w:val="center"/>
        </w:trPr>
        <w:tc>
          <w:tcPr>
            <w:tcW w:w="0" w:type="auto"/>
            <w:tcBorders>
              <w:top w:val="single" w:sz="4" w:space="0" w:color="auto"/>
              <w:right w:val="single" w:sz="12" w:space="0" w:color="auto"/>
            </w:tcBorders>
          </w:tcPr>
          <w:p w14:paraId="3AF08AFE" w14:textId="77777777" w:rsidR="00CD55F1" w:rsidRPr="005B7BEE" w:rsidRDefault="00CD55F1" w:rsidP="00024DD9">
            <w:pPr>
              <w:rPr>
                <w:sz w:val="14"/>
                <w:szCs w:val="14"/>
              </w:rPr>
            </w:pPr>
            <w:r>
              <w:rPr>
                <w:sz w:val="14"/>
                <w:szCs w:val="14"/>
              </w:rPr>
              <w:t>Expected</w:t>
            </w:r>
          </w:p>
        </w:tc>
        <w:tc>
          <w:tcPr>
            <w:tcW w:w="0" w:type="auto"/>
            <w:tcBorders>
              <w:top w:val="single" w:sz="12" w:space="0" w:color="auto"/>
              <w:left w:val="single" w:sz="12" w:space="0" w:color="auto"/>
            </w:tcBorders>
            <w:vAlign w:val="center"/>
          </w:tcPr>
          <w:p w14:paraId="391117BA" w14:textId="77777777" w:rsidR="00CD55F1" w:rsidRPr="00F60A9B" w:rsidRDefault="00CD55F1" w:rsidP="00024DD9">
            <w:pPr>
              <w:jc w:val="center"/>
            </w:pPr>
            <w:r>
              <w:t>0</w:t>
            </w:r>
          </w:p>
        </w:tc>
        <w:tc>
          <w:tcPr>
            <w:tcW w:w="0" w:type="auto"/>
            <w:tcBorders>
              <w:top w:val="single" w:sz="12" w:space="0" w:color="auto"/>
            </w:tcBorders>
            <w:vAlign w:val="center"/>
          </w:tcPr>
          <w:p w14:paraId="5FC81229" w14:textId="77777777" w:rsidR="00CD55F1" w:rsidRPr="00210DD1" w:rsidRDefault="00CD55F1" w:rsidP="00024DD9">
            <w:pPr>
              <w:jc w:val="center"/>
            </w:pPr>
            <w:r>
              <w:t>0</w:t>
            </w:r>
          </w:p>
        </w:tc>
        <w:tc>
          <w:tcPr>
            <w:tcW w:w="0" w:type="auto"/>
            <w:tcBorders>
              <w:top w:val="single" w:sz="12" w:space="0" w:color="auto"/>
            </w:tcBorders>
            <w:vAlign w:val="center"/>
          </w:tcPr>
          <w:p w14:paraId="196D95B3" w14:textId="77777777" w:rsidR="00CD55F1" w:rsidRPr="00210DD1" w:rsidRDefault="00CD55F1" w:rsidP="00024DD9">
            <w:pPr>
              <w:jc w:val="center"/>
            </w:pPr>
            <w:r>
              <w:t>0</w:t>
            </w:r>
          </w:p>
        </w:tc>
        <w:tc>
          <w:tcPr>
            <w:tcW w:w="0" w:type="auto"/>
            <w:tcBorders>
              <w:top w:val="single" w:sz="12" w:space="0" w:color="auto"/>
            </w:tcBorders>
            <w:vAlign w:val="center"/>
          </w:tcPr>
          <w:p w14:paraId="1C14AF99" w14:textId="77777777" w:rsidR="00CD55F1" w:rsidRPr="00210DD1" w:rsidRDefault="00CD55F1" w:rsidP="00024DD9">
            <w:pPr>
              <w:jc w:val="center"/>
            </w:pPr>
            <w:r>
              <w:t>0</w:t>
            </w:r>
          </w:p>
        </w:tc>
        <w:tc>
          <w:tcPr>
            <w:tcW w:w="0" w:type="auto"/>
            <w:tcBorders>
              <w:top w:val="single" w:sz="12" w:space="0" w:color="auto"/>
            </w:tcBorders>
            <w:vAlign w:val="center"/>
          </w:tcPr>
          <w:p w14:paraId="60A14391" w14:textId="77777777" w:rsidR="00CD55F1" w:rsidRPr="00F60A9B" w:rsidRDefault="00CD55F1" w:rsidP="00024DD9">
            <w:pPr>
              <w:jc w:val="center"/>
            </w:pPr>
            <w:r>
              <w:t>0</w:t>
            </w:r>
          </w:p>
        </w:tc>
        <w:tc>
          <w:tcPr>
            <w:tcW w:w="0" w:type="auto"/>
            <w:tcBorders>
              <w:top w:val="nil"/>
              <w:left w:val="nil"/>
              <w:bottom w:val="nil"/>
              <w:right w:val="nil"/>
            </w:tcBorders>
            <w:vAlign w:val="center"/>
          </w:tcPr>
          <w:p w14:paraId="25A9FA5A" w14:textId="77777777" w:rsidR="00CD55F1" w:rsidRDefault="00CD55F1" w:rsidP="00024DD9">
            <w:pPr>
              <w:jc w:val="center"/>
            </w:pPr>
          </w:p>
        </w:tc>
        <w:tc>
          <w:tcPr>
            <w:tcW w:w="0" w:type="auto"/>
            <w:tcBorders>
              <w:top w:val="single" w:sz="12" w:space="0" w:color="auto"/>
            </w:tcBorders>
            <w:vAlign w:val="center"/>
          </w:tcPr>
          <w:p w14:paraId="04F61F06" w14:textId="77777777" w:rsidR="00CD55F1" w:rsidRDefault="00CD55F1" w:rsidP="00024DD9">
            <w:pPr>
              <w:jc w:val="center"/>
            </w:pPr>
            <w:r>
              <w:rPr>
                <w:sz w:val="14"/>
                <w:szCs w:val="14"/>
              </w:rPr>
              <w:t>Expected</w:t>
            </w:r>
          </w:p>
        </w:tc>
        <w:tc>
          <w:tcPr>
            <w:tcW w:w="0" w:type="auto"/>
            <w:tcBorders>
              <w:top w:val="single" w:sz="12" w:space="0" w:color="auto"/>
            </w:tcBorders>
            <w:vAlign w:val="center"/>
          </w:tcPr>
          <w:p w14:paraId="7110D1DD" w14:textId="77777777" w:rsidR="00CD55F1" w:rsidRDefault="00CD55F1" w:rsidP="00024DD9">
            <w:pPr>
              <w:jc w:val="center"/>
            </w:pPr>
            <w:r>
              <w:t>0</w:t>
            </w:r>
          </w:p>
        </w:tc>
        <w:tc>
          <w:tcPr>
            <w:tcW w:w="0" w:type="auto"/>
            <w:tcBorders>
              <w:top w:val="single" w:sz="12" w:space="0" w:color="auto"/>
            </w:tcBorders>
            <w:vAlign w:val="center"/>
          </w:tcPr>
          <w:p w14:paraId="2D4FFD54" w14:textId="77777777" w:rsidR="00CD55F1" w:rsidRDefault="00CD55F1" w:rsidP="00024DD9">
            <w:pPr>
              <w:jc w:val="center"/>
            </w:pPr>
            <w:r>
              <w:t>0</w:t>
            </w:r>
          </w:p>
        </w:tc>
        <w:tc>
          <w:tcPr>
            <w:tcW w:w="0" w:type="auto"/>
            <w:tcBorders>
              <w:top w:val="single" w:sz="12" w:space="0" w:color="auto"/>
            </w:tcBorders>
            <w:vAlign w:val="center"/>
          </w:tcPr>
          <w:p w14:paraId="70B644AC" w14:textId="77777777" w:rsidR="00CD55F1" w:rsidRDefault="00CD55F1" w:rsidP="00024DD9">
            <w:pPr>
              <w:jc w:val="center"/>
            </w:pPr>
            <w:r>
              <w:t>0</w:t>
            </w:r>
          </w:p>
        </w:tc>
        <w:tc>
          <w:tcPr>
            <w:tcW w:w="0" w:type="auto"/>
            <w:tcBorders>
              <w:top w:val="single" w:sz="12" w:space="0" w:color="auto"/>
            </w:tcBorders>
            <w:vAlign w:val="center"/>
          </w:tcPr>
          <w:p w14:paraId="1B756D6D" w14:textId="77777777" w:rsidR="00CD55F1" w:rsidRDefault="00CD55F1" w:rsidP="00024DD9">
            <w:pPr>
              <w:jc w:val="center"/>
            </w:pPr>
            <w:r>
              <w:t>0</w:t>
            </w:r>
          </w:p>
        </w:tc>
        <w:tc>
          <w:tcPr>
            <w:tcW w:w="0" w:type="auto"/>
            <w:tcBorders>
              <w:top w:val="single" w:sz="12" w:space="0" w:color="auto"/>
            </w:tcBorders>
            <w:vAlign w:val="center"/>
          </w:tcPr>
          <w:p w14:paraId="02F3BAA7" w14:textId="77777777" w:rsidR="00CD55F1" w:rsidRDefault="00CD55F1" w:rsidP="00024DD9">
            <w:pPr>
              <w:jc w:val="center"/>
            </w:pPr>
            <w:r>
              <w:t>0</w:t>
            </w:r>
          </w:p>
        </w:tc>
      </w:tr>
      <w:tr w:rsidR="00CD55F1" w:rsidRPr="00F60A9B" w14:paraId="6EBB849A" w14:textId="77777777" w:rsidTr="00024DD9">
        <w:trPr>
          <w:jc w:val="center"/>
        </w:trPr>
        <w:tc>
          <w:tcPr>
            <w:tcW w:w="0" w:type="auto"/>
            <w:tcBorders>
              <w:right w:val="single" w:sz="12" w:space="0" w:color="auto"/>
            </w:tcBorders>
          </w:tcPr>
          <w:p w14:paraId="1B2B80EF" w14:textId="77777777" w:rsidR="00CD55F1" w:rsidRPr="005B7BEE" w:rsidRDefault="00CD55F1" w:rsidP="00024DD9">
            <w:pPr>
              <w:rPr>
                <w:sz w:val="14"/>
                <w:szCs w:val="14"/>
              </w:rPr>
            </w:pPr>
            <w:r>
              <w:rPr>
                <w:sz w:val="14"/>
                <w:szCs w:val="14"/>
              </w:rPr>
              <w:t>Often</w:t>
            </w:r>
          </w:p>
        </w:tc>
        <w:tc>
          <w:tcPr>
            <w:tcW w:w="0" w:type="auto"/>
            <w:tcBorders>
              <w:left w:val="single" w:sz="12" w:space="0" w:color="auto"/>
            </w:tcBorders>
            <w:vAlign w:val="center"/>
          </w:tcPr>
          <w:p w14:paraId="6EFE177B" w14:textId="77777777" w:rsidR="00CD55F1" w:rsidRDefault="00CD55F1" w:rsidP="00024DD9">
            <w:pPr>
              <w:jc w:val="center"/>
            </w:pPr>
            <w:r>
              <w:t>0</w:t>
            </w:r>
          </w:p>
        </w:tc>
        <w:tc>
          <w:tcPr>
            <w:tcW w:w="0" w:type="auto"/>
            <w:vAlign w:val="center"/>
          </w:tcPr>
          <w:p w14:paraId="24D7AE8A" w14:textId="77777777" w:rsidR="00CD55F1" w:rsidRPr="00210DD1" w:rsidRDefault="00CD55F1" w:rsidP="00024DD9">
            <w:pPr>
              <w:jc w:val="center"/>
            </w:pPr>
            <w:r>
              <w:t>0</w:t>
            </w:r>
          </w:p>
        </w:tc>
        <w:tc>
          <w:tcPr>
            <w:tcW w:w="0" w:type="auto"/>
            <w:vAlign w:val="center"/>
          </w:tcPr>
          <w:p w14:paraId="014FAA7F" w14:textId="77777777" w:rsidR="00CD55F1" w:rsidRPr="00210DD1" w:rsidRDefault="00CD55F1" w:rsidP="00024DD9">
            <w:pPr>
              <w:jc w:val="center"/>
            </w:pPr>
            <w:r>
              <w:t>0</w:t>
            </w:r>
          </w:p>
        </w:tc>
        <w:tc>
          <w:tcPr>
            <w:tcW w:w="0" w:type="auto"/>
            <w:vAlign w:val="center"/>
          </w:tcPr>
          <w:p w14:paraId="684C6CC0" w14:textId="77777777" w:rsidR="00CD55F1" w:rsidRPr="00210DD1" w:rsidRDefault="00CD55F1" w:rsidP="00024DD9">
            <w:pPr>
              <w:jc w:val="center"/>
            </w:pPr>
            <w:r>
              <w:t>0</w:t>
            </w:r>
          </w:p>
        </w:tc>
        <w:tc>
          <w:tcPr>
            <w:tcW w:w="0" w:type="auto"/>
            <w:vAlign w:val="center"/>
          </w:tcPr>
          <w:p w14:paraId="56F4FECE" w14:textId="77777777" w:rsidR="00CD55F1" w:rsidRDefault="00CD55F1" w:rsidP="00024DD9">
            <w:pPr>
              <w:jc w:val="center"/>
            </w:pPr>
            <w:r>
              <w:t>0</w:t>
            </w:r>
          </w:p>
        </w:tc>
        <w:tc>
          <w:tcPr>
            <w:tcW w:w="0" w:type="auto"/>
            <w:tcBorders>
              <w:top w:val="nil"/>
              <w:left w:val="nil"/>
              <w:bottom w:val="nil"/>
              <w:right w:val="nil"/>
            </w:tcBorders>
            <w:vAlign w:val="center"/>
          </w:tcPr>
          <w:p w14:paraId="0FE01036" w14:textId="77777777" w:rsidR="00CD55F1" w:rsidRDefault="00CD55F1" w:rsidP="00024DD9">
            <w:pPr>
              <w:jc w:val="center"/>
            </w:pPr>
          </w:p>
        </w:tc>
        <w:tc>
          <w:tcPr>
            <w:tcW w:w="0" w:type="auto"/>
            <w:vAlign w:val="center"/>
          </w:tcPr>
          <w:p w14:paraId="21DAA642" w14:textId="77777777" w:rsidR="00CD55F1" w:rsidRPr="005B7BEE" w:rsidRDefault="00CD55F1" w:rsidP="00024DD9">
            <w:pPr>
              <w:jc w:val="center"/>
              <w:rPr>
                <w:sz w:val="14"/>
                <w:szCs w:val="14"/>
              </w:rPr>
            </w:pPr>
            <w:r>
              <w:rPr>
                <w:sz w:val="14"/>
                <w:szCs w:val="14"/>
              </w:rPr>
              <w:t>Often</w:t>
            </w:r>
          </w:p>
        </w:tc>
        <w:tc>
          <w:tcPr>
            <w:tcW w:w="0" w:type="auto"/>
            <w:vAlign w:val="center"/>
          </w:tcPr>
          <w:p w14:paraId="5C29061F" w14:textId="77777777" w:rsidR="00CD55F1" w:rsidRDefault="00CD55F1" w:rsidP="00024DD9">
            <w:pPr>
              <w:jc w:val="center"/>
            </w:pPr>
            <w:r>
              <w:t>0</w:t>
            </w:r>
          </w:p>
        </w:tc>
        <w:tc>
          <w:tcPr>
            <w:tcW w:w="0" w:type="auto"/>
            <w:vAlign w:val="center"/>
          </w:tcPr>
          <w:p w14:paraId="2CDCAC6E" w14:textId="77777777" w:rsidR="00CD55F1" w:rsidRPr="00210DD1" w:rsidRDefault="00CD55F1" w:rsidP="00024DD9">
            <w:pPr>
              <w:jc w:val="center"/>
            </w:pPr>
            <w:r>
              <w:t>0</w:t>
            </w:r>
          </w:p>
        </w:tc>
        <w:tc>
          <w:tcPr>
            <w:tcW w:w="0" w:type="auto"/>
            <w:vAlign w:val="center"/>
          </w:tcPr>
          <w:p w14:paraId="28CFB148" w14:textId="77777777" w:rsidR="00CD55F1" w:rsidRPr="00210DD1" w:rsidRDefault="00CD55F1" w:rsidP="00024DD9">
            <w:pPr>
              <w:jc w:val="center"/>
            </w:pPr>
            <w:r>
              <w:t>0</w:t>
            </w:r>
          </w:p>
        </w:tc>
        <w:tc>
          <w:tcPr>
            <w:tcW w:w="0" w:type="auto"/>
            <w:vAlign w:val="center"/>
          </w:tcPr>
          <w:p w14:paraId="42D0EF46" w14:textId="77777777" w:rsidR="00CD55F1" w:rsidRPr="00210DD1" w:rsidRDefault="00CD55F1" w:rsidP="00024DD9">
            <w:pPr>
              <w:jc w:val="center"/>
            </w:pPr>
            <w:r>
              <w:t>0</w:t>
            </w:r>
          </w:p>
        </w:tc>
        <w:tc>
          <w:tcPr>
            <w:tcW w:w="0" w:type="auto"/>
            <w:vAlign w:val="center"/>
          </w:tcPr>
          <w:p w14:paraId="64781B48" w14:textId="77777777" w:rsidR="00CD55F1" w:rsidRDefault="00CD55F1" w:rsidP="00024DD9">
            <w:pPr>
              <w:jc w:val="center"/>
            </w:pPr>
            <w:r>
              <w:t>0</w:t>
            </w:r>
          </w:p>
        </w:tc>
      </w:tr>
      <w:tr w:rsidR="00CD55F1" w:rsidRPr="00F60A9B" w14:paraId="6EE070EC" w14:textId="77777777" w:rsidTr="00024DD9">
        <w:trPr>
          <w:jc w:val="center"/>
        </w:trPr>
        <w:tc>
          <w:tcPr>
            <w:tcW w:w="0" w:type="auto"/>
            <w:tcBorders>
              <w:right w:val="single" w:sz="12" w:space="0" w:color="auto"/>
            </w:tcBorders>
          </w:tcPr>
          <w:p w14:paraId="2ADAF3EB" w14:textId="77777777" w:rsidR="00CD55F1" w:rsidRPr="005B7BEE" w:rsidRDefault="00CD55F1" w:rsidP="00024DD9">
            <w:pPr>
              <w:rPr>
                <w:sz w:val="14"/>
                <w:szCs w:val="14"/>
              </w:rPr>
            </w:pPr>
            <w:r w:rsidRPr="005B7BEE">
              <w:rPr>
                <w:sz w:val="14"/>
                <w:szCs w:val="14"/>
              </w:rPr>
              <w:t>Frequent</w:t>
            </w:r>
          </w:p>
        </w:tc>
        <w:tc>
          <w:tcPr>
            <w:tcW w:w="0" w:type="auto"/>
            <w:tcBorders>
              <w:left w:val="single" w:sz="12" w:space="0" w:color="auto"/>
            </w:tcBorders>
            <w:vAlign w:val="center"/>
          </w:tcPr>
          <w:p w14:paraId="2CCC4E79" w14:textId="77777777" w:rsidR="00CD55F1" w:rsidRDefault="00CD55F1" w:rsidP="00024DD9">
            <w:pPr>
              <w:jc w:val="center"/>
            </w:pPr>
            <w:r>
              <w:t>1</w:t>
            </w:r>
          </w:p>
        </w:tc>
        <w:tc>
          <w:tcPr>
            <w:tcW w:w="0" w:type="auto"/>
            <w:vAlign w:val="center"/>
          </w:tcPr>
          <w:p w14:paraId="34EB321A" w14:textId="77777777" w:rsidR="00CD55F1" w:rsidRPr="00210DD1" w:rsidRDefault="00CD55F1" w:rsidP="00024DD9">
            <w:pPr>
              <w:jc w:val="center"/>
            </w:pPr>
            <w:r>
              <w:rPr>
                <w:rFonts w:ascii="Calibri" w:hAnsi="Calibri" w:cs="Calibri"/>
              </w:rPr>
              <w:t>0</w:t>
            </w:r>
          </w:p>
        </w:tc>
        <w:tc>
          <w:tcPr>
            <w:tcW w:w="0" w:type="auto"/>
            <w:vAlign w:val="center"/>
          </w:tcPr>
          <w:p w14:paraId="3DEDE77D" w14:textId="77777777" w:rsidR="00CD55F1" w:rsidRPr="00210DD1" w:rsidRDefault="00CD55F1" w:rsidP="00024DD9">
            <w:pPr>
              <w:jc w:val="center"/>
            </w:pPr>
            <w:r w:rsidRPr="00F60A9B">
              <w:rPr>
                <w:rFonts w:ascii="Calibri" w:hAnsi="Calibri" w:cs="Calibri"/>
              </w:rPr>
              <w:t>3</w:t>
            </w:r>
          </w:p>
        </w:tc>
        <w:tc>
          <w:tcPr>
            <w:tcW w:w="0" w:type="auto"/>
            <w:vAlign w:val="center"/>
          </w:tcPr>
          <w:p w14:paraId="6AD66A4B" w14:textId="77777777" w:rsidR="00CD55F1" w:rsidRPr="00210DD1" w:rsidRDefault="00CD55F1" w:rsidP="00024DD9">
            <w:pPr>
              <w:jc w:val="center"/>
            </w:pPr>
            <w:r w:rsidRPr="00F60A9B">
              <w:rPr>
                <w:rFonts w:ascii="Calibri" w:hAnsi="Calibri" w:cs="Calibri"/>
              </w:rPr>
              <w:t>0</w:t>
            </w:r>
          </w:p>
        </w:tc>
        <w:tc>
          <w:tcPr>
            <w:tcW w:w="0" w:type="auto"/>
            <w:vAlign w:val="center"/>
          </w:tcPr>
          <w:p w14:paraId="3EB8AED1" w14:textId="77777777" w:rsidR="00CD55F1"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4E174D3C" w14:textId="77777777" w:rsidR="00CD55F1" w:rsidRDefault="00CD55F1" w:rsidP="00024DD9">
            <w:pPr>
              <w:jc w:val="center"/>
            </w:pPr>
          </w:p>
        </w:tc>
        <w:tc>
          <w:tcPr>
            <w:tcW w:w="0" w:type="auto"/>
            <w:vAlign w:val="center"/>
          </w:tcPr>
          <w:p w14:paraId="6EFAD14F" w14:textId="77777777" w:rsidR="00CD55F1" w:rsidRPr="005B7BEE" w:rsidRDefault="00CD55F1" w:rsidP="00024DD9">
            <w:pPr>
              <w:jc w:val="center"/>
              <w:rPr>
                <w:sz w:val="14"/>
                <w:szCs w:val="14"/>
              </w:rPr>
            </w:pPr>
            <w:r w:rsidRPr="005B7BEE">
              <w:rPr>
                <w:sz w:val="14"/>
                <w:szCs w:val="14"/>
              </w:rPr>
              <w:t>Frequent</w:t>
            </w:r>
          </w:p>
        </w:tc>
        <w:tc>
          <w:tcPr>
            <w:tcW w:w="0" w:type="auto"/>
            <w:vAlign w:val="center"/>
          </w:tcPr>
          <w:p w14:paraId="273CADB9" w14:textId="77777777" w:rsidR="00CD55F1" w:rsidRDefault="00CD55F1" w:rsidP="00024DD9">
            <w:pPr>
              <w:jc w:val="center"/>
            </w:pPr>
            <w:r>
              <w:rPr>
                <w:rFonts w:ascii="Calibri" w:hAnsi="Calibri" w:cs="Calibri"/>
              </w:rPr>
              <w:t>0</w:t>
            </w:r>
          </w:p>
        </w:tc>
        <w:tc>
          <w:tcPr>
            <w:tcW w:w="0" w:type="auto"/>
            <w:vAlign w:val="center"/>
          </w:tcPr>
          <w:p w14:paraId="5DE16CF2" w14:textId="77777777" w:rsidR="00CD55F1" w:rsidRPr="00210DD1" w:rsidRDefault="00CD55F1" w:rsidP="00024DD9">
            <w:pPr>
              <w:jc w:val="center"/>
            </w:pPr>
            <w:r>
              <w:rPr>
                <w:rFonts w:ascii="Calibri" w:hAnsi="Calibri" w:cs="Calibri"/>
              </w:rPr>
              <w:t>3</w:t>
            </w:r>
          </w:p>
        </w:tc>
        <w:tc>
          <w:tcPr>
            <w:tcW w:w="0" w:type="auto"/>
            <w:vAlign w:val="center"/>
          </w:tcPr>
          <w:p w14:paraId="2C1D587B" w14:textId="77777777" w:rsidR="00CD55F1" w:rsidRPr="00210DD1" w:rsidRDefault="00CD55F1" w:rsidP="00024DD9">
            <w:pPr>
              <w:jc w:val="center"/>
            </w:pPr>
            <w:r w:rsidRPr="00F60A9B">
              <w:rPr>
                <w:rFonts w:ascii="Calibri" w:hAnsi="Calibri" w:cs="Calibri"/>
              </w:rPr>
              <w:t>0</w:t>
            </w:r>
          </w:p>
        </w:tc>
        <w:tc>
          <w:tcPr>
            <w:tcW w:w="0" w:type="auto"/>
            <w:vAlign w:val="center"/>
          </w:tcPr>
          <w:p w14:paraId="7CD834FB" w14:textId="77777777" w:rsidR="00CD55F1" w:rsidRPr="00210DD1" w:rsidRDefault="00CD55F1" w:rsidP="00024DD9">
            <w:pPr>
              <w:jc w:val="center"/>
            </w:pPr>
            <w:r w:rsidRPr="00F60A9B">
              <w:rPr>
                <w:rFonts w:ascii="Calibri" w:hAnsi="Calibri" w:cs="Calibri"/>
              </w:rPr>
              <w:t>0</w:t>
            </w:r>
          </w:p>
        </w:tc>
        <w:tc>
          <w:tcPr>
            <w:tcW w:w="0" w:type="auto"/>
            <w:vAlign w:val="center"/>
          </w:tcPr>
          <w:p w14:paraId="0D757A45" w14:textId="77777777" w:rsidR="00CD55F1" w:rsidRDefault="00CD55F1" w:rsidP="00024DD9">
            <w:pPr>
              <w:jc w:val="center"/>
            </w:pPr>
            <w:r w:rsidRPr="00F60A9B">
              <w:rPr>
                <w:rFonts w:ascii="Calibri" w:hAnsi="Calibri" w:cs="Calibri"/>
              </w:rPr>
              <w:t>0</w:t>
            </w:r>
          </w:p>
        </w:tc>
      </w:tr>
      <w:tr w:rsidR="00CD55F1" w:rsidRPr="00F60A9B" w14:paraId="23781CCB" w14:textId="77777777" w:rsidTr="00024DD9">
        <w:trPr>
          <w:jc w:val="center"/>
        </w:trPr>
        <w:tc>
          <w:tcPr>
            <w:tcW w:w="0" w:type="auto"/>
            <w:tcBorders>
              <w:right w:val="single" w:sz="12" w:space="0" w:color="auto"/>
            </w:tcBorders>
          </w:tcPr>
          <w:p w14:paraId="3358EEFE" w14:textId="77777777" w:rsidR="00CD55F1" w:rsidRPr="005B7BEE" w:rsidRDefault="00CD55F1" w:rsidP="00024DD9">
            <w:pPr>
              <w:rPr>
                <w:sz w:val="14"/>
                <w:szCs w:val="14"/>
              </w:rPr>
            </w:pPr>
            <w:r w:rsidRPr="005B7BEE">
              <w:rPr>
                <w:sz w:val="14"/>
                <w:szCs w:val="14"/>
              </w:rPr>
              <w:t>Probable</w:t>
            </w:r>
          </w:p>
        </w:tc>
        <w:tc>
          <w:tcPr>
            <w:tcW w:w="0" w:type="auto"/>
            <w:tcBorders>
              <w:left w:val="single" w:sz="12" w:space="0" w:color="auto"/>
            </w:tcBorders>
            <w:shd w:val="clear" w:color="auto" w:fill="D9E2F3" w:themeFill="accent1" w:themeFillTint="33"/>
            <w:vAlign w:val="center"/>
          </w:tcPr>
          <w:p w14:paraId="75D5576B" w14:textId="77777777" w:rsidR="00CD55F1" w:rsidRPr="00F60A9B" w:rsidRDefault="00CD55F1" w:rsidP="00024DD9">
            <w:pPr>
              <w:jc w:val="center"/>
            </w:pPr>
            <w:r>
              <w:t>0</w:t>
            </w:r>
          </w:p>
        </w:tc>
        <w:tc>
          <w:tcPr>
            <w:tcW w:w="0" w:type="auto"/>
            <w:vAlign w:val="center"/>
          </w:tcPr>
          <w:p w14:paraId="14879936" w14:textId="77777777" w:rsidR="00CD55F1" w:rsidRPr="00210DD1" w:rsidRDefault="00CD55F1" w:rsidP="00024DD9">
            <w:pPr>
              <w:jc w:val="center"/>
            </w:pPr>
            <w:r>
              <w:rPr>
                <w:rFonts w:ascii="Calibri" w:hAnsi="Calibri" w:cs="Calibri"/>
              </w:rPr>
              <w:t>0</w:t>
            </w:r>
          </w:p>
        </w:tc>
        <w:tc>
          <w:tcPr>
            <w:tcW w:w="0" w:type="auto"/>
            <w:vAlign w:val="center"/>
          </w:tcPr>
          <w:p w14:paraId="310D717A" w14:textId="77777777" w:rsidR="00CD55F1" w:rsidRPr="00210DD1" w:rsidRDefault="00CD55F1" w:rsidP="00024DD9">
            <w:pPr>
              <w:jc w:val="center"/>
            </w:pPr>
            <w:r>
              <w:rPr>
                <w:rFonts w:ascii="Calibri" w:hAnsi="Calibri" w:cs="Calibri"/>
              </w:rPr>
              <w:t>2</w:t>
            </w:r>
          </w:p>
        </w:tc>
        <w:tc>
          <w:tcPr>
            <w:tcW w:w="0" w:type="auto"/>
            <w:vAlign w:val="center"/>
          </w:tcPr>
          <w:p w14:paraId="6BC72C62" w14:textId="77777777" w:rsidR="00CD55F1" w:rsidRPr="00210DD1" w:rsidRDefault="00CD55F1" w:rsidP="00024DD9">
            <w:pPr>
              <w:jc w:val="center"/>
            </w:pPr>
            <w:r w:rsidRPr="00F60A9B">
              <w:rPr>
                <w:rFonts w:ascii="Calibri" w:hAnsi="Calibri" w:cs="Calibri"/>
              </w:rPr>
              <w:t>0</w:t>
            </w:r>
          </w:p>
        </w:tc>
        <w:tc>
          <w:tcPr>
            <w:tcW w:w="0" w:type="auto"/>
            <w:vAlign w:val="center"/>
          </w:tcPr>
          <w:p w14:paraId="52FEAE5A" w14:textId="77777777" w:rsidR="00CD55F1" w:rsidRPr="00F60A9B" w:rsidRDefault="00CD55F1" w:rsidP="00024DD9">
            <w:pPr>
              <w:jc w:val="center"/>
            </w:pPr>
            <w:r w:rsidRPr="00F60A9B">
              <w:rPr>
                <w:rFonts w:ascii="Calibri" w:hAnsi="Calibri" w:cs="Calibri"/>
              </w:rPr>
              <w:t>1</w:t>
            </w:r>
          </w:p>
        </w:tc>
        <w:tc>
          <w:tcPr>
            <w:tcW w:w="0" w:type="auto"/>
            <w:tcBorders>
              <w:top w:val="nil"/>
              <w:left w:val="nil"/>
              <w:bottom w:val="nil"/>
              <w:right w:val="nil"/>
            </w:tcBorders>
            <w:vAlign w:val="center"/>
          </w:tcPr>
          <w:p w14:paraId="0F738B30"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5EAF77C5" w14:textId="77777777" w:rsidR="00CD55F1" w:rsidRDefault="00CD55F1" w:rsidP="00024DD9">
            <w:pPr>
              <w:jc w:val="center"/>
            </w:pPr>
            <w:r w:rsidRPr="005B7BEE">
              <w:rPr>
                <w:sz w:val="14"/>
                <w:szCs w:val="14"/>
              </w:rPr>
              <w:t>Probable</w:t>
            </w:r>
          </w:p>
        </w:tc>
        <w:tc>
          <w:tcPr>
            <w:tcW w:w="0" w:type="auto"/>
            <w:shd w:val="clear" w:color="auto" w:fill="D9E2F3" w:themeFill="accent1" w:themeFillTint="33"/>
            <w:vAlign w:val="center"/>
          </w:tcPr>
          <w:p w14:paraId="0C929769" w14:textId="77777777" w:rsidR="00CD55F1" w:rsidRDefault="00CD55F1" w:rsidP="00024DD9">
            <w:pPr>
              <w:jc w:val="center"/>
            </w:pPr>
            <w:r>
              <w:rPr>
                <w:rFonts w:ascii="Calibri" w:hAnsi="Calibri" w:cs="Calibri"/>
              </w:rPr>
              <w:t>1</w:t>
            </w:r>
          </w:p>
        </w:tc>
        <w:tc>
          <w:tcPr>
            <w:tcW w:w="0" w:type="auto"/>
            <w:vAlign w:val="center"/>
          </w:tcPr>
          <w:p w14:paraId="6EC75EA0" w14:textId="77777777" w:rsidR="00CD55F1" w:rsidRDefault="00CD55F1" w:rsidP="00024DD9">
            <w:pPr>
              <w:jc w:val="center"/>
            </w:pPr>
            <w:r>
              <w:rPr>
                <w:rFonts w:ascii="Calibri" w:hAnsi="Calibri" w:cs="Calibri"/>
              </w:rPr>
              <w:t>1</w:t>
            </w:r>
          </w:p>
        </w:tc>
        <w:tc>
          <w:tcPr>
            <w:tcW w:w="0" w:type="auto"/>
            <w:vAlign w:val="center"/>
          </w:tcPr>
          <w:p w14:paraId="718604E7" w14:textId="77777777" w:rsidR="00CD55F1" w:rsidRDefault="00CD55F1" w:rsidP="00024DD9">
            <w:pPr>
              <w:jc w:val="center"/>
            </w:pPr>
            <w:r>
              <w:rPr>
                <w:rFonts w:ascii="Calibri" w:hAnsi="Calibri" w:cs="Calibri"/>
              </w:rPr>
              <w:t>0</w:t>
            </w:r>
          </w:p>
        </w:tc>
        <w:tc>
          <w:tcPr>
            <w:tcW w:w="0" w:type="auto"/>
            <w:vAlign w:val="center"/>
          </w:tcPr>
          <w:p w14:paraId="3D76F799" w14:textId="77777777" w:rsidR="00CD55F1" w:rsidRDefault="00CD55F1" w:rsidP="00024DD9">
            <w:pPr>
              <w:jc w:val="center"/>
            </w:pPr>
            <w:r w:rsidRPr="00F60A9B">
              <w:rPr>
                <w:rFonts w:ascii="Calibri" w:hAnsi="Calibri" w:cs="Calibri"/>
              </w:rPr>
              <w:t>1</w:t>
            </w:r>
          </w:p>
        </w:tc>
        <w:tc>
          <w:tcPr>
            <w:tcW w:w="0" w:type="auto"/>
            <w:vAlign w:val="center"/>
          </w:tcPr>
          <w:p w14:paraId="18056ECB" w14:textId="77777777" w:rsidR="00CD55F1" w:rsidRDefault="00CD55F1" w:rsidP="00024DD9">
            <w:pPr>
              <w:jc w:val="center"/>
            </w:pPr>
            <w:r w:rsidRPr="00F60A9B">
              <w:rPr>
                <w:rFonts w:ascii="Calibri" w:hAnsi="Calibri" w:cs="Calibri"/>
              </w:rPr>
              <w:t>0</w:t>
            </w:r>
          </w:p>
        </w:tc>
      </w:tr>
      <w:tr w:rsidR="00CD55F1" w:rsidRPr="00F60A9B" w14:paraId="3EF726CF" w14:textId="77777777" w:rsidTr="00024DD9">
        <w:trPr>
          <w:jc w:val="center"/>
        </w:trPr>
        <w:tc>
          <w:tcPr>
            <w:tcW w:w="0" w:type="auto"/>
            <w:tcBorders>
              <w:right w:val="single" w:sz="12" w:space="0" w:color="auto"/>
            </w:tcBorders>
          </w:tcPr>
          <w:p w14:paraId="51F55051" w14:textId="77777777" w:rsidR="00CD55F1" w:rsidRPr="005B7BEE" w:rsidRDefault="00CD55F1" w:rsidP="00024DD9">
            <w:pPr>
              <w:rPr>
                <w:sz w:val="14"/>
                <w:szCs w:val="14"/>
              </w:rPr>
            </w:pPr>
            <w:r w:rsidRPr="005B7BEE">
              <w:rPr>
                <w:sz w:val="14"/>
                <w:szCs w:val="14"/>
              </w:rPr>
              <w:t>Occasional</w:t>
            </w:r>
          </w:p>
        </w:tc>
        <w:tc>
          <w:tcPr>
            <w:tcW w:w="0" w:type="auto"/>
            <w:tcBorders>
              <w:left w:val="single" w:sz="12" w:space="0" w:color="auto"/>
            </w:tcBorders>
            <w:vAlign w:val="center"/>
          </w:tcPr>
          <w:p w14:paraId="4B171296" w14:textId="77777777" w:rsidR="00CD55F1" w:rsidRPr="00F60A9B" w:rsidRDefault="00CD55F1" w:rsidP="00024DD9">
            <w:pPr>
              <w:jc w:val="center"/>
            </w:pPr>
            <w:r>
              <w:rPr>
                <w:rFonts w:ascii="Calibri" w:hAnsi="Calibri" w:cs="Calibri"/>
              </w:rPr>
              <w:t>0</w:t>
            </w:r>
          </w:p>
        </w:tc>
        <w:tc>
          <w:tcPr>
            <w:tcW w:w="0" w:type="auto"/>
            <w:vAlign w:val="center"/>
          </w:tcPr>
          <w:p w14:paraId="4F30D231" w14:textId="77777777" w:rsidR="00CD55F1" w:rsidRPr="00210DD1" w:rsidRDefault="00CD55F1" w:rsidP="00024DD9">
            <w:pPr>
              <w:jc w:val="center"/>
            </w:pPr>
            <w:r w:rsidRPr="00F60A9B">
              <w:rPr>
                <w:rFonts w:ascii="Calibri" w:hAnsi="Calibri" w:cs="Calibri"/>
              </w:rPr>
              <w:t>0</w:t>
            </w:r>
          </w:p>
        </w:tc>
        <w:tc>
          <w:tcPr>
            <w:tcW w:w="0" w:type="auto"/>
            <w:vAlign w:val="center"/>
          </w:tcPr>
          <w:p w14:paraId="1EFC8981" w14:textId="77777777" w:rsidR="00CD55F1" w:rsidRPr="00210DD1" w:rsidRDefault="00CD55F1" w:rsidP="00024DD9">
            <w:pPr>
              <w:jc w:val="center"/>
            </w:pPr>
            <w:r>
              <w:rPr>
                <w:rFonts w:ascii="Calibri" w:hAnsi="Calibri" w:cs="Calibri"/>
              </w:rPr>
              <w:t>0</w:t>
            </w:r>
          </w:p>
        </w:tc>
        <w:tc>
          <w:tcPr>
            <w:tcW w:w="0" w:type="auto"/>
            <w:vAlign w:val="center"/>
          </w:tcPr>
          <w:p w14:paraId="5933DC53" w14:textId="77777777" w:rsidR="00CD55F1" w:rsidRPr="00210DD1" w:rsidRDefault="00CD55F1" w:rsidP="00024DD9">
            <w:pPr>
              <w:jc w:val="center"/>
            </w:pPr>
            <w:r>
              <w:t>2</w:t>
            </w:r>
          </w:p>
        </w:tc>
        <w:tc>
          <w:tcPr>
            <w:tcW w:w="0" w:type="auto"/>
            <w:vAlign w:val="center"/>
          </w:tcPr>
          <w:p w14:paraId="35983A6A" w14:textId="77777777" w:rsidR="00CD55F1" w:rsidRPr="00F60A9B" w:rsidRDefault="00CD55F1" w:rsidP="00024DD9">
            <w:pPr>
              <w:jc w:val="center"/>
            </w:pPr>
            <w:r w:rsidRPr="00F60A9B">
              <w:rPr>
                <w:rFonts w:ascii="Calibri" w:hAnsi="Calibri" w:cs="Calibri"/>
              </w:rPr>
              <w:t>0</w:t>
            </w:r>
          </w:p>
        </w:tc>
        <w:tc>
          <w:tcPr>
            <w:tcW w:w="0" w:type="auto"/>
            <w:tcBorders>
              <w:top w:val="nil"/>
              <w:left w:val="nil"/>
              <w:bottom w:val="nil"/>
              <w:right w:val="nil"/>
            </w:tcBorders>
            <w:vAlign w:val="center"/>
          </w:tcPr>
          <w:p w14:paraId="2C05BB51" w14:textId="77777777" w:rsidR="00CD55F1" w:rsidRDefault="00CD55F1" w:rsidP="00024DD9">
            <w:pPr>
              <w:jc w:val="center"/>
            </w:pPr>
          </w:p>
        </w:tc>
        <w:tc>
          <w:tcPr>
            <w:tcW w:w="0" w:type="auto"/>
            <w:vAlign w:val="center"/>
          </w:tcPr>
          <w:p w14:paraId="72EFDEDA" w14:textId="77777777" w:rsidR="00CD55F1" w:rsidRDefault="00CD55F1" w:rsidP="00024DD9">
            <w:pPr>
              <w:jc w:val="center"/>
            </w:pPr>
            <w:r w:rsidRPr="005B7BEE">
              <w:rPr>
                <w:sz w:val="14"/>
                <w:szCs w:val="14"/>
              </w:rPr>
              <w:t>Occasional</w:t>
            </w:r>
          </w:p>
        </w:tc>
        <w:tc>
          <w:tcPr>
            <w:tcW w:w="0" w:type="auto"/>
            <w:vAlign w:val="center"/>
          </w:tcPr>
          <w:p w14:paraId="77453585" w14:textId="77777777" w:rsidR="00CD55F1" w:rsidRDefault="00CD55F1" w:rsidP="00024DD9">
            <w:pPr>
              <w:jc w:val="center"/>
            </w:pPr>
            <w:r>
              <w:rPr>
                <w:rFonts w:ascii="Calibri" w:hAnsi="Calibri" w:cs="Calibri"/>
              </w:rPr>
              <w:t>1</w:t>
            </w:r>
          </w:p>
        </w:tc>
        <w:tc>
          <w:tcPr>
            <w:tcW w:w="0" w:type="auto"/>
            <w:vAlign w:val="center"/>
          </w:tcPr>
          <w:p w14:paraId="352337E9" w14:textId="77777777" w:rsidR="00CD55F1" w:rsidRDefault="00CD55F1" w:rsidP="00024DD9">
            <w:pPr>
              <w:jc w:val="center"/>
            </w:pPr>
            <w:r w:rsidRPr="00F60A9B">
              <w:rPr>
                <w:rFonts w:ascii="Calibri" w:hAnsi="Calibri" w:cs="Calibri"/>
              </w:rPr>
              <w:t>10</w:t>
            </w:r>
          </w:p>
        </w:tc>
        <w:tc>
          <w:tcPr>
            <w:tcW w:w="0" w:type="auto"/>
            <w:vAlign w:val="center"/>
          </w:tcPr>
          <w:p w14:paraId="2324C495" w14:textId="77777777" w:rsidR="00CD55F1" w:rsidRDefault="00CD55F1" w:rsidP="00024DD9">
            <w:pPr>
              <w:jc w:val="center"/>
            </w:pPr>
            <w:r>
              <w:rPr>
                <w:rFonts w:ascii="Calibri" w:hAnsi="Calibri" w:cs="Calibri"/>
              </w:rPr>
              <w:t>0</w:t>
            </w:r>
          </w:p>
        </w:tc>
        <w:tc>
          <w:tcPr>
            <w:tcW w:w="0" w:type="auto"/>
            <w:vAlign w:val="center"/>
          </w:tcPr>
          <w:p w14:paraId="549640EC" w14:textId="77777777" w:rsidR="00CD55F1" w:rsidRDefault="00CD55F1" w:rsidP="00024DD9">
            <w:pPr>
              <w:jc w:val="center"/>
            </w:pPr>
            <w:r>
              <w:rPr>
                <w:rFonts w:ascii="Calibri" w:hAnsi="Calibri" w:cs="Calibri"/>
              </w:rPr>
              <w:t>0</w:t>
            </w:r>
          </w:p>
        </w:tc>
        <w:tc>
          <w:tcPr>
            <w:tcW w:w="0" w:type="auto"/>
            <w:vAlign w:val="center"/>
          </w:tcPr>
          <w:p w14:paraId="234591CD" w14:textId="77777777" w:rsidR="00CD55F1" w:rsidRDefault="00CD55F1" w:rsidP="00024DD9">
            <w:pPr>
              <w:jc w:val="center"/>
            </w:pPr>
            <w:r w:rsidRPr="00F60A9B">
              <w:rPr>
                <w:rFonts w:ascii="Calibri" w:hAnsi="Calibri" w:cs="Calibri"/>
              </w:rPr>
              <w:t>1</w:t>
            </w:r>
          </w:p>
        </w:tc>
      </w:tr>
      <w:tr w:rsidR="00CD55F1" w:rsidRPr="00F60A9B" w14:paraId="6DE70A1F" w14:textId="77777777" w:rsidTr="00024DD9">
        <w:trPr>
          <w:jc w:val="center"/>
        </w:trPr>
        <w:tc>
          <w:tcPr>
            <w:tcW w:w="0" w:type="auto"/>
            <w:tcBorders>
              <w:right w:val="single" w:sz="12" w:space="0" w:color="auto"/>
            </w:tcBorders>
          </w:tcPr>
          <w:p w14:paraId="2A98BC07" w14:textId="77777777" w:rsidR="00CD55F1" w:rsidRPr="005B7BEE" w:rsidRDefault="00CD55F1" w:rsidP="00024DD9">
            <w:pPr>
              <w:rPr>
                <w:sz w:val="14"/>
                <w:szCs w:val="14"/>
              </w:rPr>
            </w:pPr>
            <w:r w:rsidRPr="005B7BEE">
              <w:rPr>
                <w:sz w:val="14"/>
                <w:szCs w:val="14"/>
              </w:rPr>
              <w:t>Remote</w:t>
            </w:r>
          </w:p>
        </w:tc>
        <w:tc>
          <w:tcPr>
            <w:tcW w:w="0" w:type="auto"/>
            <w:tcBorders>
              <w:left w:val="single" w:sz="12" w:space="0" w:color="auto"/>
            </w:tcBorders>
            <w:vAlign w:val="center"/>
          </w:tcPr>
          <w:p w14:paraId="40721071" w14:textId="77777777" w:rsidR="00CD55F1" w:rsidRPr="00F60A9B" w:rsidRDefault="00CD55F1" w:rsidP="00024DD9">
            <w:pPr>
              <w:jc w:val="center"/>
            </w:pPr>
            <w:r>
              <w:rPr>
                <w:rFonts w:ascii="Calibri" w:hAnsi="Calibri" w:cs="Calibri"/>
              </w:rPr>
              <w:t>3</w:t>
            </w:r>
          </w:p>
        </w:tc>
        <w:tc>
          <w:tcPr>
            <w:tcW w:w="0" w:type="auto"/>
            <w:vAlign w:val="center"/>
          </w:tcPr>
          <w:p w14:paraId="72ED85DB" w14:textId="77777777" w:rsidR="00CD55F1" w:rsidRPr="00210DD1" w:rsidRDefault="00CD55F1" w:rsidP="00024DD9">
            <w:pPr>
              <w:jc w:val="center"/>
            </w:pPr>
            <w:r>
              <w:rPr>
                <w:rFonts w:ascii="Calibri" w:hAnsi="Calibri" w:cs="Calibri"/>
              </w:rPr>
              <w:t>0</w:t>
            </w:r>
          </w:p>
        </w:tc>
        <w:tc>
          <w:tcPr>
            <w:tcW w:w="0" w:type="auto"/>
            <w:vAlign w:val="center"/>
          </w:tcPr>
          <w:p w14:paraId="1D35155A" w14:textId="77777777" w:rsidR="00CD55F1" w:rsidRPr="00210DD1" w:rsidRDefault="00CD55F1" w:rsidP="00024DD9">
            <w:pPr>
              <w:jc w:val="center"/>
            </w:pPr>
            <w:r>
              <w:rPr>
                <w:rFonts w:ascii="Calibri" w:hAnsi="Calibri" w:cs="Calibri"/>
              </w:rPr>
              <w:t>0</w:t>
            </w:r>
          </w:p>
        </w:tc>
        <w:tc>
          <w:tcPr>
            <w:tcW w:w="0" w:type="auto"/>
            <w:vAlign w:val="center"/>
          </w:tcPr>
          <w:p w14:paraId="1880DBAA" w14:textId="77777777" w:rsidR="00CD55F1" w:rsidRPr="00210DD1" w:rsidRDefault="00CD55F1" w:rsidP="00024DD9">
            <w:pPr>
              <w:jc w:val="center"/>
            </w:pPr>
            <w:r>
              <w:rPr>
                <w:rFonts w:ascii="Calibri" w:hAnsi="Calibri" w:cs="Calibri"/>
              </w:rPr>
              <w:t>3</w:t>
            </w:r>
          </w:p>
        </w:tc>
        <w:tc>
          <w:tcPr>
            <w:tcW w:w="0" w:type="auto"/>
            <w:vAlign w:val="center"/>
          </w:tcPr>
          <w:p w14:paraId="2277C48D" w14:textId="77777777" w:rsidR="00CD55F1" w:rsidRPr="00F60A9B" w:rsidRDefault="00CD55F1" w:rsidP="00024DD9">
            <w:pPr>
              <w:jc w:val="center"/>
            </w:pPr>
            <w:r>
              <w:rPr>
                <w:rFonts w:ascii="Calibri" w:hAnsi="Calibri" w:cs="Calibri"/>
              </w:rPr>
              <w:t>0</w:t>
            </w:r>
          </w:p>
        </w:tc>
        <w:tc>
          <w:tcPr>
            <w:tcW w:w="0" w:type="auto"/>
            <w:tcBorders>
              <w:top w:val="nil"/>
              <w:left w:val="nil"/>
              <w:bottom w:val="nil"/>
              <w:right w:val="nil"/>
            </w:tcBorders>
            <w:vAlign w:val="center"/>
          </w:tcPr>
          <w:p w14:paraId="67BC2D1D" w14:textId="77777777" w:rsidR="00CD55F1" w:rsidRDefault="00CD55F1" w:rsidP="00024DD9">
            <w:pPr>
              <w:jc w:val="center"/>
            </w:pPr>
          </w:p>
        </w:tc>
        <w:tc>
          <w:tcPr>
            <w:tcW w:w="0" w:type="auto"/>
            <w:vAlign w:val="center"/>
          </w:tcPr>
          <w:p w14:paraId="391B8DD9" w14:textId="77777777" w:rsidR="00CD55F1" w:rsidRDefault="00CD55F1" w:rsidP="00024DD9">
            <w:pPr>
              <w:jc w:val="center"/>
            </w:pPr>
            <w:r w:rsidRPr="005B7BEE">
              <w:rPr>
                <w:sz w:val="14"/>
                <w:szCs w:val="14"/>
              </w:rPr>
              <w:t>Remote</w:t>
            </w:r>
          </w:p>
        </w:tc>
        <w:tc>
          <w:tcPr>
            <w:tcW w:w="0" w:type="auto"/>
            <w:vAlign w:val="center"/>
          </w:tcPr>
          <w:p w14:paraId="711D8F47" w14:textId="77777777" w:rsidR="00CD55F1" w:rsidRDefault="00CD55F1" w:rsidP="00024DD9">
            <w:pPr>
              <w:jc w:val="center"/>
            </w:pPr>
            <w:r>
              <w:rPr>
                <w:rFonts w:ascii="Calibri" w:hAnsi="Calibri" w:cs="Calibri"/>
              </w:rPr>
              <w:t>0</w:t>
            </w:r>
          </w:p>
        </w:tc>
        <w:tc>
          <w:tcPr>
            <w:tcW w:w="0" w:type="auto"/>
            <w:vAlign w:val="center"/>
          </w:tcPr>
          <w:p w14:paraId="160E81A5" w14:textId="77777777" w:rsidR="00CD55F1" w:rsidRDefault="00CD55F1" w:rsidP="00024DD9">
            <w:pPr>
              <w:jc w:val="center"/>
            </w:pPr>
            <w:r>
              <w:rPr>
                <w:rFonts w:ascii="Calibri" w:hAnsi="Calibri" w:cs="Calibri"/>
              </w:rPr>
              <w:t>2</w:t>
            </w:r>
          </w:p>
        </w:tc>
        <w:tc>
          <w:tcPr>
            <w:tcW w:w="0" w:type="auto"/>
            <w:vAlign w:val="center"/>
          </w:tcPr>
          <w:p w14:paraId="45904B51" w14:textId="77777777" w:rsidR="00CD55F1" w:rsidRDefault="00CD55F1" w:rsidP="00024DD9">
            <w:pPr>
              <w:jc w:val="center"/>
            </w:pPr>
            <w:r>
              <w:rPr>
                <w:rFonts w:ascii="Calibri" w:hAnsi="Calibri" w:cs="Calibri"/>
              </w:rPr>
              <w:t>0</w:t>
            </w:r>
          </w:p>
        </w:tc>
        <w:tc>
          <w:tcPr>
            <w:tcW w:w="0" w:type="auto"/>
            <w:vAlign w:val="center"/>
          </w:tcPr>
          <w:p w14:paraId="4BA63AFE" w14:textId="77777777" w:rsidR="00CD55F1" w:rsidRDefault="00CD55F1" w:rsidP="00024DD9">
            <w:pPr>
              <w:jc w:val="center"/>
            </w:pPr>
            <w:r>
              <w:rPr>
                <w:rFonts w:ascii="Calibri" w:hAnsi="Calibri" w:cs="Calibri"/>
              </w:rPr>
              <w:t>0</w:t>
            </w:r>
          </w:p>
        </w:tc>
        <w:tc>
          <w:tcPr>
            <w:tcW w:w="0" w:type="auto"/>
            <w:vAlign w:val="center"/>
          </w:tcPr>
          <w:p w14:paraId="4331F093" w14:textId="77777777" w:rsidR="00CD55F1" w:rsidRDefault="00CD55F1" w:rsidP="00024DD9">
            <w:pPr>
              <w:jc w:val="center"/>
            </w:pPr>
            <w:r>
              <w:rPr>
                <w:rFonts w:ascii="Calibri" w:hAnsi="Calibri" w:cs="Calibri"/>
              </w:rPr>
              <w:t>0</w:t>
            </w:r>
          </w:p>
        </w:tc>
      </w:tr>
      <w:tr w:rsidR="00CD55F1" w:rsidRPr="00F60A9B" w14:paraId="44C23746" w14:textId="77777777" w:rsidTr="00024DD9">
        <w:trPr>
          <w:jc w:val="center"/>
        </w:trPr>
        <w:tc>
          <w:tcPr>
            <w:tcW w:w="0" w:type="auto"/>
            <w:tcBorders>
              <w:right w:val="single" w:sz="12" w:space="0" w:color="auto"/>
            </w:tcBorders>
          </w:tcPr>
          <w:p w14:paraId="537C357B" w14:textId="77777777" w:rsidR="00CD55F1" w:rsidRPr="005B7BEE" w:rsidRDefault="00CD55F1" w:rsidP="00024DD9">
            <w:pPr>
              <w:rPr>
                <w:sz w:val="14"/>
                <w:szCs w:val="14"/>
              </w:rPr>
            </w:pPr>
            <w:r w:rsidRPr="005B7BEE">
              <w:rPr>
                <w:sz w:val="14"/>
                <w:szCs w:val="14"/>
              </w:rPr>
              <w:t>Improbable</w:t>
            </w:r>
          </w:p>
        </w:tc>
        <w:tc>
          <w:tcPr>
            <w:tcW w:w="0" w:type="auto"/>
            <w:tcBorders>
              <w:left w:val="single" w:sz="12" w:space="0" w:color="auto"/>
            </w:tcBorders>
            <w:vAlign w:val="center"/>
          </w:tcPr>
          <w:p w14:paraId="5F1C9104" w14:textId="77777777" w:rsidR="00CD55F1" w:rsidRPr="00F60A9B" w:rsidRDefault="00CD55F1" w:rsidP="00024DD9">
            <w:pPr>
              <w:jc w:val="center"/>
            </w:pPr>
            <w:r>
              <w:rPr>
                <w:rFonts w:ascii="Calibri" w:hAnsi="Calibri" w:cs="Calibri"/>
              </w:rPr>
              <w:t>0</w:t>
            </w:r>
          </w:p>
        </w:tc>
        <w:tc>
          <w:tcPr>
            <w:tcW w:w="0" w:type="auto"/>
            <w:vAlign w:val="center"/>
          </w:tcPr>
          <w:p w14:paraId="65F41E6B" w14:textId="77777777" w:rsidR="00CD55F1" w:rsidRPr="00210DD1" w:rsidRDefault="00CD55F1" w:rsidP="00024DD9">
            <w:pPr>
              <w:jc w:val="center"/>
            </w:pPr>
            <w:r>
              <w:rPr>
                <w:rFonts w:ascii="Calibri" w:hAnsi="Calibri" w:cs="Calibri"/>
              </w:rPr>
              <w:t>0</w:t>
            </w:r>
          </w:p>
        </w:tc>
        <w:tc>
          <w:tcPr>
            <w:tcW w:w="0" w:type="auto"/>
            <w:vAlign w:val="center"/>
          </w:tcPr>
          <w:p w14:paraId="613FD226" w14:textId="77777777" w:rsidR="00CD55F1" w:rsidRPr="00210DD1" w:rsidRDefault="00CD55F1" w:rsidP="00024DD9">
            <w:pPr>
              <w:jc w:val="center"/>
            </w:pPr>
            <w:r>
              <w:rPr>
                <w:rFonts w:ascii="Calibri" w:hAnsi="Calibri" w:cs="Calibri"/>
              </w:rPr>
              <w:t>0</w:t>
            </w:r>
          </w:p>
        </w:tc>
        <w:tc>
          <w:tcPr>
            <w:tcW w:w="0" w:type="auto"/>
            <w:vAlign w:val="center"/>
          </w:tcPr>
          <w:p w14:paraId="686DEF7E" w14:textId="77777777" w:rsidR="00CD55F1" w:rsidRPr="00210DD1" w:rsidRDefault="00CD55F1" w:rsidP="00024DD9">
            <w:pPr>
              <w:jc w:val="center"/>
            </w:pPr>
            <w:r>
              <w:rPr>
                <w:rFonts w:ascii="Calibri" w:hAnsi="Calibri" w:cs="Calibri"/>
              </w:rPr>
              <w:t>0</w:t>
            </w:r>
          </w:p>
        </w:tc>
        <w:tc>
          <w:tcPr>
            <w:tcW w:w="0" w:type="auto"/>
            <w:vAlign w:val="center"/>
          </w:tcPr>
          <w:p w14:paraId="5C899FFF" w14:textId="77777777" w:rsidR="00CD55F1" w:rsidRPr="00F60A9B" w:rsidRDefault="00CD55F1" w:rsidP="00024DD9">
            <w:pPr>
              <w:keepNext/>
              <w:jc w:val="center"/>
            </w:pPr>
            <w:r w:rsidRPr="00F60A9B">
              <w:rPr>
                <w:rFonts w:ascii="Calibri" w:hAnsi="Calibri" w:cs="Calibri"/>
              </w:rPr>
              <w:t>0</w:t>
            </w:r>
          </w:p>
        </w:tc>
        <w:tc>
          <w:tcPr>
            <w:tcW w:w="0" w:type="auto"/>
            <w:tcBorders>
              <w:top w:val="nil"/>
              <w:left w:val="nil"/>
              <w:bottom w:val="nil"/>
              <w:right w:val="nil"/>
            </w:tcBorders>
            <w:vAlign w:val="center"/>
          </w:tcPr>
          <w:p w14:paraId="26CBD0B5" w14:textId="77777777" w:rsidR="00CD55F1" w:rsidRDefault="00CD55F1" w:rsidP="00024DD9">
            <w:pPr>
              <w:keepNext/>
              <w:jc w:val="center"/>
            </w:pPr>
          </w:p>
        </w:tc>
        <w:tc>
          <w:tcPr>
            <w:tcW w:w="0" w:type="auto"/>
            <w:vAlign w:val="center"/>
          </w:tcPr>
          <w:p w14:paraId="741265C6" w14:textId="77777777" w:rsidR="00CD55F1" w:rsidRDefault="00CD55F1" w:rsidP="00024DD9">
            <w:pPr>
              <w:keepNext/>
              <w:jc w:val="center"/>
            </w:pPr>
            <w:r w:rsidRPr="005B7BEE">
              <w:rPr>
                <w:sz w:val="14"/>
                <w:szCs w:val="14"/>
              </w:rPr>
              <w:t>Improbable</w:t>
            </w:r>
          </w:p>
        </w:tc>
        <w:tc>
          <w:tcPr>
            <w:tcW w:w="0" w:type="auto"/>
            <w:vAlign w:val="center"/>
          </w:tcPr>
          <w:p w14:paraId="00D75BB6" w14:textId="77777777" w:rsidR="00CD55F1" w:rsidRDefault="00CD55F1" w:rsidP="00024DD9">
            <w:pPr>
              <w:keepNext/>
              <w:jc w:val="center"/>
            </w:pPr>
            <w:r>
              <w:rPr>
                <w:rFonts w:ascii="Calibri" w:hAnsi="Calibri" w:cs="Calibri"/>
              </w:rPr>
              <w:t>0</w:t>
            </w:r>
          </w:p>
        </w:tc>
        <w:tc>
          <w:tcPr>
            <w:tcW w:w="0" w:type="auto"/>
            <w:vAlign w:val="center"/>
          </w:tcPr>
          <w:p w14:paraId="60E6157B" w14:textId="77777777" w:rsidR="00CD55F1" w:rsidRDefault="00CD55F1" w:rsidP="00024DD9">
            <w:pPr>
              <w:keepNext/>
              <w:jc w:val="center"/>
            </w:pPr>
            <w:r>
              <w:rPr>
                <w:rFonts w:ascii="Calibri" w:hAnsi="Calibri" w:cs="Calibri"/>
              </w:rPr>
              <w:t>1</w:t>
            </w:r>
          </w:p>
        </w:tc>
        <w:tc>
          <w:tcPr>
            <w:tcW w:w="0" w:type="auto"/>
            <w:vAlign w:val="center"/>
          </w:tcPr>
          <w:p w14:paraId="75D2EAA5" w14:textId="77777777" w:rsidR="00CD55F1" w:rsidRDefault="00CD55F1" w:rsidP="00024DD9">
            <w:pPr>
              <w:keepNext/>
              <w:jc w:val="center"/>
            </w:pPr>
            <w:r>
              <w:rPr>
                <w:rFonts w:ascii="Calibri" w:hAnsi="Calibri" w:cs="Calibri"/>
              </w:rPr>
              <w:t>0</w:t>
            </w:r>
          </w:p>
        </w:tc>
        <w:tc>
          <w:tcPr>
            <w:tcW w:w="0" w:type="auto"/>
            <w:vAlign w:val="center"/>
          </w:tcPr>
          <w:p w14:paraId="3780B4E0" w14:textId="77777777" w:rsidR="00CD55F1" w:rsidRDefault="00CD55F1" w:rsidP="00024DD9">
            <w:pPr>
              <w:keepNext/>
              <w:jc w:val="center"/>
            </w:pPr>
            <w:r>
              <w:rPr>
                <w:rFonts w:ascii="Calibri" w:hAnsi="Calibri" w:cs="Calibri"/>
              </w:rPr>
              <w:t>9</w:t>
            </w:r>
          </w:p>
        </w:tc>
        <w:tc>
          <w:tcPr>
            <w:tcW w:w="0" w:type="auto"/>
            <w:vAlign w:val="center"/>
          </w:tcPr>
          <w:p w14:paraId="5FA7D5CE" w14:textId="77777777" w:rsidR="00CD55F1" w:rsidRDefault="00CD55F1" w:rsidP="00024DD9">
            <w:pPr>
              <w:keepNext/>
              <w:jc w:val="center"/>
            </w:pPr>
            <w:r w:rsidRPr="00F60A9B">
              <w:rPr>
                <w:rFonts w:ascii="Calibri" w:hAnsi="Calibri" w:cs="Calibri"/>
              </w:rPr>
              <w:t>0</w:t>
            </w:r>
          </w:p>
        </w:tc>
      </w:tr>
    </w:tbl>
    <w:p w14:paraId="69CF406F" w14:textId="23DF9145" w:rsidR="00CD55F1" w:rsidRDefault="00CD55F1" w:rsidP="00CD55F1">
      <w:pPr>
        <w:pStyle w:val="Caption"/>
        <w:keepNext/>
        <w:spacing w:before="120"/>
        <w:jc w:val="center"/>
      </w:pPr>
      <w:r>
        <w:lastRenderedPageBreak/>
        <w:t xml:space="preserve">Equation </w:t>
      </w:r>
      <w:r>
        <w:fldChar w:fldCharType="begin"/>
      </w:r>
      <w:r>
        <w:instrText xml:space="preserve"> SEQ Equation \* ARABIC </w:instrText>
      </w:r>
      <w:r>
        <w:fldChar w:fldCharType="separate"/>
      </w:r>
      <w:r w:rsidR="003468AE">
        <w:rPr>
          <w:noProof/>
        </w:rPr>
        <w:t>16</w:t>
      </w:r>
      <w:r>
        <w:rPr>
          <w:noProof/>
        </w:rPr>
        <w:fldChar w:fldCharType="end"/>
      </w:r>
    </w:p>
    <w:p w14:paraId="4EE7D184" w14:textId="77777777" w:rsidR="00CD55F1" w:rsidRDefault="00CD55F1" w:rsidP="00CD55F1"/>
    <w:p w14:paraId="2E5DA413" w14:textId="42849B66" w:rsidR="00CD55F1" w:rsidRDefault="00CD55F1" w:rsidP="00CD55F1">
      <w:r>
        <w:t xml:space="preserve">There are many variants on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e.g., while the previous example moved a Risk ‘count’ </w:t>
      </w:r>
      <w:r w:rsidRPr="008F57D0">
        <w:rPr>
          <w:i/>
          <w:iCs/>
        </w:rPr>
        <w:t>down</w:t>
      </w:r>
      <w:r>
        <w:t xml:space="preserve"> one row to increase the count of a risk, we can also move a Risk count </w:t>
      </w:r>
      <w:r w:rsidRPr="008F57D0">
        <w:rPr>
          <w:i/>
          <w:iCs/>
        </w:rPr>
        <w:t>up</w:t>
      </w:r>
      <w:r>
        <w:t xml:space="preserve"> one row to reduce the count of risk, as is shown in the next example: </w:t>
      </w:r>
      <w:r w:rsidR="00445AB5">
        <w:t xml:space="preserve">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0A2EFEF9" w14:textId="77777777" w:rsidTr="00024DD9">
        <w:trPr>
          <w:tblHeader/>
          <w:jc w:val="center"/>
        </w:trPr>
        <w:tc>
          <w:tcPr>
            <w:tcW w:w="874" w:type="dxa"/>
            <w:tcBorders>
              <w:top w:val="nil"/>
              <w:left w:val="nil"/>
              <w:bottom w:val="single" w:sz="4" w:space="0" w:color="auto"/>
            </w:tcBorders>
            <w:vAlign w:val="center"/>
          </w:tcPr>
          <w:p w14:paraId="596C2EB0"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26480236"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33899727"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40787C39"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6942745D"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357715F0" w14:textId="77777777" w:rsidR="00CD55F1" w:rsidRPr="005B7BEE" w:rsidRDefault="00CD55F1" w:rsidP="00024DD9">
            <w:pPr>
              <w:jc w:val="center"/>
              <w:rPr>
                <w:sz w:val="14"/>
                <w:szCs w:val="14"/>
              </w:rPr>
            </w:pPr>
            <w:r w:rsidRPr="005B7BEE">
              <w:rPr>
                <w:sz w:val="14"/>
                <w:szCs w:val="14"/>
              </w:rPr>
              <w:t xml:space="preserve">Catastrophic </w:t>
            </w:r>
          </w:p>
          <w:p w14:paraId="34915F38"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47FEC8AD"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14656CD1"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120C4AD8"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7CA00DCB"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233E0FF8"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1EF7743D"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16330528" w14:textId="77777777" w:rsidR="00CD55F1" w:rsidRPr="005B7BEE" w:rsidRDefault="00CD55F1" w:rsidP="00024DD9">
            <w:pPr>
              <w:jc w:val="center"/>
              <w:rPr>
                <w:sz w:val="14"/>
                <w:szCs w:val="14"/>
              </w:rPr>
            </w:pPr>
            <w:r w:rsidRPr="005B7BEE">
              <w:rPr>
                <w:sz w:val="14"/>
                <w:szCs w:val="14"/>
              </w:rPr>
              <w:t xml:space="preserve">Catastrophic </w:t>
            </w:r>
          </w:p>
          <w:p w14:paraId="3E597D76"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502D3FE5" w14:textId="77777777" w:rsidTr="00024DD9">
        <w:trPr>
          <w:jc w:val="center"/>
        </w:trPr>
        <w:tc>
          <w:tcPr>
            <w:tcW w:w="874" w:type="dxa"/>
            <w:tcBorders>
              <w:top w:val="single" w:sz="4" w:space="0" w:color="auto"/>
              <w:right w:val="single" w:sz="12" w:space="0" w:color="auto"/>
            </w:tcBorders>
          </w:tcPr>
          <w:p w14:paraId="47F84789"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1ADD2BA3" w14:textId="77777777" w:rsidR="00CD55F1" w:rsidRPr="00F60A9B" w:rsidRDefault="00CD55F1" w:rsidP="00024DD9">
            <w:pPr>
              <w:jc w:val="center"/>
            </w:pPr>
            <w:r>
              <w:t>0</w:t>
            </w:r>
          </w:p>
        </w:tc>
        <w:tc>
          <w:tcPr>
            <w:tcW w:w="565" w:type="dxa"/>
            <w:tcBorders>
              <w:top w:val="single" w:sz="12" w:space="0" w:color="auto"/>
            </w:tcBorders>
            <w:vAlign w:val="center"/>
          </w:tcPr>
          <w:p w14:paraId="31DFD007" w14:textId="77777777" w:rsidR="00CD55F1" w:rsidRPr="00210DD1" w:rsidRDefault="00CD55F1" w:rsidP="00024DD9">
            <w:pPr>
              <w:jc w:val="center"/>
            </w:pPr>
            <w:r>
              <w:t>0</w:t>
            </w:r>
          </w:p>
        </w:tc>
        <w:tc>
          <w:tcPr>
            <w:tcW w:w="634" w:type="dxa"/>
            <w:tcBorders>
              <w:top w:val="single" w:sz="12" w:space="0" w:color="auto"/>
            </w:tcBorders>
            <w:vAlign w:val="center"/>
          </w:tcPr>
          <w:p w14:paraId="723C5EC7" w14:textId="77777777" w:rsidR="00CD55F1" w:rsidRPr="00210DD1" w:rsidRDefault="00CD55F1" w:rsidP="00024DD9">
            <w:pPr>
              <w:jc w:val="center"/>
            </w:pPr>
            <w:r>
              <w:t>0</w:t>
            </w:r>
          </w:p>
        </w:tc>
        <w:tc>
          <w:tcPr>
            <w:tcW w:w="607" w:type="dxa"/>
            <w:tcBorders>
              <w:top w:val="single" w:sz="12" w:space="0" w:color="auto"/>
            </w:tcBorders>
            <w:vAlign w:val="center"/>
          </w:tcPr>
          <w:p w14:paraId="110CE804" w14:textId="77777777" w:rsidR="00CD55F1" w:rsidRPr="00210DD1" w:rsidRDefault="00CD55F1" w:rsidP="00024DD9">
            <w:pPr>
              <w:jc w:val="center"/>
            </w:pPr>
            <w:r>
              <w:t>0</w:t>
            </w:r>
          </w:p>
        </w:tc>
        <w:tc>
          <w:tcPr>
            <w:tcW w:w="950" w:type="dxa"/>
            <w:tcBorders>
              <w:top w:val="single" w:sz="12" w:space="0" w:color="auto"/>
            </w:tcBorders>
            <w:vAlign w:val="center"/>
          </w:tcPr>
          <w:p w14:paraId="372D8E56" w14:textId="77777777" w:rsidR="00CD55F1" w:rsidRPr="00F60A9B" w:rsidRDefault="00CD55F1" w:rsidP="00024DD9">
            <w:pPr>
              <w:jc w:val="center"/>
            </w:pPr>
            <w:r>
              <w:t>0</w:t>
            </w:r>
          </w:p>
        </w:tc>
        <w:tc>
          <w:tcPr>
            <w:tcW w:w="359" w:type="dxa"/>
            <w:tcBorders>
              <w:top w:val="nil"/>
              <w:left w:val="nil"/>
              <w:bottom w:val="nil"/>
              <w:right w:val="nil"/>
            </w:tcBorders>
            <w:vAlign w:val="center"/>
          </w:tcPr>
          <w:p w14:paraId="69BA4B83" w14:textId="77777777" w:rsidR="00CD55F1" w:rsidRDefault="00CD55F1" w:rsidP="00024DD9">
            <w:pPr>
              <w:jc w:val="center"/>
            </w:pPr>
          </w:p>
        </w:tc>
        <w:tc>
          <w:tcPr>
            <w:tcW w:w="874" w:type="dxa"/>
            <w:tcBorders>
              <w:top w:val="single" w:sz="12" w:space="0" w:color="auto"/>
            </w:tcBorders>
            <w:vAlign w:val="center"/>
          </w:tcPr>
          <w:p w14:paraId="2AEFCB5D"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4C598268" w14:textId="77777777" w:rsidR="00CD55F1" w:rsidRDefault="00CD55F1" w:rsidP="00024DD9">
            <w:pPr>
              <w:jc w:val="center"/>
            </w:pPr>
            <w:r>
              <w:t>0</w:t>
            </w:r>
          </w:p>
        </w:tc>
        <w:tc>
          <w:tcPr>
            <w:tcW w:w="687" w:type="dxa"/>
            <w:tcBorders>
              <w:top w:val="single" w:sz="12" w:space="0" w:color="auto"/>
            </w:tcBorders>
            <w:vAlign w:val="center"/>
          </w:tcPr>
          <w:p w14:paraId="20EC9E88" w14:textId="77777777" w:rsidR="00CD55F1" w:rsidRDefault="00CD55F1" w:rsidP="00024DD9">
            <w:pPr>
              <w:jc w:val="center"/>
            </w:pPr>
            <w:r>
              <w:t>0</w:t>
            </w:r>
          </w:p>
        </w:tc>
        <w:tc>
          <w:tcPr>
            <w:tcW w:w="720" w:type="dxa"/>
            <w:tcBorders>
              <w:top w:val="single" w:sz="12" w:space="0" w:color="auto"/>
            </w:tcBorders>
            <w:vAlign w:val="center"/>
          </w:tcPr>
          <w:p w14:paraId="308A9D93" w14:textId="77777777" w:rsidR="00CD55F1" w:rsidRDefault="00CD55F1" w:rsidP="00024DD9">
            <w:pPr>
              <w:jc w:val="center"/>
            </w:pPr>
            <w:r>
              <w:t>0</w:t>
            </w:r>
          </w:p>
        </w:tc>
        <w:tc>
          <w:tcPr>
            <w:tcW w:w="630" w:type="dxa"/>
            <w:tcBorders>
              <w:top w:val="single" w:sz="12" w:space="0" w:color="auto"/>
            </w:tcBorders>
            <w:vAlign w:val="center"/>
          </w:tcPr>
          <w:p w14:paraId="50CBE5E5" w14:textId="77777777" w:rsidR="00CD55F1" w:rsidRDefault="00CD55F1" w:rsidP="00024DD9">
            <w:pPr>
              <w:jc w:val="center"/>
            </w:pPr>
            <w:r>
              <w:t>0</w:t>
            </w:r>
          </w:p>
        </w:tc>
        <w:tc>
          <w:tcPr>
            <w:tcW w:w="990" w:type="dxa"/>
            <w:tcBorders>
              <w:top w:val="single" w:sz="12" w:space="0" w:color="auto"/>
            </w:tcBorders>
            <w:vAlign w:val="center"/>
          </w:tcPr>
          <w:p w14:paraId="393F65B2" w14:textId="77777777" w:rsidR="00CD55F1" w:rsidRDefault="00CD55F1" w:rsidP="00024DD9">
            <w:pPr>
              <w:jc w:val="center"/>
            </w:pPr>
            <w:r>
              <w:t>0</w:t>
            </w:r>
          </w:p>
        </w:tc>
      </w:tr>
      <w:tr w:rsidR="00CD55F1" w:rsidRPr="00F60A9B" w14:paraId="0D952AE2" w14:textId="77777777" w:rsidTr="00024DD9">
        <w:trPr>
          <w:jc w:val="center"/>
        </w:trPr>
        <w:tc>
          <w:tcPr>
            <w:tcW w:w="874" w:type="dxa"/>
            <w:tcBorders>
              <w:right w:val="single" w:sz="12" w:space="0" w:color="auto"/>
            </w:tcBorders>
          </w:tcPr>
          <w:p w14:paraId="72F9130C"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585CB1E9" w14:textId="77777777" w:rsidR="00CD55F1" w:rsidRDefault="00CD55F1" w:rsidP="00024DD9">
            <w:pPr>
              <w:jc w:val="center"/>
            </w:pPr>
            <w:r>
              <w:t>0</w:t>
            </w:r>
          </w:p>
        </w:tc>
        <w:tc>
          <w:tcPr>
            <w:tcW w:w="565" w:type="dxa"/>
            <w:vAlign w:val="center"/>
          </w:tcPr>
          <w:p w14:paraId="77222FE7" w14:textId="77777777" w:rsidR="00CD55F1" w:rsidRPr="00210DD1" w:rsidRDefault="00CD55F1" w:rsidP="00024DD9">
            <w:pPr>
              <w:jc w:val="center"/>
            </w:pPr>
            <w:r>
              <w:t>0</w:t>
            </w:r>
          </w:p>
        </w:tc>
        <w:tc>
          <w:tcPr>
            <w:tcW w:w="634" w:type="dxa"/>
            <w:vAlign w:val="center"/>
          </w:tcPr>
          <w:p w14:paraId="75949F36" w14:textId="77777777" w:rsidR="00CD55F1" w:rsidRPr="00210DD1" w:rsidRDefault="00CD55F1" w:rsidP="00024DD9">
            <w:pPr>
              <w:jc w:val="center"/>
            </w:pPr>
            <w:r>
              <w:t>0</w:t>
            </w:r>
          </w:p>
        </w:tc>
        <w:tc>
          <w:tcPr>
            <w:tcW w:w="607" w:type="dxa"/>
            <w:vAlign w:val="center"/>
          </w:tcPr>
          <w:p w14:paraId="61ACC2D7" w14:textId="77777777" w:rsidR="00CD55F1" w:rsidRPr="00210DD1" w:rsidRDefault="00CD55F1" w:rsidP="00024DD9">
            <w:pPr>
              <w:jc w:val="center"/>
            </w:pPr>
            <w:r>
              <w:t>0</w:t>
            </w:r>
          </w:p>
        </w:tc>
        <w:tc>
          <w:tcPr>
            <w:tcW w:w="950" w:type="dxa"/>
            <w:vAlign w:val="center"/>
          </w:tcPr>
          <w:p w14:paraId="3BBBA56C" w14:textId="77777777" w:rsidR="00CD55F1" w:rsidRDefault="00CD55F1" w:rsidP="00024DD9">
            <w:pPr>
              <w:jc w:val="center"/>
            </w:pPr>
            <w:r>
              <w:t>0</w:t>
            </w:r>
          </w:p>
        </w:tc>
        <w:tc>
          <w:tcPr>
            <w:tcW w:w="359" w:type="dxa"/>
            <w:tcBorders>
              <w:top w:val="nil"/>
              <w:left w:val="nil"/>
              <w:bottom w:val="nil"/>
              <w:right w:val="nil"/>
            </w:tcBorders>
            <w:vAlign w:val="center"/>
          </w:tcPr>
          <w:p w14:paraId="28C5E89E" w14:textId="77777777" w:rsidR="00CD55F1" w:rsidRDefault="00CD55F1" w:rsidP="00024DD9">
            <w:pPr>
              <w:jc w:val="center"/>
            </w:pPr>
          </w:p>
        </w:tc>
        <w:tc>
          <w:tcPr>
            <w:tcW w:w="874" w:type="dxa"/>
            <w:vAlign w:val="center"/>
          </w:tcPr>
          <w:p w14:paraId="4B79BAB5" w14:textId="77777777" w:rsidR="00CD55F1" w:rsidRPr="005B7BEE" w:rsidRDefault="00CD55F1" w:rsidP="00024DD9">
            <w:pPr>
              <w:jc w:val="center"/>
              <w:rPr>
                <w:sz w:val="14"/>
                <w:szCs w:val="14"/>
              </w:rPr>
            </w:pPr>
            <w:r>
              <w:rPr>
                <w:sz w:val="14"/>
                <w:szCs w:val="14"/>
              </w:rPr>
              <w:t>Often</w:t>
            </w:r>
          </w:p>
        </w:tc>
        <w:tc>
          <w:tcPr>
            <w:tcW w:w="780" w:type="dxa"/>
            <w:vAlign w:val="center"/>
          </w:tcPr>
          <w:p w14:paraId="17FC8C45" w14:textId="77777777" w:rsidR="00CD55F1" w:rsidRDefault="00CD55F1" w:rsidP="00024DD9">
            <w:pPr>
              <w:jc w:val="center"/>
            </w:pPr>
            <w:r>
              <w:t>0</w:t>
            </w:r>
          </w:p>
        </w:tc>
        <w:tc>
          <w:tcPr>
            <w:tcW w:w="687" w:type="dxa"/>
            <w:vAlign w:val="center"/>
          </w:tcPr>
          <w:p w14:paraId="4E9DF6BA" w14:textId="77777777" w:rsidR="00CD55F1" w:rsidRPr="00210DD1" w:rsidRDefault="00CD55F1" w:rsidP="00024DD9">
            <w:pPr>
              <w:jc w:val="center"/>
            </w:pPr>
            <w:r>
              <w:t>0</w:t>
            </w:r>
          </w:p>
        </w:tc>
        <w:tc>
          <w:tcPr>
            <w:tcW w:w="720" w:type="dxa"/>
            <w:vAlign w:val="center"/>
          </w:tcPr>
          <w:p w14:paraId="1D0F183C" w14:textId="77777777" w:rsidR="00CD55F1" w:rsidRPr="00210DD1" w:rsidRDefault="00CD55F1" w:rsidP="00024DD9">
            <w:pPr>
              <w:jc w:val="center"/>
            </w:pPr>
            <w:r>
              <w:t>0</w:t>
            </w:r>
          </w:p>
        </w:tc>
        <w:tc>
          <w:tcPr>
            <w:tcW w:w="630" w:type="dxa"/>
            <w:vAlign w:val="center"/>
          </w:tcPr>
          <w:p w14:paraId="67218764" w14:textId="77777777" w:rsidR="00CD55F1" w:rsidRPr="00210DD1" w:rsidRDefault="00CD55F1" w:rsidP="00024DD9">
            <w:pPr>
              <w:jc w:val="center"/>
            </w:pPr>
            <w:r>
              <w:t>0</w:t>
            </w:r>
          </w:p>
        </w:tc>
        <w:tc>
          <w:tcPr>
            <w:tcW w:w="990" w:type="dxa"/>
            <w:vAlign w:val="center"/>
          </w:tcPr>
          <w:p w14:paraId="0C54001E" w14:textId="77777777" w:rsidR="00CD55F1" w:rsidRDefault="00CD55F1" w:rsidP="00024DD9">
            <w:pPr>
              <w:jc w:val="center"/>
            </w:pPr>
            <w:r>
              <w:t>0</w:t>
            </w:r>
          </w:p>
        </w:tc>
      </w:tr>
      <w:tr w:rsidR="00CD55F1" w:rsidRPr="00F60A9B" w14:paraId="2EA2768A" w14:textId="77777777" w:rsidTr="00024DD9">
        <w:trPr>
          <w:jc w:val="center"/>
        </w:trPr>
        <w:tc>
          <w:tcPr>
            <w:tcW w:w="874" w:type="dxa"/>
            <w:tcBorders>
              <w:right w:val="single" w:sz="12" w:space="0" w:color="auto"/>
            </w:tcBorders>
          </w:tcPr>
          <w:p w14:paraId="2E9AEB7B"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08489D30" w14:textId="77777777" w:rsidR="00CD55F1" w:rsidRDefault="00CD55F1" w:rsidP="00024DD9">
            <w:pPr>
              <w:jc w:val="center"/>
            </w:pPr>
            <w:r>
              <w:t>1</w:t>
            </w:r>
          </w:p>
        </w:tc>
        <w:tc>
          <w:tcPr>
            <w:tcW w:w="565" w:type="dxa"/>
            <w:shd w:val="clear" w:color="auto" w:fill="auto"/>
            <w:vAlign w:val="center"/>
          </w:tcPr>
          <w:p w14:paraId="64C2E332"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2392EE2D"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56C7F53C"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5017E42D"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3F9962F9" w14:textId="77777777" w:rsidR="00CD55F1" w:rsidRDefault="00CD55F1" w:rsidP="00024DD9">
            <w:pPr>
              <w:jc w:val="center"/>
            </w:pPr>
          </w:p>
        </w:tc>
        <w:tc>
          <w:tcPr>
            <w:tcW w:w="874" w:type="dxa"/>
            <w:shd w:val="clear" w:color="auto" w:fill="auto"/>
            <w:vAlign w:val="center"/>
          </w:tcPr>
          <w:p w14:paraId="7A76AF03"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36250E03" w14:textId="77777777" w:rsidR="00CD55F1" w:rsidRDefault="00CD55F1" w:rsidP="00024DD9">
            <w:pPr>
              <w:jc w:val="center"/>
            </w:pPr>
            <w:r>
              <w:rPr>
                <w:rFonts w:ascii="Calibri" w:hAnsi="Calibri" w:cs="Calibri"/>
              </w:rPr>
              <w:t>0</w:t>
            </w:r>
          </w:p>
        </w:tc>
        <w:tc>
          <w:tcPr>
            <w:tcW w:w="687" w:type="dxa"/>
            <w:vAlign w:val="center"/>
          </w:tcPr>
          <w:p w14:paraId="46974FBF" w14:textId="77777777" w:rsidR="00CD55F1" w:rsidRPr="00210DD1" w:rsidRDefault="00CD55F1" w:rsidP="00024DD9">
            <w:pPr>
              <w:jc w:val="center"/>
            </w:pPr>
            <w:r>
              <w:rPr>
                <w:rFonts w:ascii="Calibri" w:hAnsi="Calibri" w:cs="Calibri"/>
              </w:rPr>
              <w:t>3</w:t>
            </w:r>
          </w:p>
        </w:tc>
        <w:tc>
          <w:tcPr>
            <w:tcW w:w="720" w:type="dxa"/>
            <w:vAlign w:val="center"/>
          </w:tcPr>
          <w:p w14:paraId="35DB373E" w14:textId="77777777" w:rsidR="00CD55F1" w:rsidRPr="00210DD1" w:rsidRDefault="00CD55F1" w:rsidP="00024DD9">
            <w:pPr>
              <w:jc w:val="center"/>
            </w:pPr>
            <w:r w:rsidRPr="00F60A9B">
              <w:rPr>
                <w:rFonts w:ascii="Calibri" w:hAnsi="Calibri" w:cs="Calibri"/>
              </w:rPr>
              <w:t>0</w:t>
            </w:r>
          </w:p>
        </w:tc>
        <w:tc>
          <w:tcPr>
            <w:tcW w:w="630" w:type="dxa"/>
            <w:vAlign w:val="center"/>
          </w:tcPr>
          <w:p w14:paraId="35E30BBB" w14:textId="77777777" w:rsidR="00CD55F1" w:rsidRPr="00210DD1" w:rsidRDefault="00CD55F1" w:rsidP="00024DD9">
            <w:pPr>
              <w:jc w:val="center"/>
            </w:pPr>
            <w:r w:rsidRPr="00F60A9B">
              <w:rPr>
                <w:rFonts w:ascii="Calibri" w:hAnsi="Calibri" w:cs="Calibri"/>
              </w:rPr>
              <w:t>0</w:t>
            </w:r>
          </w:p>
        </w:tc>
        <w:tc>
          <w:tcPr>
            <w:tcW w:w="990" w:type="dxa"/>
            <w:vAlign w:val="center"/>
          </w:tcPr>
          <w:p w14:paraId="6245E657" w14:textId="77777777" w:rsidR="00CD55F1" w:rsidRDefault="00CD55F1" w:rsidP="00024DD9">
            <w:pPr>
              <w:jc w:val="center"/>
            </w:pPr>
            <w:r w:rsidRPr="00F60A9B">
              <w:rPr>
                <w:rFonts w:ascii="Calibri" w:hAnsi="Calibri" w:cs="Calibri"/>
              </w:rPr>
              <w:t>0</w:t>
            </w:r>
          </w:p>
        </w:tc>
      </w:tr>
      <w:tr w:rsidR="00CD55F1" w:rsidRPr="00F60A9B" w14:paraId="19D83FF1" w14:textId="77777777" w:rsidTr="00024DD9">
        <w:trPr>
          <w:jc w:val="center"/>
        </w:trPr>
        <w:tc>
          <w:tcPr>
            <w:tcW w:w="874" w:type="dxa"/>
            <w:tcBorders>
              <w:right w:val="single" w:sz="12" w:space="0" w:color="auto"/>
            </w:tcBorders>
          </w:tcPr>
          <w:p w14:paraId="29AA6B4B"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09E2E9F3" w14:textId="77777777" w:rsidR="00CD55F1" w:rsidRPr="00F60A9B" w:rsidRDefault="00CD55F1" w:rsidP="00024DD9">
            <w:pPr>
              <w:jc w:val="center"/>
            </w:pPr>
            <w:r>
              <w:t>0</w:t>
            </w:r>
          </w:p>
        </w:tc>
        <w:tc>
          <w:tcPr>
            <w:tcW w:w="565" w:type="dxa"/>
            <w:shd w:val="clear" w:color="auto" w:fill="auto"/>
            <w:vAlign w:val="center"/>
          </w:tcPr>
          <w:p w14:paraId="6135D09D"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6890FFDC"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1DB4792F"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2F99C6E2"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396F9887"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093B5760" w14:textId="77777777" w:rsidR="00CD55F1" w:rsidRDefault="00CD55F1" w:rsidP="00024DD9">
            <w:pPr>
              <w:jc w:val="center"/>
            </w:pPr>
            <w:r w:rsidRPr="005B7BEE">
              <w:rPr>
                <w:sz w:val="14"/>
                <w:szCs w:val="14"/>
              </w:rPr>
              <w:t>Probable</w:t>
            </w:r>
          </w:p>
        </w:tc>
        <w:tc>
          <w:tcPr>
            <w:tcW w:w="780" w:type="dxa"/>
            <w:shd w:val="clear" w:color="auto" w:fill="auto"/>
            <w:vAlign w:val="center"/>
          </w:tcPr>
          <w:p w14:paraId="4493B9AB" w14:textId="77777777" w:rsidR="00CD55F1" w:rsidRDefault="00CD55F1" w:rsidP="00024DD9">
            <w:pPr>
              <w:jc w:val="center"/>
            </w:pPr>
            <w:r>
              <w:rPr>
                <w:rFonts w:ascii="Calibri" w:hAnsi="Calibri" w:cs="Calibri"/>
              </w:rPr>
              <w:t>1</w:t>
            </w:r>
          </w:p>
        </w:tc>
        <w:tc>
          <w:tcPr>
            <w:tcW w:w="687" w:type="dxa"/>
            <w:shd w:val="clear" w:color="auto" w:fill="D9E2F3" w:themeFill="accent1" w:themeFillTint="33"/>
            <w:vAlign w:val="center"/>
          </w:tcPr>
          <w:p w14:paraId="7246AD02" w14:textId="77777777" w:rsidR="00CD55F1" w:rsidRDefault="00CD55F1" w:rsidP="00024DD9">
            <w:pPr>
              <w:jc w:val="center"/>
            </w:pPr>
            <w:r>
              <w:rPr>
                <w:rFonts w:ascii="Calibri" w:hAnsi="Calibri" w:cs="Calibri"/>
              </w:rPr>
              <w:t>1+ 1 = 2</w:t>
            </w:r>
          </w:p>
        </w:tc>
        <w:tc>
          <w:tcPr>
            <w:tcW w:w="720" w:type="dxa"/>
            <w:vAlign w:val="center"/>
          </w:tcPr>
          <w:p w14:paraId="1C682867" w14:textId="77777777" w:rsidR="00CD55F1" w:rsidRDefault="00CD55F1" w:rsidP="00024DD9">
            <w:pPr>
              <w:jc w:val="center"/>
            </w:pPr>
            <w:r>
              <w:rPr>
                <w:rFonts w:ascii="Calibri" w:hAnsi="Calibri" w:cs="Calibri"/>
              </w:rPr>
              <w:t>0</w:t>
            </w:r>
          </w:p>
        </w:tc>
        <w:tc>
          <w:tcPr>
            <w:tcW w:w="630" w:type="dxa"/>
            <w:vAlign w:val="center"/>
          </w:tcPr>
          <w:p w14:paraId="62E2C8DD" w14:textId="77777777" w:rsidR="00CD55F1" w:rsidRDefault="00CD55F1" w:rsidP="00024DD9">
            <w:pPr>
              <w:jc w:val="center"/>
            </w:pPr>
            <w:r w:rsidRPr="00F60A9B">
              <w:rPr>
                <w:rFonts w:ascii="Calibri" w:hAnsi="Calibri" w:cs="Calibri"/>
              </w:rPr>
              <w:t>1</w:t>
            </w:r>
          </w:p>
        </w:tc>
        <w:tc>
          <w:tcPr>
            <w:tcW w:w="990" w:type="dxa"/>
            <w:vAlign w:val="center"/>
          </w:tcPr>
          <w:p w14:paraId="3140B122" w14:textId="77777777" w:rsidR="00CD55F1" w:rsidRDefault="00CD55F1" w:rsidP="00024DD9">
            <w:pPr>
              <w:jc w:val="center"/>
            </w:pPr>
            <w:r w:rsidRPr="00F60A9B">
              <w:rPr>
                <w:rFonts w:ascii="Calibri" w:hAnsi="Calibri" w:cs="Calibri"/>
              </w:rPr>
              <w:t>0</w:t>
            </w:r>
          </w:p>
        </w:tc>
      </w:tr>
      <w:tr w:rsidR="00CD55F1" w:rsidRPr="00F60A9B" w14:paraId="380A52CE" w14:textId="77777777" w:rsidTr="00024DD9">
        <w:trPr>
          <w:jc w:val="center"/>
        </w:trPr>
        <w:tc>
          <w:tcPr>
            <w:tcW w:w="874" w:type="dxa"/>
            <w:tcBorders>
              <w:right w:val="single" w:sz="12" w:space="0" w:color="auto"/>
            </w:tcBorders>
          </w:tcPr>
          <w:p w14:paraId="1819CB2F"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30947A41"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4B22E196"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14350665"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51430E6E" w14:textId="77777777" w:rsidR="00CD55F1" w:rsidRPr="00210DD1" w:rsidRDefault="00CD55F1" w:rsidP="00024DD9">
            <w:pPr>
              <w:jc w:val="center"/>
            </w:pPr>
            <w:r>
              <w:t>2</w:t>
            </w:r>
          </w:p>
        </w:tc>
        <w:tc>
          <w:tcPr>
            <w:tcW w:w="950" w:type="dxa"/>
            <w:shd w:val="clear" w:color="auto" w:fill="auto"/>
            <w:vAlign w:val="center"/>
          </w:tcPr>
          <w:p w14:paraId="148D8594"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144A3CA9" w14:textId="77777777" w:rsidR="00CD55F1" w:rsidRDefault="00CD55F1" w:rsidP="00024DD9">
            <w:pPr>
              <w:jc w:val="center"/>
            </w:pPr>
          </w:p>
        </w:tc>
        <w:tc>
          <w:tcPr>
            <w:tcW w:w="874" w:type="dxa"/>
            <w:shd w:val="clear" w:color="auto" w:fill="auto"/>
            <w:vAlign w:val="center"/>
          </w:tcPr>
          <w:p w14:paraId="7F05D437" w14:textId="77777777" w:rsidR="00CD55F1" w:rsidRDefault="00CD55F1" w:rsidP="00024DD9">
            <w:pPr>
              <w:jc w:val="center"/>
            </w:pPr>
            <w:r w:rsidRPr="005B7BEE">
              <w:rPr>
                <w:sz w:val="14"/>
                <w:szCs w:val="14"/>
              </w:rPr>
              <w:t>Occasional</w:t>
            </w:r>
          </w:p>
        </w:tc>
        <w:tc>
          <w:tcPr>
            <w:tcW w:w="780" w:type="dxa"/>
            <w:shd w:val="clear" w:color="auto" w:fill="auto"/>
            <w:vAlign w:val="center"/>
          </w:tcPr>
          <w:p w14:paraId="1DAB445C" w14:textId="77777777" w:rsidR="00CD55F1" w:rsidRDefault="00CD55F1" w:rsidP="00024DD9">
            <w:pPr>
              <w:jc w:val="center"/>
            </w:pPr>
            <w:r>
              <w:rPr>
                <w:rFonts w:ascii="Calibri" w:hAnsi="Calibri" w:cs="Calibri"/>
              </w:rPr>
              <w:t>1</w:t>
            </w:r>
          </w:p>
        </w:tc>
        <w:tc>
          <w:tcPr>
            <w:tcW w:w="687" w:type="dxa"/>
            <w:shd w:val="clear" w:color="auto" w:fill="D9E2F3" w:themeFill="accent1" w:themeFillTint="33"/>
            <w:vAlign w:val="center"/>
          </w:tcPr>
          <w:p w14:paraId="4E6A32FF" w14:textId="77777777" w:rsidR="00CD55F1" w:rsidRDefault="00CD55F1" w:rsidP="00024DD9">
            <w:pPr>
              <w:jc w:val="center"/>
            </w:pPr>
            <w:r w:rsidRPr="00F60A9B">
              <w:rPr>
                <w:rFonts w:ascii="Calibri" w:hAnsi="Calibri" w:cs="Calibri"/>
              </w:rPr>
              <w:t>10</w:t>
            </w:r>
            <w:r>
              <w:rPr>
                <w:rFonts w:ascii="Calibri" w:hAnsi="Calibri" w:cs="Calibri"/>
              </w:rPr>
              <w:t>-10 = 0</w:t>
            </w:r>
          </w:p>
        </w:tc>
        <w:tc>
          <w:tcPr>
            <w:tcW w:w="720" w:type="dxa"/>
            <w:vAlign w:val="center"/>
          </w:tcPr>
          <w:p w14:paraId="5B33359B" w14:textId="77777777" w:rsidR="00CD55F1" w:rsidRDefault="00CD55F1" w:rsidP="00024DD9">
            <w:pPr>
              <w:jc w:val="center"/>
            </w:pPr>
            <w:r>
              <w:rPr>
                <w:rFonts w:ascii="Calibri" w:hAnsi="Calibri" w:cs="Calibri"/>
              </w:rPr>
              <w:t>0</w:t>
            </w:r>
          </w:p>
        </w:tc>
        <w:tc>
          <w:tcPr>
            <w:tcW w:w="630" w:type="dxa"/>
            <w:vAlign w:val="center"/>
          </w:tcPr>
          <w:p w14:paraId="569C5466" w14:textId="77777777" w:rsidR="00CD55F1" w:rsidRDefault="00CD55F1" w:rsidP="00024DD9">
            <w:pPr>
              <w:jc w:val="center"/>
            </w:pPr>
            <w:r>
              <w:rPr>
                <w:rFonts w:ascii="Calibri" w:hAnsi="Calibri" w:cs="Calibri"/>
              </w:rPr>
              <w:t>0</w:t>
            </w:r>
          </w:p>
        </w:tc>
        <w:tc>
          <w:tcPr>
            <w:tcW w:w="990" w:type="dxa"/>
            <w:vAlign w:val="center"/>
          </w:tcPr>
          <w:p w14:paraId="465EA5C5" w14:textId="77777777" w:rsidR="00CD55F1" w:rsidRDefault="00CD55F1" w:rsidP="00024DD9">
            <w:pPr>
              <w:jc w:val="center"/>
            </w:pPr>
            <w:r w:rsidRPr="00F60A9B">
              <w:rPr>
                <w:rFonts w:ascii="Calibri" w:hAnsi="Calibri" w:cs="Calibri"/>
              </w:rPr>
              <w:t>1</w:t>
            </w:r>
          </w:p>
        </w:tc>
      </w:tr>
      <w:tr w:rsidR="00CD55F1" w:rsidRPr="00F60A9B" w14:paraId="2A7C52DD" w14:textId="77777777" w:rsidTr="00024DD9">
        <w:trPr>
          <w:jc w:val="center"/>
        </w:trPr>
        <w:tc>
          <w:tcPr>
            <w:tcW w:w="874" w:type="dxa"/>
            <w:tcBorders>
              <w:right w:val="single" w:sz="12" w:space="0" w:color="auto"/>
            </w:tcBorders>
          </w:tcPr>
          <w:p w14:paraId="7F177350"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41AFB308" w14:textId="77777777" w:rsidR="00CD55F1" w:rsidRPr="00F60A9B" w:rsidRDefault="00CD55F1" w:rsidP="00024DD9">
            <w:pPr>
              <w:jc w:val="center"/>
            </w:pPr>
            <w:r>
              <w:rPr>
                <w:rFonts w:ascii="Calibri" w:hAnsi="Calibri" w:cs="Calibri"/>
              </w:rPr>
              <w:t>3</w:t>
            </w:r>
          </w:p>
        </w:tc>
        <w:tc>
          <w:tcPr>
            <w:tcW w:w="565" w:type="dxa"/>
            <w:vAlign w:val="center"/>
          </w:tcPr>
          <w:p w14:paraId="0C741433" w14:textId="77777777" w:rsidR="00CD55F1" w:rsidRPr="00210DD1" w:rsidRDefault="00CD55F1" w:rsidP="00024DD9">
            <w:pPr>
              <w:jc w:val="center"/>
            </w:pPr>
            <w:r>
              <w:rPr>
                <w:rFonts w:ascii="Calibri" w:hAnsi="Calibri" w:cs="Calibri"/>
              </w:rPr>
              <w:t>0</w:t>
            </w:r>
          </w:p>
        </w:tc>
        <w:tc>
          <w:tcPr>
            <w:tcW w:w="634" w:type="dxa"/>
            <w:vAlign w:val="center"/>
          </w:tcPr>
          <w:p w14:paraId="5C379748" w14:textId="77777777" w:rsidR="00CD55F1" w:rsidRPr="00210DD1" w:rsidRDefault="00CD55F1" w:rsidP="00024DD9">
            <w:pPr>
              <w:jc w:val="center"/>
            </w:pPr>
            <w:r>
              <w:rPr>
                <w:rFonts w:ascii="Calibri" w:hAnsi="Calibri" w:cs="Calibri"/>
              </w:rPr>
              <w:t>0</w:t>
            </w:r>
          </w:p>
        </w:tc>
        <w:tc>
          <w:tcPr>
            <w:tcW w:w="607" w:type="dxa"/>
            <w:vAlign w:val="center"/>
          </w:tcPr>
          <w:p w14:paraId="5BB38C2E" w14:textId="77777777" w:rsidR="00CD55F1" w:rsidRPr="00210DD1" w:rsidRDefault="00CD55F1" w:rsidP="00024DD9">
            <w:pPr>
              <w:jc w:val="center"/>
            </w:pPr>
            <w:r>
              <w:rPr>
                <w:rFonts w:ascii="Calibri" w:hAnsi="Calibri" w:cs="Calibri"/>
              </w:rPr>
              <w:t>3</w:t>
            </w:r>
          </w:p>
        </w:tc>
        <w:tc>
          <w:tcPr>
            <w:tcW w:w="950" w:type="dxa"/>
            <w:vAlign w:val="center"/>
          </w:tcPr>
          <w:p w14:paraId="1215B78D"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662F52D8" w14:textId="77777777" w:rsidR="00CD55F1" w:rsidRDefault="00CD55F1" w:rsidP="00024DD9">
            <w:pPr>
              <w:jc w:val="center"/>
            </w:pPr>
          </w:p>
        </w:tc>
        <w:tc>
          <w:tcPr>
            <w:tcW w:w="874" w:type="dxa"/>
            <w:vAlign w:val="center"/>
          </w:tcPr>
          <w:p w14:paraId="408A1245" w14:textId="77777777" w:rsidR="00CD55F1" w:rsidRDefault="00CD55F1" w:rsidP="00024DD9">
            <w:pPr>
              <w:jc w:val="center"/>
            </w:pPr>
            <w:r w:rsidRPr="005B7BEE">
              <w:rPr>
                <w:sz w:val="14"/>
                <w:szCs w:val="14"/>
              </w:rPr>
              <w:t>Remote</w:t>
            </w:r>
          </w:p>
        </w:tc>
        <w:tc>
          <w:tcPr>
            <w:tcW w:w="780" w:type="dxa"/>
            <w:vAlign w:val="center"/>
          </w:tcPr>
          <w:p w14:paraId="0BEBA6D4" w14:textId="77777777" w:rsidR="00CD55F1" w:rsidRDefault="00CD55F1" w:rsidP="00024DD9">
            <w:pPr>
              <w:jc w:val="center"/>
            </w:pPr>
            <w:r>
              <w:rPr>
                <w:rFonts w:ascii="Calibri" w:hAnsi="Calibri" w:cs="Calibri"/>
              </w:rPr>
              <w:t>0</w:t>
            </w:r>
          </w:p>
        </w:tc>
        <w:tc>
          <w:tcPr>
            <w:tcW w:w="687" w:type="dxa"/>
            <w:vAlign w:val="center"/>
          </w:tcPr>
          <w:p w14:paraId="6A6BCA9C" w14:textId="77777777" w:rsidR="00CD55F1" w:rsidRDefault="00CD55F1" w:rsidP="00024DD9">
            <w:pPr>
              <w:jc w:val="center"/>
            </w:pPr>
            <w:r>
              <w:rPr>
                <w:rFonts w:ascii="Calibri" w:hAnsi="Calibri" w:cs="Calibri"/>
              </w:rPr>
              <w:t>2</w:t>
            </w:r>
          </w:p>
        </w:tc>
        <w:tc>
          <w:tcPr>
            <w:tcW w:w="720" w:type="dxa"/>
            <w:vAlign w:val="center"/>
          </w:tcPr>
          <w:p w14:paraId="4448BA55" w14:textId="77777777" w:rsidR="00CD55F1" w:rsidRDefault="00CD55F1" w:rsidP="00024DD9">
            <w:pPr>
              <w:jc w:val="center"/>
            </w:pPr>
            <w:r>
              <w:rPr>
                <w:rFonts w:ascii="Calibri" w:hAnsi="Calibri" w:cs="Calibri"/>
              </w:rPr>
              <w:t>0</w:t>
            </w:r>
          </w:p>
        </w:tc>
        <w:tc>
          <w:tcPr>
            <w:tcW w:w="630" w:type="dxa"/>
            <w:vAlign w:val="center"/>
          </w:tcPr>
          <w:p w14:paraId="35212BCA" w14:textId="77777777" w:rsidR="00CD55F1" w:rsidRDefault="00CD55F1" w:rsidP="00024DD9">
            <w:pPr>
              <w:jc w:val="center"/>
            </w:pPr>
            <w:r>
              <w:rPr>
                <w:rFonts w:ascii="Calibri" w:hAnsi="Calibri" w:cs="Calibri"/>
              </w:rPr>
              <w:t>0</w:t>
            </w:r>
          </w:p>
        </w:tc>
        <w:tc>
          <w:tcPr>
            <w:tcW w:w="990" w:type="dxa"/>
            <w:vAlign w:val="center"/>
          </w:tcPr>
          <w:p w14:paraId="5499C736" w14:textId="77777777" w:rsidR="00CD55F1" w:rsidRDefault="00CD55F1" w:rsidP="00024DD9">
            <w:pPr>
              <w:jc w:val="center"/>
            </w:pPr>
            <w:r>
              <w:rPr>
                <w:rFonts w:ascii="Calibri" w:hAnsi="Calibri" w:cs="Calibri"/>
              </w:rPr>
              <w:t>0</w:t>
            </w:r>
          </w:p>
        </w:tc>
      </w:tr>
      <w:tr w:rsidR="00CD55F1" w:rsidRPr="00F60A9B" w14:paraId="1BC7929D" w14:textId="77777777" w:rsidTr="00024DD9">
        <w:trPr>
          <w:jc w:val="center"/>
        </w:trPr>
        <w:tc>
          <w:tcPr>
            <w:tcW w:w="874" w:type="dxa"/>
            <w:tcBorders>
              <w:right w:val="single" w:sz="12" w:space="0" w:color="auto"/>
            </w:tcBorders>
          </w:tcPr>
          <w:p w14:paraId="7E839F81"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1A8B130C" w14:textId="77777777" w:rsidR="00CD55F1" w:rsidRPr="00F60A9B" w:rsidRDefault="00CD55F1" w:rsidP="00024DD9">
            <w:pPr>
              <w:jc w:val="center"/>
            </w:pPr>
            <w:r>
              <w:rPr>
                <w:rFonts w:ascii="Calibri" w:hAnsi="Calibri" w:cs="Calibri"/>
              </w:rPr>
              <w:t>0</w:t>
            </w:r>
          </w:p>
        </w:tc>
        <w:tc>
          <w:tcPr>
            <w:tcW w:w="565" w:type="dxa"/>
            <w:vAlign w:val="center"/>
          </w:tcPr>
          <w:p w14:paraId="64667E83" w14:textId="77777777" w:rsidR="00CD55F1" w:rsidRPr="00210DD1" w:rsidRDefault="00CD55F1" w:rsidP="00024DD9">
            <w:pPr>
              <w:jc w:val="center"/>
            </w:pPr>
            <w:r>
              <w:rPr>
                <w:rFonts w:ascii="Calibri" w:hAnsi="Calibri" w:cs="Calibri"/>
              </w:rPr>
              <w:t>0</w:t>
            </w:r>
          </w:p>
        </w:tc>
        <w:tc>
          <w:tcPr>
            <w:tcW w:w="634" w:type="dxa"/>
            <w:vAlign w:val="center"/>
          </w:tcPr>
          <w:p w14:paraId="4B10488C" w14:textId="77777777" w:rsidR="00CD55F1" w:rsidRPr="00210DD1" w:rsidRDefault="00CD55F1" w:rsidP="00024DD9">
            <w:pPr>
              <w:jc w:val="center"/>
            </w:pPr>
            <w:r>
              <w:rPr>
                <w:rFonts w:ascii="Calibri" w:hAnsi="Calibri" w:cs="Calibri"/>
              </w:rPr>
              <w:t>0</w:t>
            </w:r>
          </w:p>
        </w:tc>
        <w:tc>
          <w:tcPr>
            <w:tcW w:w="607" w:type="dxa"/>
            <w:vAlign w:val="center"/>
          </w:tcPr>
          <w:p w14:paraId="4ABBFE59" w14:textId="77777777" w:rsidR="00CD55F1" w:rsidRPr="00210DD1" w:rsidRDefault="00CD55F1" w:rsidP="00024DD9">
            <w:pPr>
              <w:jc w:val="center"/>
            </w:pPr>
            <w:r>
              <w:rPr>
                <w:rFonts w:ascii="Calibri" w:hAnsi="Calibri" w:cs="Calibri"/>
              </w:rPr>
              <w:t>0</w:t>
            </w:r>
          </w:p>
        </w:tc>
        <w:tc>
          <w:tcPr>
            <w:tcW w:w="950" w:type="dxa"/>
            <w:vAlign w:val="center"/>
          </w:tcPr>
          <w:p w14:paraId="29196DDB"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4F983603" w14:textId="77777777" w:rsidR="00CD55F1" w:rsidRDefault="00CD55F1" w:rsidP="00024DD9">
            <w:pPr>
              <w:keepNext/>
              <w:jc w:val="center"/>
            </w:pPr>
          </w:p>
        </w:tc>
        <w:tc>
          <w:tcPr>
            <w:tcW w:w="874" w:type="dxa"/>
            <w:vAlign w:val="center"/>
          </w:tcPr>
          <w:p w14:paraId="1D5CE78F" w14:textId="77777777" w:rsidR="00CD55F1" w:rsidRDefault="00CD55F1" w:rsidP="00024DD9">
            <w:pPr>
              <w:keepNext/>
              <w:jc w:val="center"/>
            </w:pPr>
            <w:r w:rsidRPr="005B7BEE">
              <w:rPr>
                <w:sz w:val="14"/>
                <w:szCs w:val="14"/>
              </w:rPr>
              <w:t>Improbable</w:t>
            </w:r>
          </w:p>
        </w:tc>
        <w:tc>
          <w:tcPr>
            <w:tcW w:w="780" w:type="dxa"/>
            <w:vAlign w:val="center"/>
          </w:tcPr>
          <w:p w14:paraId="102C23F5" w14:textId="77777777" w:rsidR="00CD55F1" w:rsidRDefault="00CD55F1" w:rsidP="00024DD9">
            <w:pPr>
              <w:keepNext/>
              <w:jc w:val="center"/>
            </w:pPr>
            <w:r>
              <w:rPr>
                <w:rFonts w:ascii="Calibri" w:hAnsi="Calibri" w:cs="Calibri"/>
              </w:rPr>
              <w:t>0</w:t>
            </w:r>
          </w:p>
        </w:tc>
        <w:tc>
          <w:tcPr>
            <w:tcW w:w="687" w:type="dxa"/>
            <w:vAlign w:val="center"/>
          </w:tcPr>
          <w:p w14:paraId="086C1AAA" w14:textId="77777777" w:rsidR="00CD55F1" w:rsidRDefault="00CD55F1" w:rsidP="00024DD9">
            <w:pPr>
              <w:keepNext/>
              <w:jc w:val="center"/>
            </w:pPr>
            <w:r>
              <w:rPr>
                <w:rFonts w:ascii="Calibri" w:hAnsi="Calibri" w:cs="Calibri"/>
              </w:rPr>
              <w:t>1</w:t>
            </w:r>
          </w:p>
        </w:tc>
        <w:tc>
          <w:tcPr>
            <w:tcW w:w="720" w:type="dxa"/>
            <w:vAlign w:val="center"/>
          </w:tcPr>
          <w:p w14:paraId="3647A920" w14:textId="77777777" w:rsidR="00CD55F1" w:rsidRDefault="00CD55F1" w:rsidP="00024DD9">
            <w:pPr>
              <w:keepNext/>
              <w:jc w:val="center"/>
            </w:pPr>
            <w:r>
              <w:rPr>
                <w:rFonts w:ascii="Calibri" w:hAnsi="Calibri" w:cs="Calibri"/>
              </w:rPr>
              <w:t>0</w:t>
            </w:r>
          </w:p>
        </w:tc>
        <w:tc>
          <w:tcPr>
            <w:tcW w:w="630" w:type="dxa"/>
            <w:vAlign w:val="center"/>
          </w:tcPr>
          <w:p w14:paraId="76300165" w14:textId="77777777" w:rsidR="00CD55F1" w:rsidRDefault="00CD55F1" w:rsidP="00024DD9">
            <w:pPr>
              <w:keepNext/>
              <w:jc w:val="center"/>
            </w:pPr>
            <w:r>
              <w:rPr>
                <w:rFonts w:ascii="Calibri" w:hAnsi="Calibri" w:cs="Calibri"/>
              </w:rPr>
              <w:t>9</w:t>
            </w:r>
          </w:p>
        </w:tc>
        <w:tc>
          <w:tcPr>
            <w:tcW w:w="990" w:type="dxa"/>
            <w:vAlign w:val="center"/>
          </w:tcPr>
          <w:p w14:paraId="2AB2788D" w14:textId="77777777" w:rsidR="00CD55F1" w:rsidRDefault="00CD55F1" w:rsidP="00024DD9">
            <w:pPr>
              <w:keepNext/>
              <w:jc w:val="center"/>
            </w:pPr>
            <w:r w:rsidRPr="00F60A9B">
              <w:rPr>
                <w:rFonts w:ascii="Calibri" w:hAnsi="Calibri" w:cs="Calibri"/>
              </w:rPr>
              <w:t>0</w:t>
            </w:r>
          </w:p>
        </w:tc>
      </w:tr>
    </w:tbl>
    <w:p w14:paraId="52505F42" w14:textId="77777777" w:rsidR="00CD55F1" w:rsidRDefault="00CD55F1" w:rsidP="00CD55F1">
      <w:pPr>
        <w:spacing w:before="160"/>
      </w:pPr>
      <w:r>
        <w:t xml:space="preserve">or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5EE1DDBA" w14:textId="77777777" w:rsidTr="00024DD9">
        <w:trPr>
          <w:tblHeader/>
          <w:jc w:val="center"/>
        </w:trPr>
        <w:tc>
          <w:tcPr>
            <w:tcW w:w="874" w:type="dxa"/>
            <w:tcBorders>
              <w:top w:val="nil"/>
              <w:left w:val="nil"/>
              <w:bottom w:val="single" w:sz="4" w:space="0" w:color="auto"/>
            </w:tcBorders>
            <w:vAlign w:val="center"/>
          </w:tcPr>
          <w:p w14:paraId="70635917"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2E5DB9B3"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5CA9C2B2"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779F091E"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2B2DB7AA"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13EBC0AA" w14:textId="77777777" w:rsidR="00CD55F1" w:rsidRPr="005B7BEE" w:rsidRDefault="00CD55F1" w:rsidP="00024DD9">
            <w:pPr>
              <w:jc w:val="center"/>
              <w:rPr>
                <w:sz w:val="14"/>
                <w:szCs w:val="14"/>
              </w:rPr>
            </w:pPr>
            <w:r w:rsidRPr="005B7BEE">
              <w:rPr>
                <w:sz w:val="14"/>
                <w:szCs w:val="14"/>
              </w:rPr>
              <w:t xml:space="preserve">Catastrophic </w:t>
            </w:r>
          </w:p>
          <w:p w14:paraId="564AED4F"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137EC858"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01D886E1"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6ABB0DF9"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2513F80E"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0A1FFF77"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08982B8F"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50CBD0AF" w14:textId="77777777" w:rsidR="00CD55F1" w:rsidRPr="005B7BEE" w:rsidRDefault="00CD55F1" w:rsidP="00024DD9">
            <w:pPr>
              <w:jc w:val="center"/>
              <w:rPr>
                <w:sz w:val="14"/>
                <w:szCs w:val="14"/>
              </w:rPr>
            </w:pPr>
            <w:r w:rsidRPr="005B7BEE">
              <w:rPr>
                <w:sz w:val="14"/>
                <w:szCs w:val="14"/>
              </w:rPr>
              <w:t xml:space="preserve">Catastrophic </w:t>
            </w:r>
          </w:p>
          <w:p w14:paraId="3611AB35"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11732574" w14:textId="77777777" w:rsidTr="00024DD9">
        <w:trPr>
          <w:jc w:val="center"/>
        </w:trPr>
        <w:tc>
          <w:tcPr>
            <w:tcW w:w="874" w:type="dxa"/>
            <w:tcBorders>
              <w:top w:val="single" w:sz="4" w:space="0" w:color="auto"/>
              <w:right w:val="single" w:sz="12" w:space="0" w:color="auto"/>
            </w:tcBorders>
          </w:tcPr>
          <w:p w14:paraId="1A0421BB"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2B8ED1C2" w14:textId="77777777" w:rsidR="00CD55F1" w:rsidRPr="00F60A9B" w:rsidRDefault="00CD55F1" w:rsidP="00024DD9">
            <w:pPr>
              <w:jc w:val="center"/>
            </w:pPr>
            <w:r>
              <w:t>0</w:t>
            </w:r>
          </w:p>
        </w:tc>
        <w:tc>
          <w:tcPr>
            <w:tcW w:w="565" w:type="dxa"/>
            <w:tcBorders>
              <w:top w:val="single" w:sz="12" w:space="0" w:color="auto"/>
            </w:tcBorders>
            <w:vAlign w:val="center"/>
          </w:tcPr>
          <w:p w14:paraId="2111DC9D" w14:textId="77777777" w:rsidR="00CD55F1" w:rsidRPr="00210DD1" w:rsidRDefault="00CD55F1" w:rsidP="00024DD9">
            <w:pPr>
              <w:jc w:val="center"/>
            </w:pPr>
            <w:r>
              <w:t>0</w:t>
            </w:r>
          </w:p>
        </w:tc>
        <w:tc>
          <w:tcPr>
            <w:tcW w:w="634" w:type="dxa"/>
            <w:tcBorders>
              <w:top w:val="single" w:sz="12" w:space="0" w:color="auto"/>
            </w:tcBorders>
            <w:vAlign w:val="center"/>
          </w:tcPr>
          <w:p w14:paraId="45494468" w14:textId="77777777" w:rsidR="00CD55F1" w:rsidRPr="00210DD1" w:rsidRDefault="00CD55F1" w:rsidP="00024DD9">
            <w:pPr>
              <w:jc w:val="center"/>
            </w:pPr>
            <w:r>
              <w:t>0</w:t>
            </w:r>
          </w:p>
        </w:tc>
        <w:tc>
          <w:tcPr>
            <w:tcW w:w="607" w:type="dxa"/>
            <w:tcBorders>
              <w:top w:val="single" w:sz="12" w:space="0" w:color="auto"/>
            </w:tcBorders>
            <w:vAlign w:val="center"/>
          </w:tcPr>
          <w:p w14:paraId="26D22DAA" w14:textId="77777777" w:rsidR="00CD55F1" w:rsidRPr="00210DD1" w:rsidRDefault="00CD55F1" w:rsidP="00024DD9">
            <w:pPr>
              <w:jc w:val="center"/>
            </w:pPr>
            <w:r>
              <w:t>0</w:t>
            </w:r>
          </w:p>
        </w:tc>
        <w:tc>
          <w:tcPr>
            <w:tcW w:w="950" w:type="dxa"/>
            <w:tcBorders>
              <w:top w:val="single" w:sz="12" w:space="0" w:color="auto"/>
            </w:tcBorders>
            <w:vAlign w:val="center"/>
          </w:tcPr>
          <w:p w14:paraId="682E8B1A" w14:textId="77777777" w:rsidR="00CD55F1" w:rsidRPr="00F60A9B" w:rsidRDefault="00CD55F1" w:rsidP="00024DD9">
            <w:pPr>
              <w:jc w:val="center"/>
            </w:pPr>
            <w:r>
              <w:t>0</w:t>
            </w:r>
          </w:p>
        </w:tc>
        <w:tc>
          <w:tcPr>
            <w:tcW w:w="359" w:type="dxa"/>
            <w:tcBorders>
              <w:top w:val="nil"/>
              <w:left w:val="nil"/>
              <w:bottom w:val="nil"/>
              <w:right w:val="nil"/>
            </w:tcBorders>
            <w:vAlign w:val="center"/>
          </w:tcPr>
          <w:p w14:paraId="5C9B5510" w14:textId="77777777" w:rsidR="00CD55F1" w:rsidRDefault="00CD55F1" w:rsidP="00024DD9">
            <w:pPr>
              <w:jc w:val="center"/>
            </w:pPr>
          </w:p>
        </w:tc>
        <w:tc>
          <w:tcPr>
            <w:tcW w:w="874" w:type="dxa"/>
            <w:tcBorders>
              <w:top w:val="single" w:sz="12" w:space="0" w:color="auto"/>
            </w:tcBorders>
            <w:vAlign w:val="center"/>
          </w:tcPr>
          <w:p w14:paraId="4E1B20E0"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01C917F5" w14:textId="77777777" w:rsidR="00CD55F1" w:rsidRDefault="00CD55F1" w:rsidP="00024DD9">
            <w:pPr>
              <w:jc w:val="center"/>
            </w:pPr>
            <w:r>
              <w:t>0</w:t>
            </w:r>
          </w:p>
        </w:tc>
        <w:tc>
          <w:tcPr>
            <w:tcW w:w="687" w:type="dxa"/>
            <w:tcBorders>
              <w:top w:val="single" w:sz="12" w:space="0" w:color="auto"/>
            </w:tcBorders>
            <w:vAlign w:val="center"/>
          </w:tcPr>
          <w:p w14:paraId="1AA8B8AB" w14:textId="77777777" w:rsidR="00CD55F1" w:rsidRDefault="00CD55F1" w:rsidP="00024DD9">
            <w:pPr>
              <w:jc w:val="center"/>
            </w:pPr>
            <w:r>
              <w:t>0</w:t>
            </w:r>
          </w:p>
        </w:tc>
        <w:tc>
          <w:tcPr>
            <w:tcW w:w="720" w:type="dxa"/>
            <w:tcBorders>
              <w:top w:val="single" w:sz="12" w:space="0" w:color="auto"/>
            </w:tcBorders>
            <w:vAlign w:val="center"/>
          </w:tcPr>
          <w:p w14:paraId="55C14779" w14:textId="77777777" w:rsidR="00CD55F1" w:rsidRDefault="00CD55F1" w:rsidP="00024DD9">
            <w:pPr>
              <w:jc w:val="center"/>
            </w:pPr>
            <w:r>
              <w:t>0</w:t>
            </w:r>
          </w:p>
        </w:tc>
        <w:tc>
          <w:tcPr>
            <w:tcW w:w="630" w:type="dxa"/>
            <w:tcBorders>
              <w:top w:val="single" w:sz="12" w:space="0" w:color="auto"/>
            </w:tcBorders>
            <w:vAlign w:val="center"/>
          </w:tcPr>
          <w:p w14:paraId="72DFC525" w14:textId="77777777" w:rsidR="00CD55F1" w:rsidRDefault="00CD55F1" w:rsidP="00024DD9">
            <w:pPr>
              <w:jc w:val="center"/>
            </w:pPr>
            <w:r>
              <w:t>0</w:t>
            </w:r>
          </w:p>
        </w:tc>
        <w:tc>
          <w:tcPr>
            <w:tcW w:w="990" w:type="dxa"/>
            <w:tcBorders>
              <w:top w:val="single" w:sz="12" w:space="0" w:color="auto"/>
            </w:tcBorders>
            <w:vAlign w:val="center"/>
          </w:tcPr>
          <w:p w14:paraId="0D9B14A1" w14:textId="77777777" w:rsidR="00CD55F1" w:rsidRDefault="00CD55F1" w:rsidP="00024DD9">
            <w:pPr>
              <w:jc w:val="center"/>
            </w:pPr>
            <w:r>
              <w:t>0</w:t>
            </w:r>
          </w:p>
        </w:tc>
      </w:tr>
      <w:tr w:rsidR="00CD55F1" w:rsidRPr="00F60A9B" w14:paraId="06F5BAFF" w14:textId="77777777" w:rsidTr="00024DD9">
        <w:trPr>
          <w:jc w:val="center"/>
        </w:trPr>
        <w:tc>
          <w:tcPr>
            <w:tcW w:w="874" w:type="dxa"/>
            <w:tcBorders>
              <w:right w:val="single" w:sz="12" w:space="0" w:color="auto"/>
            </w:tcBorders>
          </w:tcPr>
          <w:p w14:paraId="09709921"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3FAF2D21" w14:textId="77777777" w:rsidR="00CD55F1" w:rsidRDefault="00CD55F1" w:rsidP="00024DD9">
            <w:pPr>
              <w:jc w:val="center"/>
            </w:pPr>
            <w:r>
              <w:t>0</w:t>
            </w:r>
          </w:p>
        </w:tc>
        <w:tc>
          <w:tcPr>
            <w:tcW w:w="565" w:type="dxa"/>
            <w:vAlign w:val="center"/>
          </w:tcPr>
          <w:p w14:paraId="3E630FEC" w14:textId="77777777" w:rsidR="00CD55F1" w:rsidRPr="00210DD1" w:rsidRDefault="00CD55F1" w:rsidP="00024DD9">
            <w:pPr>
              <w:jc w:val="center"/>
            </w:pPr>
            <w:r>
              <w:t>0</w:t>
            </w:r>
          </w:p>
        </w:tc>
        <w:tc>
          <w:tcPr>
            <w:tcW w:w="634" w:type="dxa"/>
            <w:vAlign w:val="center"/>
          </w:tcPr>
          <w:p w14:paraId="7966AEC4" w14:textId="77777777" w:rsidR="00CD55F1" w:rsidRPr="00210DD1" w:rsidRDefault="00CD55F1" w:rsidP="00024DD9">
            <w:pPr>
              <w:jc w:val="center"/>
            </w:pPr>
            <w:r>
              <w:t>0</w:t>
            </w:r>
          </w:p>
        </w:tc>
        <w:tc>
          <w:tcPr>
            <w:tcW w:w="607" w:type="dxa"/>
            <w:vAlign w:val="center"/>
          </w:tcPr>
          <w:p w14:paraId="734B93D4" w14:textId="77777777" w:rsidR="00CD55F1" w:rsidRPr="00210DD1" w:rsidRDefault="00CD55F1" w:rsidP="00024DD9">
            <w:pPr>
              <w:jc w:val="center"/>
            </w:pPr>
            <w:r>
              <w:t>0</w:t>
            </w:r>
          </w:p>
        </w:tc>
        <w:tc>
          <w:tcPr>
            <w:tcW w:w="950" w:type="dxa"/>
            <w:vAlign w:val="center"/>
          </w:tcPr>
          <w:p w14:paraId="35732B52" w14:textId="77777777" w:rsidR="00CD55F1" w:rsidRDefault="00CD55F1" w:rsidP="00024DD9">
            <w:pPr>
              <w:jc w:val="center"/>
            </w:pPr>
            <w:r>
              <w:t>0</w:t>
            </w:r>
          </w:p>
        </w:tc>
        <w:tc>
          <w:tcPr>
            <w:tcW w:w="359" w:type="dxa"/>
            <w:tcBorders>
              <w:top w:val="nil"/>
              <w:left w:val="nil"/>
              <w:bottom w:val="nil"/>
              <w:right w:val="nil"/>
            </w:tcBorders>
            <w:vAlign w:val="center"/>
          </w:tcPr>
          <w:p w14:paraId="1E51B3A5" w14:textId="77777777" w:rsidR="00CD55F1" w:rsidRDefault="00CD55F1" w:rsidP="00024DD9">
            <w:pPr>
              <w:jc w:val="center"/>
            </w:pPr>
          </w:p>
        </w:tc>
        <w:tc>
          <w:tcPr>
            <w:tcW w:w="874" w:type="dxa"/>
            <w:vAlign w:val="center"/>
          </w:tcPr>
          <w:p w14:paraId="3F658607" w14:textId="77777777" w:rsidR="00CD55F1" w:rsidRPr="005B7BEE" w:rsidRDefault="00CD55F1" w:rsidP="00024DD9">
            <w:pPr>
              <w:jc w:val="center"/>
              <w:rPr>
                <w:sz w:val="14"/>
                <w:szCs w:val="14"/>
              </w:rPr>
            </w:pPr>
            <w:r>
              <w:rPr>
                <w:sz w:val="14"/>
                <w:szCs w:val="14"/>
              </w:rPr>
              <w:t>Often</w:t>
            </w:r>
          </w:p>
        </w:tc>
        <w:tc>
          <w:tcPr>
            <w:tcW w:w="780" w:type="dxa"/>
            <w:vAlign w:val="center"/>
          </w:tcPr>
          <w:p w14:paraId="34D38027" w14:textId="77777777" w:rsidR="00CD55F1" w:rsidRDefault="00CD55F1" w:rsidP="00024DD9">
            <w:pPr>
              <w:jc w:val="center"/>
            </w:pPr>
            <w:r>
              <w:t>0</w:t>
            </w:r>
          </w:p>
        </w:tc>
        <w:tc>
          <w:tcPr>
            <w:tcW w:w="687" w:type="dxa"/>
            <w:vAlign w:val="center"/>
          </w:tcPr>
          <w:p w14:paraId="30E82831" w14:textId="77777777" w:rsidR="00CD55F1" w:rsidRPr="00210DD1" w:rsidRDefault="00CD55F1" w:rsidP="00024DD9">
            <w:pPr>
              <w:jc w:val="center"/>
            </w:pPr>
            <w:r>
              <w:t>0</w:t>
            </w:r>
          </w:p>
        </w:tc>
        <w:tc>
          <w:tcPr>
            <w:tcW w:w="720" w:type="dxa"/>
            <w:vAlign w:val="center"/>
          </w:tcPr>
          <w:p w14:paraId="555AB957" w14:textId="77777777" w:rsidR="00CD55F1" w:rsidRPr="00210DD1" w:rsidRDefault="00CD55F1" w:rsidP="00024DD9">
            <w:pPr>
              <w:jc w:val="center"/>
            </w:pPr>
            <w:r>
              <w:t>0</w:t>
            </w:r>
          </w:p>
        </w:tc>
        <w:tc>
          <w:tcPr>
            <w:tcW w:w="630" w:type="dxa"/>
            <w:vAlign w:val="center"/>
          </w:tcPr>
          <w:p w14:paraId="14851AC5" w14:textId="77777777" w:rsidR="00CD55F1" w:rsidRPr="00210DD1" w:rsidRDefault="00CD55F1" w:rsidP="00024DD9">
            <w:pPr>
              <w:jc w:val="center"/>
            </w:pPr>
            <w:r>
              <w:t>0</w:t>
            </w:r>
          </w:p>
        </w:tc>
        <w:tc>
          <w:tcPr>
            <w:tcW w:w="990" w:type="dxa"/>
            <w:vAlign w:val="center"/>
          </w:tcPr>
          <w:p w14:paraId="5160BB13" w14:textId="77777777" w:rsidR="00CD55F1" w:rsidRDefault="00CD55F1" w:rsidP="00024DD9">
            <w:pPr>
              <w:jc w:val="center"/>
            </w:pPr>
            <w:r>
              <w:t>0</w:t>
            </w:r>
          </w:p>
        </w:tc>
      </w:tr>
      <w:tr w:rsidR="00CD55F1" w:rsidRPr="00F60A9B" w14:paraId="19DCE3EB" w14:textId="77777777" w:rsidTr="00024DD9">
        <w:trPr>
          <w:jc w:val="center"/>
        </w:trPr>
        <w:tc>
          <w:tcPr>
            <w:tcW w:w="874" w:type="dxa"/>
            <w:tcBorders>
              <w:right w:val="single" w:sz="12" w:space="0" w:color="auto"/>
            </w:tcBorders>
          </w:tcPr>
          <w:p w14:paraId="1C137C1D"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328D3635" w14:textId="77777777" w:rsidR="00CD55F1" w:rsidRDefault="00CD55F1" w:rsidP="00024DD9">
            <w:pPr>
              <w:jc w:val="center"/>
            </w:pPr>
            <w:r>
              <w:t>1</w:t>
            </w:r>
          </w:p>
        </w:tc>
        <w:tc>
          <w:tcPr>
            <w:tcW w:w="565" w:type="dxa"/>
            <w:shd w:val="clear" w:color="auto" w:fill="auto"/>
            <w:vAlign w:val="center"/>
          </w:tcPr>
          <w:p w14:paraId="6E6568A4"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436C502B"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2D4C4D60"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634127DA"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55A2B714" w14:textId="77777777" w:rsidR="00CD55F1" w:rsidRDefault="00CD55F1" w:rsidP="00024DD9">
            <w:pPr>
              <w:jc w:val="center"/>
            </w:pPr>
          </w:p>
        </w:tc>
        <w:tc>
          <w:tcPr>
            <w:tcW w:w="874" w:type="dxa"/>
            <w:shd w:val="clear" w:color="auto" w:fill="auto"/>
            <w:vAlign w:val="center"/>
          </w:tcPr>
          <w:p w14:paraId="5E564EC9"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30194AAA" w14:textId="77777777" w:rsidR="00CD55F1" w:rsidRDefault="00CD55F1" w:rsidP="00024DD9">
            <w:pPr>
              <w:jc w:val="center"/>
            </w:pPr>
            <w:r>
              <w:rPr>
                <w:rFonts w:ascii="Calibri" w:hAnsi="Calibri" w:cs="Calibri"/>
              </w:rPr>
              <w:t>0</w:t>
            </w:r>
          </w:p>
        </w:tc>
        <w:tc>
          <w:tcPr>
            <w:tcW w:w="687" w:type="dxa"/>
            <w:vAlign w:val="center"/>
          </w:tcPr>
          <w:p w14:paraId="555226D6" w14:textId="77777777" w:rsidR="00CD55F1" w:rsidRPr="00210DD1" w:rsidRDefault="00CD55F1" w:rsidP="00024DD9">
            <w:pPr>
              <w:jc w:val="center"/>
            </w:pPr>
            <w:r>
              <w:rPr>
                <w:rFonts w:ascii="Calibri" w:hAnsi="Calibri" w:cs="Calibri"/>
              </w:rPr>
              <w:t>3</w:t>
            </w:r>
          </w:p>
        </w:tc>
        <w:tc>
          <w:tcPr>
            <w:tcW w:w="720" w:type="dxa"/>
            <w:vAlign w:val="center"/>
          </w:tcPr>
          <w:p w14:paraId="4BA8B9BB" w14:textId="77777777" w:rsidR="00CD55F1" w:rsidRPr="00210DD1" w:rsidRDefault="00CD55F1" w:rsidP="00024DD9">
            <w:pPr>
              <w:jc w:val="center"/>
            </w:pPr>
            <w:r w:rsidRPr="00F60A9B">
              <w:rPr>
                <w:rFonts w:ascii="Calibri" w:hAnsi="Calibri" w:cs="Calibri"/>
              </w:rPr>
              <w:t>0</w:t>
            </w:r>
          </w:p>
        </w:tc>
        <w:tc>
          <w:tcPr>
            <w:tcW w:w="630" w:type="dxa"/>
            <w:vAlign w:val="center"/>
          </w:tcPr>
          <w:p w14:paraId="22EA1A8B" w14:textId="77777777" w:rsidR="00CD55F1" w:rsidRPr="00210DD1" w:rsidRDefault="00CD55F1" w:rsidP="00024DD9">
            <w:pPr>
              <w:jc w:val="center"/>
            </w:pPr>
            <w:r w:rsidRPr="00F60A9B">
              <w:rPr>
                <w:rFonts w:ascii="Calibri" w:hAnsi="Calibri" w:cs="Calibri"/>
              </w:rPr>
              <w:t>0</w:t>
            </w:r>
          </w:p>
        </w:tc>
        <w:tc>
          <w:tcPr>
            <w:tcW w:w="990" w:type="dxa"/>
            <w:vAlign w:val="center"/>
          </w:tcPr>
          <w:p w14:paraId="0A0917A6" w14:textId="77777777" w:rsidR="00CD55F1" w:rsidRDefault="00CD55F1" w:rsidP="00024DD9">
            <w:pPr>
              <w:jc w:val="center"/>
            </w:pPr>
            <w:r w:rsidRPr="00F60A9B">
              <w:rPr>
                <w:rFonts w:ascii="Calibri" w:hAnsi="Calibri" w:cs="Calibri"/>
              </w:rPr>
              <w:t>0</w:t>
            </w:r>
          </w:p>
        </w:tc>
      </w:tr>
      <w:tr w:rsidR="00CD55F1" w:rsidRPr="00F60A9B" w14:paraId="1BEF30C6" w14:textId="77777777" w:rsidTr="00024DD9">
        <w:trPr>
          <w:jc w:val="center"/>
        </w:trPr>
        <w:tc>
          <w:tcPr>
            <w:tcW w:w="874" w:type="dxa"/>
            <w:tcBorders>
              <w:right w:val="single" w:sz="12" w:space="0" w:color="auto"/>
            </w:tcBorders>
          </w:tcPr>
          <w:p w14:paraId="4A207314"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59EBB5C2" w14:textId="77777777" w:rsidR="00CD55F1" w:rsidRPr="00F60A9B" w:rsidRDefault="00CD55F1" w:rsidP="00024DD9">
            <w:pPr>
              <w:jc w:val="center"/>
            </w:pPr>
            <w:r>
              <w:t>0</w:t>
            </w:r>
          </w:p>
        </w:tc>
        <w:tc>
          <w:tcPr>
            <w:tcW w:w="565" w:type="dxa"/>
            <w:shd w:val="clear" w:color="auto" w:fill="auto"/>
            <w:vAlign w:val="center"/>
          </w:tcPr>
          <w:p w14:paraId="42A8B81B"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5DABBB79"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2043FEBB"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6B900361"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0EDE89F7"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0A5F8799" w14:textId="77777777" w:rsidR="00CD55F1" w:rsidRDefault="00CD55F1" w:rsidP="00024DD9">
            <w:pPr>
              <w:jc w:val="center"/>
            </w:pPr>
            <w:r w:rsidRPr="005B7BEE">
              <w:rPr>
                <w:sz w:val="14"/>
                <w:szCs w:val="14"/>
              </w:rPr>
              <w:t>Probable</w:t>
            </w:r>
          </w:p>
        </w:tc>
        <w:tc>
          <w:tcPr>
            <w:tcW w:w="780" w:type="dxa"/>
            <w:shd w:val="clear" w:color="auto" w:fill="auto"/>
            <w:vAlign w:val="center"/>
          </w:tcPr>
          <w:p w14:paraId="0DE1BB46" w14:textId="77777777" w:rsidR="00CD55F1" w:rsidRDefault="00CD55F1" w:rsidP="00024DD9">
            <w:pPr>
              <w:jc w:val="center"/>
            </w:pPr>
            <w:r>
              <w:rPr>
                <w:rFonts w:ascii="Calibri" w:hAnsi="Calibri" w:cs="Calibri"/>
              </w:rPr>
              <w:t>1</w:t>
            </w:r>
          </w:p>
        </w:tc>
        <w:tc>
          <w:tcPr>
            <w:tcW w:w="687" w:type="dxa"/>
            <w:shd w:val="clear" w:color="auto" w:fill="D9E2F3" w:themeFill="accent1" w:themeFillTint="33"/>
            <w:vAlign w:val="center"/>
          </w:tcPr>
          <w:p w14:paraId="27DA12DF" w14:textId="77777777" w:rsidR="00CD55F1" w:rsidRDefault="00CD55F1" w:rsidP="00024DD9">
            <w:pPr>
              <w:jc w:val="center"/>
            </w:pPr>
            <w:r>
              <w:rPr>
                <w:rFonts w:ascii="Calibri" w:hAnsi="Calibri" w:cs="Calibri"/>
              </w:rPr>
              <w:t>2</w:t>
            </w:r>
          </w:p>
        </w:tc>
        <w:tc>
          <w:tcPr>
            <w:tcW w:w="720" w:type="dxa"/>
            <w:vAlign w:val="center"/>
          </w:tcPr>
          <w:p w14:paraId="7412AF74" w14:textId="77777777" w:rsidR="00CD55F1" w:rsidRDefault="00CD55F1" w:rsidP="00024DD9">
            <w:pPr>
              <w:jc w:val="center"/>
            </w:pPr>
            <w:r>
              <w:rPr>
                <w:rFonts w:ascii="Calibri" w:hAnsi="Calibri" w:cs="Calibri"/>
              </w:rPr>
              <w:t>0</w:t>
            </w:r>
          </w:p>
        </w:tc>
        <w:tc>
          <w:tcPr>
            <w:tcW w:w="630" w:type="dxa"/>
            <w:vAlign w:val="center"/>
          </w:tcPr>
          <w:p w14:paraId="0BE1E90F" w14:textId="77777777" w:rsidR="00CD55F1" w:rsidRDefault="00CD55F1" w:rsidP="00024DD9">
            <w:pPr>
              <w:jc w:val="center"/>
            </w:pPr>
            <w:r w:rsidRPr="00F60A9B">
              <w:rPr>
                <w:rFonts w:ascii="Calibri" w:hAnsi="Calibri" w:cs="Calibri"/>
              </w:rPr>
              <w:t>1</w:t>
            </w:r>
          </w:p>
        </w:tc>
        <w:tc>
          <w:tcPr>
            <w:tcW w:w="990" w:type="dxa"/>
            <w:vAlign w:val="center"/>
          </w:tcPr>
          <w:p w14:paraId="74B697EC" w14:textId="77777777" w:rsidR="00CD55F1" w:rsidRDefault="00CD55F1" w:rsidP="00024DD9">
            <w:pPr>
              <w:jc w:val="center"/>
            </w:pPr>
            <w:r w:rsidRPr="00F60A9B">
              <w:rPr>
                <w:rFonts w:ascii="Calibri" w:hAnsi="Calibri" w:cs="Calibri"/>
              </w:rPr>
              <w:t>0</w:t>
            </w:r>
          </w:p>
        </w:tc>
      </w:tr>
      <w:tr w:rsidR="00CD55F1" w:rsidRPr="00F60A9B" w14:paraId="420F0B96" w14:textId="77777777" w:rsidTr="00024DD9">
        <w:trPr>
          <w:jc w:val="center"/>
        </w:trPr>
        <w:tc>
          <w:tcPr>
            <w:tcW w:w="874" w:type="dxa"/>
            <w:tcBorders>
              <w:right w:val="single" w:sz="12" w:space="0" w:color="auto"/>
            </w:tcBorders>
          </w:tcPr>
          <w:p w14:paraId="422ECF1B"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18CC1AF9"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693385F7"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78A747D1"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447B1D21" w14:textId="77777777" w:rsidR="00CD55F1" w:rsidRPr="00210DD1" w:rsidRDefault="00CD55F1" w:rsidP="00024DD9">
            <w:pPr>
              <w:jc w:val="center"/>
            </w:pPr>
            <w:r>
              <w:t>2</w:t>
            </w:r>
          </w:p>
        </w:tc>
        <w:tc>
          <w:tcPr>
            <w:tcW w:w="950" w:type="dxa"/>
            <w:shd w:val="clear" w:color="auto" w:fill="auto"/>
            <w:vAlign w:val="center"/>
          </w:tcPr>
          <w:p w14:paraId="42194CBC"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5FA1A8A7" w14:textId="77777777" w:rsidR="00CD55F1" w:rsidRDefault="00CD55F1" w:rsidP="00024DD9">
            <w:pPr>
              <w:jc w:val="center"/>
            </w:pPr>
          </w:p>
        </w:tc>
        <w:tc>
          <w:tcPr>
            <w:tcW w:w="874" w:type="dxa"/>
            <w:shd w:val="clear" w:color="auto" w:fill="auto"/>
            <w:vAlign w:val="center"/>
          </w:tcPr>
          <w:p w14:paraId="57CFFF22" w14:textId="77777777" w:rsidR="00CD55F1" w:rsidRDefault="00CD55F1" w:rsidP="00024DD9">
            <w:pPr>
              <w:jc w:val="center"/>
            </w:pPr>
            <w:r w:rsidRPr="005B7BEE">
              <w:rPr>
                <w:sz w:val="14"/>
                <w:szCs w:val="14"/>
              </w:rPr>
              <w:t>Occasional</w:t>
            </w:r>
          </w:p>
        </w:tc>
        <w:tc>
          <w:tcPr>
            <w:tcW w:w="780" w:type="dxa"/>
            <w:shd w:val="clear" w:color="auto" w:fill="auto"/>
            <w:vAlign w:val="center"/>
          </w:tcPr>
          <w:p w14:paraId="617BADD7" w14:textId="77777777" w:rsidR="00CD55F1" w:rsidRDefault="00CD55F1" w:rsidP="00024DD9">
            <w:pPr>
              <w:jc w:val="center"/>
            </w:pPr>
            <w:r>
              <w:rPr>
                <w:rFonts w:ascii="Calibri" w:hAnsi="Calibri" w:cs="Calibri"/>
              </w:rPr>
              <w:t>1</w:t>
            </w:r>
          </w:p>
        </w:tc>
        <w:tc>
          <w:tcPr>
            <w:tcW w:w="687" w:type="dxa"/>
            <w:shd w:val="clear" w:color="auto" w:fill="D9E2F3" w:themeFill="accent1" w:themeFillTint="33"/>
            <w:vAlign w:val="center"/>
          </w:tcPr>
          <w:p w14:paraId="60C8FFEC" w14:textId="77777777" w:rsidR="00CD55F1" w:rsidRDefault="00CD55F1" w:rsidP="00024DD9">
            <w:pPr>
              <w:jc w:val="center"/>
            </w:pPr>
            <w:r>
              <w:rPr>
                <w:rFonts w:ascii="Calibri" w:hAnsi="Calibri" w:cs="Calibri"/>
              </w:rPr>
              <w:t>0</w:t>
            </w:r>
          </w:p>
        </w:tc>
        <w:tc>
          <w:tcPr>
            <w:tcW w:w="720" w:type="dxa"/>
            <w:vAlign w:val="center"/>
          </w:tcPr>
          <w:p w14:paraId="1A0EF361" w14:textId="77777777" w:rsidR="00CD55F1" w:rsidRDefault="00CD55F1" w:rsidP="00024DD9">
            <w:pPr>
              <w:jc w:val="center"/>
            </w:pPr>
            <w:r>
              <w:rPr>
                <w:rFonts w:ascii="Calibri" w:hAnsi="Calibri" w:cs="Calibri"/>
              </w:rPr>
              <w:t>0</w:t>
            </w:r>
          </w:p>
        </w:tc>
        <w:tc>
          <w:tcPr>
            <w:tcW w:w="630" w:type="dxa"/>
            <w:vAlign w:val="center"/>
          </w:tcPr>
          <w:p w14:paraId="4A9B8044" w14:textId="77777777" w:rsidR="00CD55F1" w:rsidRDefault="00CD55F1" w:rsidP="00024DD9">
            <w:pPr>
              <w:jc w:val="center"/>
            </w:pPr>
            <w:r>
              <w:rPr>
                <w:rFonts w:ascii="Calibri" w:hAnsi="Calibri" w:cs="Calibri"/>
              </w:rPr>
              <w:t>0</w:t>
            </w:r>
          </w:p>
        </w:tc>
        <w:tc>
          <w:tcPr>
            <w:tcW w:w="990" w:type="dxa"/>
            <w:vAlign w:val="center"/>
          </w:tcPr>
          <w:p w14:paraId="4A949B1A" w14:textId="77777777" w:rsidR="00CD55F1" w:rsidRDefault="00CD55F1" w:rsidP="00024DD9">
            <w:pPr>
              <w:jc w:val="center"/>
            </w:pPr>
            <w:r w:rsidRPr="00F60A9B">
              <w:rPr>
                <w:rFonts w:ascii="Calibri" w:hAnsi="Calibri" w:cs="Calibri"/>
              </w:rPr>
              <w:t>1</w:t>
            </w:r>
          </w:p>
        </w:tc>
      </w:tr>
      <w:tr w:rsidR="00CD55F1" w:rsidRPr="00F60A9B" w14:paraId="50D71666" w14:textId="77777777" w:rsidTr="00024DD9">
        <w:trPr>
          <w:jc w:val="center"/>
        </w:trPr>
        <w:tc>
          <w:tcPr>
            <w:tcW w:w="874" w:type="dxa"/>
            <w:tcBorders>
              <w:right w:val="single" w:sz="12" w:space="0" w:color="auto"/>
            </w:tcBorders>
          </w:tcPr>
          <w:p w14:paraId="563C5CD9"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64C2C520" w14:textId="77777777" w:rsidR="00CD55F1" w:rsidRPr="00F60A9B" w:rsidRDefault="00CD55F1" w:rsidP="00024DD9">
            <w:pPr>
              <w:jc w:val="center"/>
            </w:pPr>
            <w:r>
              <w:rPr>
                <w:rFonts w:ascii="Calibri" w:hAnsi="Calibri" w:cs="Calibri"/>
              </w:rPr>
              <w:t>3</w:t>
            </w:r>
          </w:p>
        </w:tc>
        <w:tc>
          <w:tcPr>
            <w:tcW w:w="565" w:type="dxa"/>
            <w:vAlign w:val="center"/>
          </w:tcPr>
          <w:p w14:paraId="1F1143BB" w14:textId="77777777" w:rsidR="00CD55F1" w:rsidRPr="00210DD1" w:rsidRDefault="00CD55F1" w:rsidP="00024DD9">
            <w:pPr>
              <w:jc w:val="center"/>
            </w:pPr>
            <w:r>
              <w:rPr>
                <w:rFonts w:ascii="Calibri" w:hAnsi="Calibri" w:cs="Calibri"/>
              </w:rPr>
              <w:t>0</w:t>
            </w:r>
          </w:p>
        </w:tc>
        <w:tc>
          <w:tcPr>
            <w:tcW w:w="634" w:type="dxa"/>
            <w:vAlign w:val="center"/>
          </w:tcPr>
          <w:p w14:paraId="74600E02" w14:textId="77777777" w:rsidR="00CD55F1" w:rsidRPr="00210DD1" w:rsidRDefault="00CD55F1" w:rsidP="00024DD9">
            <w:pPr>
              <w:jc w:val="center"/>
            </w:pPr>
            <w:r>
              <w:rPr>
                <w:rFonts w:ascii="Calibri" w:hAnsi="Calibri" w:cs="Calibri"/>
              </w:rPr>
              <w:t>0</w:t>
            </w:r>
          </w:p>
        </w:tc>
        <w:tc>
          <w:tcPr>
            <w:tcW w:w="607" w:type="dxa"/>
            <w:vAlign w:val="center"/>
          </w:tcPr>
          <w:p w14:paraId="240661F5" w14:textId="77777777" w:rsidR="00CD55F1" w:rsidRPr="00210DD1" w:rsidRDefault="00CD55F1" w:rsidP="00024DD9">
            <w:pPr>
              <w:jc w:val="center"/>
            </w:pPr>
            <w:r>
              <w:rPr>
                <w:rFonts w:ascii="Calibri" w:hAnsi="Calibri" w:cs="Calibri"/>
              </w:rPr>
              <w:t>3</w:t>
            </w:r>
          </w:p>
        </w:tc>
        <w:tc>
          <w:tcPr>
            <w:tcW w:w="950" w:type="dxa"/>
            <w:vAlign w:val="center"/>
          </w:tcPr>
          <w:p w14:paraId="23E8B7F7"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31E64EE8" w14:textId="77777777" w:rsidR="00CD55F1" w:rsidRDefault="00CD55F1" w:rsidP="00024DD9">
            <w:pPr>
              <w:jc w:val="center"/>
            </w:pPr>
          </w:p>
        </w:tc>
        <w:tc>
          <w:tcPr>
            <w:tcW w:w="874" w:type="dxa"/>
            <w:vAlign w:val="center"/>
          </w:tcPr>
          <w:p w14:paraId="6B6DDB64" w14:textId="77777777" w:rsidR="00CD55F1" w:rsidRDefault="00CD55F1" w:rsidP="00024DD9">
            <w:pPr>
              <w:jc w:val="center"/>
            </w:pPr>
            <w:r w:rsidRPr="005B7BEE">
              <w:rPr>
                <w:sz w:val="14"/>
                <w:szCs w:val="14"/>
              </w:rPr>
              <w:t>Remote</w:t>
            </w:r>
          </w:p>
        </w:tc>
        <w:tc>
          <w:tcPr>
            <w:tcW w:w="780" w:type="dxa"/>
            <w:vAlign w:val="center"/>
          </w:tcPr>
          <w:p w14:paraId="7086859C" w14:textId="77777777" w:rsidR="00CD55F1" w:rsidRDefault="00CD55F1" w:rsidP="00024DD9">
            <w:pPr>
              <w:jc w:val="center"/>
            </w:pPr>
            <w:r>
              <w:rPr>
                <w:rFonts w:ascii="Calibri" w:hAnsi="Calibri" w:cs="Calibri"/>
              </w:rPr>
              <w:t>0</w:t>
            </w:r>
          </w:p>
        </w:tc>
        <w:tc>
          <w:tcPr>
            <w:tcW w:w="687" w:type="dxa"/>
            <w:vAlign w:val="center"/>
          </w:tcPr>
          <w:p w14:paraId="73C09C4B" w14:textId="77777777" w:rsidR="00CD55F1" w:rsidRDefault="00CD55F1" w:rsidP="00024DD9">
            <w:pPr>
              <w:jc w:val="center"/>
            </w:pPr>
            <w:r>
              <w:rPr>
                <w:rFonts w:ascii="Calibri" w:hAnsi="Calibri" w:cs="Calibri"/>
              </w:rPr>
              <w:t>2</w:t>
            </w:r>
          </w:p>
        </w:tc>
        <w:tc>
          <w:tcPr>
            <w:tcW w:w="720" w:type="dxa"/>
            <w:vAlign w:val="center"/>
          </w:tcPr>
          <w:p w14:paraId="3F38D55E" w14:textId="77777777" w:rsidR="00CD55F1" w:rsidRDefault="00CD55F1" w:rsidP="00024DD9">
            <w:pPr>
              <w:jc w:val="center"/>
            </w:pPr>
            <w:r>
              <w:rPr>
                <w:rFonts w:ascii="Calibri" w:hAnsi="Calibri" w:cs="Calibri"/>
              </w:rPr>
              <w:t>0</w:t>
            </w:r>
          </w:p>
        </w:tc>
        <w:tc>
          <w:tcPr>
            <w:tcW w:w="630" w:type="dxa"/>
            <w:vAlign w:val="center"/>
          </w:tcPr>
          <w:p w14:paraId="025E5530" w14:textId="77777777" w:rsidR="00CD55F1" w:rsidRDefault="00CD55F1" w:rsidP="00024DD9">
            <w:pPr>
              <w:jc w:val="center"/>
            </w:pPr>
            <w:r>
              <w:rPr>
                <w:rFonts w:ascii="Calibri" w:hAnsi="Calibri" w:cs="Calibri"/>
              </w:rPr>
              <w:t>0</w:t>
            </w:r>
          </w:p>
        </w:tc>
        <w:tc>
          <w:tcPr>
            <w:tcW w:w="990" w:type="dxa"/>
            <w:vAlign w:val="center"/>
          </w:tcPr>
          <w:p w14:paraId="77F6C456" w14:textId="77777777" w:rsidR="00CD55F1" w:rsidRDefault="00CD55F1" w:rsidP="00024DD9">
            <w:pPr>
              <w:jc w:val="center"/>
            </w:pPr>
            <w:r>
              <w:rPr>
                <w:rFonts w:ascii="Calibri" w:hAnsi="Calibri" w:cs="Calibri"/>
              </w:rPr>
              <w:t>0</w:t>
            </w:r>
          </w:p>
        </w:tc>
      </w:tr>
      <w:tr w:rsidR="00CD55F1" w:rsidRPr="00F60A9B" w14:paraId="2F1CDB85" w14:textId="77777777" w:rsidTr="00024DD9">
        <w:trPr>
          <w:jc w:val="center"/>
        </w:trPr>
        <w:tc>
          <w:tcPr>
            <w:tcW w:w="874" w:type="dxa"/>
            <w:tcBorders>
              <w:right w:val="single" w:sz="12" w:space="0" w:color="auto"/>
            </w:tcBorders>
          </w:tcPr>
          <w:p w14:paraId="66831AE6"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4EABCD35" w14:textId="77777777" w:rsidR="00CD55F1" w:rsidRPr="00F60A9B" w:rsidRDefault="00CD55F1" w:rsidP="00024DD9">
            <w:pPr>
              <w:jc w:val="center"/>
            </w:pPr>
            <w:r>
              <w:rPr>
                <w:rFonts w:ascii="Calibri" w:hAnsi="Calibri" w:cs="Calibri"/>
              </w:rPr>
              <w:t>0</w:t>
            </w:r>
          </w:p>
        </w:tc>
        <w:tc>
          <w:tcPr>
            <w:tcW w:w="565" w:type="dxa"/>
            <w:vAlign w:val="center"/>
          </w:tcPr>
          <w:p w14:paraId="2FEC5A6C" w14:textId="77777777" w:rsidR="00CD55F1" w:rsidRPr="00210DD1" w:rsidRDefault="00CD55F1" w:rsidP="00024DD9">
            <w:pPr>
              <w:jc w:val="center"/>
            </w:pPr>
            <w:r>
              <w:rPr>
                <w:rFonts w:ascii="Calibri" w:hAnsi="Calibri" w:cs="Calibri"/>
              </w:rPr>
              <w:t>0</w:t>
            </w:r>
          </w:p>
        </w:tc>
        <w:tc>
          <w:tcPr>
            <w:tcW w:w="634" w:type="dxa"/>
            <w:vAlign w:val="center"/>
          </w:tcPr>
          <w:p w14:paraId="1955B7DB" w14:textId="77777777" w:rsidR="00CD55F1" w:rsidRPr="00210DD1" w:rsidRDefault="00CD55F1" w:rsidP="00024DD9">
            <w:pPr>
              <w:jc w:val="center"/>
            </w:pPr>
            <w:r>
              <w:rPr>
                <w:rFonts w:ascii="Calibri" w:hAnsi="Calibri" w:cs="Calibri"/>
              </w:rPr>
              <w:t>0</w:t>
            </w:r>
          </w:p>
        </w:tc>
        <w:tc>
          <w:tcPr>
            <w:tcW w:w="607" w:type="dxa"/>
            <w:vAlign w:val="center"/>
          </w:tcPr>
          <w:p w14:paraId="087AFF24" w14:textId="77777777" w:rsidR="00CD55F1" w:rsidRPr="00210DD1" w:rsidRDefault="00CD55F1" w:rsidP="00024DD9">
            <w:pPr>
              <w:jc w:val="center"/>
            </w:pPr>
            <w:r>
              <w:rPr>
                <w:rFonts w:ascii="Calibri" w:hAnsi="Calibri" w:cs="Calibri"/>
              </w:rPr>
              <w:t>0</w:t>
            </w:r>
          </w:p>
        </w:tc>
        <w:tc>
          <w:tcPr>
            <w:tcW w:w="950" w:type="dxa"/>
            <w:vAlign w:val="center"/>
          </w:tcPr>
          <w:p w14:paraId="719AAC7E"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55D84240" w14:textId="77777777" w:rsidR="00CD55F1" w:rsidRDefault="00CD55F1" w:rsidP="00024DD9">
            <w:pPr>
              <w:keepNext/>
              <w:jc w:val="center"/>
            </w:pPr>
          </w:p>
        </w:tc>
        <w:tc>
          <w:tcPr>
            <w:tcW w:w="874" w:type="dxa"/>
            <w:vAlign w:val="center"/>
          </w:tcPr>
          <w:p w14:paraId="6472816A" w14:textId="77777777" w:rsidR="00CD55F1" w:rsidRDefault="00CD55F1" w:rsidP="00024DD9">
            <w:pPr>
              <w:keepNext/>
              <w:jc w:val="center"/>
            </w:pPr>
            <w:r w:rsidRPr="005B7BEE">
              <w:rPr>
                <w:sz w:val="14"/>
                <w:szCs w:val="14"/>
              </w:rPr>
              <w:t>Improbable</w:t>
            </w:r>
          </w:p>
        </w:tc>
        <w:tc>
          <w:tcPr>
            <w:tcW w:w="780" w:type="dxa"/>
            <w:vAlign w:val="center"/>
          </w:tcPr>
          <w:p w14:paraId="17DBBC7E" w14:textId="77777777" w:rsidR="00CD55F1" w:rsidRDefault="00CD55F1" w:rsidP="00024DD9">
            <w:pPr>
              <w:keepNext/>
              <w:jc w:val="center"/>
            </w:pPr>
            <w:r>
              <w:rPr>
                <w:rFonts w:ascii="Calibri" w:hAnsi="Calibri" w:cs="Calibri"/>
              </w:rPr>
              <w:t>0</w:t>
            </w:r>
          </w:p>
        </w:tc>
        <w:tc>
          <w:tcPr>
            <w:tcW w:w="687" w:type="dxa"/>
            <w:vAlign w:val="center"/>
          </w:tcPr>
          <w:p w14:paraId="63DAE059" w14:textId="77777777" w:rsidR="00CD55F1" w:rsidRDefault="00CD55F1" w:rsidP="00024DD9">
            <w:pPr>
              <w:keepNext/>
              <w:jc w:val="center"/>
            </w:pPr>
            <w:r>
              <w:rPr>
                <w:rFonts w:ascii="Calibri" w:hAnsi="Calibri" w:cs="Calibri"/>
              </w:rPr>
              <w:t>1</w:t>
            </w:r>
          </w:p>
        </w:tc>
        <w:tc>
          <w:tcPr>
            <w:tcW w:w="720" w:type="dxa"/>
            <w:vAlign w:val="center"/>
          </w:tcPr>
          <w:p w14:paraId="5EDDA779" w14:textId="77777777" w:rsidR="00CD55F1" w:rsidRDefault="00CD55F1" w:rsidP="00024DD9">
            <w:pPr>
              <w:keepNext/>
              <w:jc w:val="center"/>
            </w:pPr>
            <w:r>
              <w:rPr>
                <w:rFonts w:ascii="Calibri" w:hAnsi="Calibri" w:cs="Calibri"/>
              </w:rPr>
              <w:t>0</w:t>
            </w:r>
          </w:p>
        </w:tc>
        <w:tc>
          <w:tcPr>
            <w:tcW w:w="630" w:type="dxa"/>
            <w:vAlign w:val="center"/>
          </w:tcPr>
          <w:p w14:paraId="786EB16F" w14:textId="77777777" w:rsidR="00CD55F1" w:rsidRDefault="00CD55F1" w:rsidP="00024DD9">
            <w:pPr>
              <w:keepNext/>
              <w:jc w:val="center"/>
            </w:pPr>
            <w:r>
              <w:rPr>
                <w:rFonts w:ascii="Calibri" w:hAnsi="Calibri" w:cs="Calibri"/>
              </w:rPr>
              <w:t>9</w:t>
            </w:r>
          </w:p>
        </w:tc>
        <w:tc>
          <w:tcPr>
            <w:tcW w:w="990" w:type="dxa"/>
            <w:vAlign w:val="center"/>
          </w:tcPr>
          <w:p w14:paraId="4999DF6B" w14:textId="77777777" w:rsidR="00CD55F1" w:rsidRDefault="00CD55F1" w:rsidP="00024DD9">
            <w:pPr>
              <w:keepNext/>
              <w:jc w:val="center"/>
            </w:pPr>
            <w:r w:rsidRPr="00F60A9B">
              <w:rPr>
                <w:rFonts w:ascii="Calibri" w:hAnsi="Calibri" w:cs="Calibri"/>
              </w:rPr>
              <w:t>0</w:t>
            </w:r>
          </w:p>
        </w:tc>
      </w:tr>
    </w:tbl>
    <w:p w14:paraId="011E5A62" w14:textId="63F9D03A" w:rsidR="00CD55F1" w:rsidRDefault="00CD55F1" w:rsidP="00CD55F1">
      <w:pPr>
        <w:pStyle w:val="Caption"/>
        <w:keepNext/>
        <w:spacing w:before="120"/>
        <w:jc w:val="center"/>
      </w:pPr>
      <w:bookmarkStart w:id="65" w:name="_Ref147730250"/>
      <w:r>
        <w:t xml:space="preserve">Equation </w:t>
      </w:r>
      <w:r>
        <w:fldChar w:fldCharType="begin"/>
      </w:r>
      <w:r>
        <w:instrText xml:space="preserve"> SEQ Equation \* ARABIC </w:instrText>
      </w:r>
      <w:r>
        <w:fldChar w:fldCharType="separate"/>
      </w:r>
      <w:r w:rsidR="003468AE">
        <w:rPr>
          <w:noProof/>
        </w:rPr>
        <w:t>17</w:t>
      </w:r>
      <w:r>
        <w:rPr>
          <w:noProof/>
        </w:rPr>
        <w:fldChar w:fldCharType="end"/>
      </w:r>
      <w:bookmarkEnd w:id="65"/>
    </w:p>
    <w:p w14:paraId="047E05A5" w14:textId="28A18F29" w:rsidR="00CD55F1" w:rsidRDefault="00CD55F1" w:rsidP="00CD55F1">
      <w:r>
        <w:t xml:space="preserve">Finally, we can also add identical risks to both sides of a risk equation without changing whether the equation is true in order to set-up other risk algebra rules; e.g., we can ‘add’ an ‘Improbable / Critical’ risk to both sides of </w:t>
      </w:r>
      <w:r>
        <w:fldChar w:fldCharType="begin"/>
      </w:r>
      <w:r>
        <w:instrText xml:space="preserve"> REF _Ref147730250 \h </w:instrText>
      </w:r>
      <w:r>
        <w:fldChar w:fldCharType="separate"/>
      </w:r>
      <w:r w:rsidR="001E41EA">
        <w:t xml:space="preserve">Equation </w:t>
      </w:r>
      <w:r w:rsidR="001E41EA">
        <w:rPr>
          <w:noProof/>
        </w:rPr>
        <w:t>17</w:t>
      </w:r>
      <w:r>
        <w:fldChar w:fldCharType="end"/>
      </w:r>
      <w:r>
        <w:t xml:space="preserve">, as shown below: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00455D55" w14:textId="77777777" w:rsidTr="00024DD9">
        <w:trPr>
          <w:tblHeader/>
          <w:jc w:val="center"/>
        </w:trPr>
        <w:tc>
          <w:tcPr>
            <w:tcW w:w="874" w:type="dxa"/>
            <w:tcBorders>
              <w:top w:val="nil"/>
              <w:left w:val="nil"/>
              <w:bottom w:val="single" w:sz="4" w:space="0" w:color="auto"/>
            </w:tcBorders>
            <w:vAlign w:val="center"/>
          </w:tcPr>
          <w:p w14:paraId="71AB4C94"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53A5B399"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16E7C97B"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55291F71"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25A80EE4"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3B4FF654" w14:textId="77777777" w:rsidR="00CD55F1" w:rsidRPr="005B7BEE" w:rsidRDefault="00CD55F1" w:rsidP="00024DD9">
            <w:pPr>
              <w:jc w:val="center"/>
              <w:rPr>
                <w:sz w:val="14"/>
                <w:szCs w:val="14"/>
              </w:rPr>
            </w:pPr>
            <w:r w:rsidRPr="005B7BEE">
              <w:rPr>
                <w:sz w:val="14"/>
                <w:szCs w:val="14"/>
              </w:rPr>
              <w:t xml:space="preserve">Catastrophic </w:t>
            </w:r>
          </w:p>
          <w:p w14:paraId="05A9C285"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5C981F2A"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52F06699"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6B9CDB57"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7B9777B0"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7CD7881B"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738D66AC"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12A8BFDC" w14:textId="77777777" w:rsidR="00CD55F1" w:rsidRPr="005B7BEE" w:rsidRDefault="00CD55F1" w:rsidP="00024DD9">
            <w:pPr>
              <w:jc w:val="center"/>
              <w:rPr>
                <w:sz w:val="14"/>
                <w:szCs w:val="14"/>
              </w:rPr>
            </w:pPr>
            <w:r w:rsidRPr="005B7BEE">
              <w:rPr>
                <w:sz w:val="14"/>
                <w:szCs w:val="14"/>
              </w:rPr>
              <w:t xml:space="preserve">Catastrophic </w:t>
            </w:r>
          </w:p>
          <w:p w14:paraId="6ED519A2"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6AF06C0F" w14:textId="77777777" w:rsidTr="00024DD9">
        <w:trPr>
          <w:jc w:val="center"/>
        </w:trPr>
        <w:tc>
          <w:tcPr>
            <w:tcW w:w="874" w:type="dxa"/>
            <w:tcBorders>
              <w:top w:val="single" w:sz="4" w:space="0" w:color="auto"/>
              <w:right w:val="single" w:sz="12" w:space="0" w:color="auto"/>
            </w:tcBorders>
          </w:tcPr>
          <w:p w14:paraId="001A3490"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085F3203" w14:textId="77777777" w:rsidR="00CD55F1" w:rsidRPr="00F60A9B" w:rsidRDefault="00CD55F1" w:rsidP="00024DD9">
            <w:pPr>
              <w:jc w:val="center"/>
            </w:pPr>
            <w:r>
              <w:t>0</w:t>
            </w:r>
          </w:p>
        </w:tc>
        <w:tc>
          <w:tcPr>
            <w:tcW w:w="565" w:type="dxa"/>
            <w:tcBorders>
              <w:top w:val="single" w:sz="12" w:space="0" w:color="auto"/>
            </w:tcBorders>
            <w:vAlign w:val="center"/>
          </w:tcPr>
          <w:p w14:paraId="470E59B2" w14:textId="77777777" w:rsidR="00CD55F1" w:rsidRPr="00210DD1" w:rsidRDefault="00CD55F1" w:rsidP="00024DD9">
            <w:pPr>
              <w:jc w:val="center"/>
            </w:pPr>
            <w:r>
              <w:t>0</w:t>
            </w:r>
          </w:p>
        </w:tc>
        <w:tc>
          <w:tcPr>
            <w:tcW w:w="634" w:type="dxa"/>
            <w:tcBorders>
              <w:top w:val="single" w:sz="12" w:space="0" w:color="auto"/>
            </w:tcBorders>
            <w:vAlign w:val="center"/>
          </w:tcPr>
          <w:p w14:paraId="0C93D3D8" w14:textId="77777777" w:rsidR="00CD55F1" w:rsidRPr="00210DD1" w:rsidRDefault="00CD55F1" w:rsidP="00024DD9">
            <w:pPr>
              <w:jc w:val="center"/>
            </w:pPr>
            <w:r>
              <w:t>0</w:t>
            </w:r>
          </w:p>
        </w:tc>
        <w:tc>
          <w:tcPr>
            <w:tcW w:w="607" w:type="dxa"/>
            <w:tcBorders>
              <w:top w:val="single" w:sz="12" w:space="0" w:color="auto"/>
            </w:tcBorders>
            <w:vAlign w:val="center"/>
          </w:tcPr>
          <w:p w14:paraId="1E32CAC8" w14:textId="77777777" w:rsidR="00CD55F1" w:rsidRPr="00210DD1" w:rsidRDefault="00CD55F1" w:rsidP="00024DD9">
            <w:pPr>
              <w:jc w:val="center"/>
            </w:pPr>
            <w:r>
              <w:t>0</w:t>
            </w:r>
          </w:p>
        </w:tc>
        <w:tc>
          <w:tcPr>
            <w:tcW w:w="950" w:type="dxa"/>
            <w:tcBorders>
              <w:top w:val="single" w:sz="12" w:space="0" w:color="auto"/>
            </w:tcBorders>
            <w:vAlign w:val="center"/>
          </w:tcPr>
          <w:p w14:paraId="1D9A0ECF" w14:textId="77777777" w:rsidR="00CD55F1" w:rsidRPr="00F60A9B" w:rsidRDefault="00CD55F1" w:rsidP="00024DD9">
            <w:pPr>
              <w:jc w:val="center"/>
            </w:pPr>
            <w:r>
              <w:t>0</w:t>
            </w:r>
          </w:p>
        </w:tc>
        <w:tc>
          <w:tcPr>
            <w:tcW w:w="359" w:type="dxa"/>
            <w:tcBorders>
              <w:top w:val="nil"/>
              <w:left w:val="nil"/>
              <w:bottom w:val="nil"/>
              <w:right w:val="nil"/>
            </w:tcBorders>
            <w:vAlign w:val="center"/>
          </w:tcPr>
          <w:p w14:paraId="3A36DEDC" w14:textId="77777777" w:rsidR="00CD55F1" w:rsidRDefault="00CD55F1" w:rsidP="00024DD9">
            <w:pPr>
              <w:jc w:val="center"/>
            </w:pPr>
          </w:p>
        </w:tc>
        <w:tc>
          <w:tcPr>
            <w:tcW w:w="874" w:type="dxa"/>
            <w:tcBorders>
              <w:top w:val="single" w:sz="12" w:space="0" w:color="auto"/>
            </w:tcBorders>
            <w:vAlign w:val="center"/>
          </w:tcPr>
          <w:p w14:paraId="66107895"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20EEE417" w14:textId="77777777" w:rsidR="00CD55F1" w:rsidRDefault="00CD55F1" w:rsidP="00024DD9">
            <w:pPr>
              <w:jc w:val="center"/>
            </w:pPr>
            <w:r>
              <w:t>0</w:t>
            </w:r>
          </w:p>
        </w:tc>
        <w:tc>
          <w:tcPr>
            <w:tcW w:w="687" w:type="dxa"/>
            <w:tcBorders>
              <w:top w:val="single" w:sz="12" w:space="0" w:color="auto"/>
            </w:tcBorders>
            <w:vAlign w:val="center"/>
          </w:tcPr>
          <w:p w14:paraId="07B118C8" w14:textId="77777777" w:rsidR="00CD55F1" w:rsidRDefault="00CD55F1" w:rsidP="00024DD9">
            <w:pPr>
              <w:jc w:val="center"/>
            </w:pPr>
            <w:r>
              <w:t>0</w:t>
            </w:r>
          </w:p>
        </w:tc>
        <w:tc>
          <w:tcPr>
            <w:tcW w:w="720" w:type="dxa"/>
            <w:tcBorders>
              <w:top w:val="single" w:sz="12" w:space="0" w:color="auto"/>
            </w:tcBorders>
            <w:vAlign w:val="center"/>
          </w:tcPr>
          <w:p w14:paraId="30105CA4" w14:textId="77777777" w:rsidR="00CD55F1" w:rsidRDefault="00CD55F1" w:rsidP="00024DD9">
            <w:pPr>
              <w:jc w:val="center"/>
            </w:pPr>
            <w:r>
              <w:t>0</w:t>
            </w:r>
          </w:p>
        </w:tc>
        <w:tc>
          <w:tcPr>
            <w:tcW w:w="630" w:type="dxa"/>
            <w:tcBorders>
              <w:top w:val="single" w:sz="12" w:space="0" w:color="auto"/>
            </w:tcBorders>
            <w:vAlign w:val="center"/>
          </w:tcPr>
          <w:p w14:paraId="7EBECAF4" w14:textId="77777777" w:rsidR="00CD55F1" w:rsidRDefault="00CD55F1" w:rsidP="00024DD9">
            <w:pPr>
              <w:jc w:val="center"/>
            </w:pPr>
            <w:r>
              <w:t>0</w:t>
            </w:r>
          </w:p>
        </w:tc>
        <w:tc>
          <w:tcPr>
            <w:tcW w:w="990" w:type="dxa"/>
            <w:tcBorders>
              <w:top w:val="single" w:sz="12" w:space="0" w:color="auto"/>
            </w:tcBorders>
            <w:vAlign w:val="center"/>
          </w:tcPr>
          <w:p w14:paraId="787CE880" w14:textId="77777777" w:rsidR="00CD55F1" w:rsidRDefault="00CD55F1" w:rsidP="00024DD9">
            <w:pPr>
              <w:jc w:val="center"/>
            </w:pPr>
            <w:r>
              <w:t>0</w:t>
            </w:r>
          </w:p>
        </w:tc>
      </w:tr>
      <w:tr w:rsidR="00CD55F1" w:rsidRPr="00F60A9B" w14:paraId="017E023F" w14:textId="77777777" w:rsidTr="00024DD9">
        <w:trPr>
          <w:jc w:val="center"/>
        </w:trPr>
        <w:tc>
          <w:tcPr>
            <w:tcW w:w="874" w:type="dxa"/>
            <w:tcBorders>
              <w:right w:val="single" w:sz="12" w:space="0" w:color="auto"/>
            </w:tcBorders>
          </w:tcPr>
          <w:p w14:paraId="246E7B81"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3D84C7AD" w14:textId="77777777" w:rsidR="00CD55F1" w:rsidRDefault="00CD55F1" w:rsidP="00024DD9">
            <w:pPr>
              <w:jc w:val="center"/>
            </w:pPr>
            <w:r>
              <w:t>0</w:t>
            </w:r>
          </w:p>
        </w:tc>
        <w:tc>
          <w:tcPr>
            <w:tcW w:w="565" w:type="dxa"/>
            <w:vAlign w:val="center"/>
          </w:tcPr>
          <w:p w14:paraId="29ECFA16" w14:textId="77777777" w:rsidR="00CD55F1" w:rsidRPr="00210DD1" w:rsidRDefault="00CD55F1" w:rsidP="00024DD9">
            <w:pPr>
              <w:jc w:val="center"/>
            </w:pPr>
            <w:r>
              <w:t>0</w:t>
            </w:r>
          </w:p>
        </w:tc>
        <w:tc>
          <w:tcPr>
            <w:tcW w:w="634" w:type="dxa"/>
            <w:vAlign w:val="center"/>
          </w:tcPr>
          <w:p w14:paraId="0342E75A" w14:textId="77777777" w:rsidR="00CD55F1" w:rsidRPr="00210DD1" w:rsidRDefault="00CD55F1" w:rsidP="00024DD9">
            <w:pPr>
              <w:jc w:val="center"/>
            </w:pPr>
            <w:r>
              <w:t>0</w:t>
            </w:r>
          </w:p>
        </w:tc>
        <w:tc>
          <w:tcPr>
            <w:tcW w:w="607" w:type="dxa"/>
            <w:vAlign w:val="center"/>
          </w:tcPr>
          <w:p w14:paraId="38B21481" w14:textId="77777777" w:rsidR="00CD55F1" w:rsidRPr="00210DD1" w:rsidRDefault="00CD55F1" w:rsidP="00024DD9">
            <w:pPr>
              <w:jc w:val="center"/>
            </w:pPr>
            <w:r>
              <w:t>0</w:t>
            </w:r>
          </w:p>
        </w:tc>
        <w:tc>
          <w:tcPr>
            <w:tcW w:w="950" w:type="dxa"/>
            <w:vAlign w:val="center"/>
          </w:tcPr>
          <w:p w14:paraId="22C9642C" w14:textId="77777777" w:rsidR="00CD55F1" w:rsidRDefault="00CD55F1" w:rsidP="00024DD9">
            <w:pPr>
              <w:jc w:val="center"/>
            </w:pPr>
            <w:r>
              <w:t>0</w:t>
            </w:r>
          </w:p>
        </w:tc>
        <w:tc>
          <w:tcPr>
            <w:tcW w:w="359" w:type="dxa"/>
            <w:tcBorders>
              <w:top w:val="nil"/>
              <w:left w:val="nil"/>
              <w:bottom w:val="nil"/>
              <w:right w:val="nil"/>
            </w:tcBorders>
            <w:vAlign w:val="center"/>
          </w:tcPr>
          <w:p w14:paraId="2314A528" w14:textId="77777777" w:rsidR="00CD55F1" w:rsidRDefault="00CD55F1" w:rsidP="00024DD9">
            <w:pPr>
              <w:jc w:val="center"/>
            </w:pPr>
          </w:p>
        </w:tc>
        <w:tc>
          <w:tcPr>
            <w:tcW w:w="874" w:type="dxa"/>
            <w:vAlign w:val="center"/>
          </w:tcPr>
          <w:p w14:paraId="6A10B9B5" w14:textId="77777777" w:rsidR="00CD55F1" w:rsidRPr="005B7BEE" w:rsidRDefault="00CD55F1" w:rsidP="00024DD9">
            <w:pPr>
              <w:jc w:val="center"/>
              <w:rPr>
                <w:sz w:val="14"/>
                <w:szCs w:val="14"/>
              </w:rPr>
            </w:pPr>
            <w:r>
              <w:rPr>
                <w:sz w:val="14"/>
                <w:szCs w:val="14"/>
              </w:rPr>
              <w:t>Often</w:t>
            </w:r>
          </w:p>
        </w:tc>
        <w:tc>
          <w:tcPr>
            <w:tcW w:w="780" w:type="dxa"/>
            <w:vAlign w:val="center"/>
          </w:tcPr>
          <w:p w14:paraId="1EB14E37" w14:textId="77777777" w:rsidR="00CD55F1" w:rsidRDefault="00CD55F1" w:rsidP="00024DD9">
            <w:pPr>
              <w:jc w:val="center"/>
            </w:pPr>
            <w:r>
              <w:t>0</w:t>
            </w:r>
          </w:p>
        </w:tc>
        <w:tc>
          <w:tcPr>
            <w:tcW w:w="687" w:type="dxa"/>
            <w:vAlign w:val="center"/>
          </w:tcPr>
          <w:p w14:paraId="13125851" w14:textId="77777777" w:rsidR="00CD55F1" w:rsidRPr="00210DD1" w:rsidRDefault="00CD55F1" w:rsidP="00024DD9">
            <w:pPr>
              <w:jc w:val="center"/>
            </w:pPr>
            <w:r>
              <w:t>0</w:t>
            </w:r>
          </w:p>
        </w:tc>
        <w:tc>
          <w:tcPr>
            <w:tcW w:w="720" w:type="dxa"/>
            <w:vAlign w:val="center"/>
          </w:tcPr>
          <w:p w14:paraId="41D2E814" w14:textId="77777777" w:rsidR="00CD55F1" w:rsidRPr="00210DD1" w:rsidRDefault="00CD55F1" w:rsidP="00024DD9">
            <w:pPr>
              <w:jc w:val="center"/>
            </w:pPr>
            <w:r>
              <w:t>0</w:t>
            </w:r>
          </w:p>
        </w:tc>
        <w:tc>
          <w:tcPr>
            <w:tcW w:w="630" w:type="dxa"/>
            <w:vAlign w:val="center"/>
          </w:tcPr>
          <w:p w14:paraId="531E1A23" w14:textId="77777777" w:rsidR="00CD55F1" w:rsidRPr="00210DD1" w:rsidRDefault="00CD55F1" w:rsidP="00024DD9">
            <w:pPr>
              <w:jc w:val="center"/>
            </w:pPr>
            <w:r>
              <w:t>0</w:t>
            </w:r>
          </w:p>
        </w:tc>
        <w:tc>
          <w:tcPr>
            <w:tcW w:w="990" w:type="dxa"/>
            <w:vAlign w:val="center"/>
          </w:tcPr>
          <w:p w14:paraId="44DD8682" w14:textId="77777777" w:rsidR="00CD55F1" w:rsidRDefault="00CD55F1" w:rsidP="00024DD9">
            <w:pPr>
              <w:jc w:val="center"/>
            </w:pPr>
            <w:r>
              <w:t>0</w:t>
            </w:r>
          </w:p>
        </w:tc>
      </w:tr>
      <w:tr w:rsidR="00CD55F1" w:rsidRPr="00F60A9B" w14:paraId="490B6D27" w14:textId="77777777" w:rsidTr="00024DD9">
        <w:trPr>
          <w:jc w:val="center"/>
        </w:trPr>
        <w:tc>
          <w:tcPr>
            <w:tcW w:w="874" w:type="dxa"/>
            <w:tcBorders>
              <w:right w:val="single" w:sz="12" w:space="0" w:color="auto"/>
            </w:tcBorders>
          </w:tcPr>
          <w:p w14:paraId="5A28D645"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6BB0F56C" w14:textId="77777777" w:rsidR="00CD55F1" w:rsidRDefault="00CD55F1" w:rsidP="00024DD9">
            <w:pPr>
              <w:jc w:val="center"/>
            </w:pPr>
            <w:r>
              <w:t>1</w:t>
            </w:r>
          </w:p>
        </w:tc>
        <w:tc>
          <w:tcPr>
            <w:tcW w:w="565" w:type="dxa"/>
            <w:shd w:val="clear" w:color="auto" w:fill="auto"/>
            <w:vAlign w:val="center"/>
          </w:tcPr>
          <w:p w14:paraId="7EC42C2A"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46DF31E1"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7B8970DB"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62BB85E1"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4F0C008C" w14:textId="77777777" w:rsidR="00CD55F1" w:rsidRDefault="00CD55F1" w:rsidP="00024DD9">
            <w:pPr>
              <w:jc w:val="center"/>
            </w:pPr>
          </w:p>
        </w:tc>
        <w:tc>
          <w:tcPr>
            <w:tcW w:w="874" w:type="dxa"/>
            <w:shd w:val="clear" w:color="auto" w:fill="auto"/>
            <w:vAlign w:val="center"/>
          </w:tcPr>
          <w:p w14:paraId="1A7DE5B6"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6AE22B57" w14:textId="77777777" w:rsidR="00CD55F1" w:rsidRDefault="00CD55F1" w:rsidP="00024DD9">
            <w:pPr>
              <w:jc w:val="center"/>
            </w:pPr>
            <w:r>
              <w:rPr>
                <w:rFonts w:ascii="Calibri" w:hAnsi="Calibri" w:cs="Calibri"/>
              </w:rPr>
              <w:t>0</w:t>
            </w:r>
          </w:p>
        </w:tc>
        <w:tc>
          <w:tcPr>
            <w:tcW w:w="687" w:type="dxa"/>
            <w:vAlign w:val="center"/>
          </w:tcPr>
          <w:p w14:paraId="01A5999A" w14:textId="77777777" w:rsidR="00CD55F1" w:rsidRPr="00210DD1" w:rsidRDefault="00CD55F1" w:rsidP="00024DD9">
            <w:pPr>
              <w:jc w:val="center"/>
            </w:pPr>
            <w:r>
              <w:rPr>
                <w:rFonts w:ascii="Calibri" w:hAnsi="Calibri" w:cs="Calibri"/>
              </w:rPr>
              <w:t>3</w:t>
            </w:r>
          </w:p>
        </w:tc>
        <w:tc>
          <w:tcPr>
            <w:tcW w:w="720" w:type="dxa"/>
            <w:vAlign w:val="center"/>
          </w:tcPr>
          <w:p w14:paraId="49025920" w14:textId="77777777" w:rsidR="00CD55F1" w:rsidRPr="00210DD1" w:rsidRDefault="00CD55F1" w:rsidP="00024DD9">
            <w:pPr>
              <w:jc w:val="center"/>
            </w:pPr>
            <w:r w:rsidRPr="00F60A9B">
              <w:rPr>
                <w:rFonts w:ascii="Calibri" w:hAnsi="Calibri" w:cs="Calibri"/>
              </w:rPr>
              <w:t>0</w:t>
            </w:r>
          </w:p>
        </w:tc>
        <w:tc>
          <w:tcPr>
            <w:tcW w:w="630" w:type="dxa"/>
            <w:vAlign w:val="center"/>
          </w:tcPr>
          <w:p w14:paraId="7A21F298" w14:textId="77777777" w:rsidR="00CD55F1" w:rsidRPr="00210DD1" w:rsidRDefault="00CD55F1" w:rsidP="00024DD9">
            <w:pPr>
              <w:jc w:val="center"/>
            </w:pPr>
            <w:r w:rsidRPr="00F60A9B">
              <w:rPr>
                <w:rFonts w:ascii="Calibri" w:hAnsi="Calibri" w:cs="Calibri"/>
              </w:rPr>
              <w:t>0</w:t>
            </w:r>
          </w:p>
        </w:tc>
        <w:tc>
          <w:tcPr>
            <w:tcW w:w="990" w:type="dxa"/>
            <w:vAlign w:val="center"/>
          </w:tcPr>
          <w:p w14:paraId="0364B1F3" w14:textId="77777777" w:rsidR="00CD55F1" w:rsidRDefault="00CD55F1" w:rsidP="00024DD9">
            <w:pPr>
              <w:jc w:val="center"/>
            </w:pPr>
            <w:r w:rsidRPr="00F60A9B">
              <w:rPr>
                <w:rFonts w:ascii="Calibri" w:hAnsi="Calibri" w:cs="Calibri"/>
              </w:rPr>
              <w:t>0</w:t>
            </w:r>
          </w:p>
        </w:tc>
      </w:tr>
      <w:tr w:rsidR="00CD55F1" w:rsidRPr="00F60A9B" w14:paraId="18CB8D45" w14:textId="77777777" w:rsidTr="00024DD9">
        <w:trPr>
          <w:jc w:val="center"/>
        </w:trPr>
        <w:tc>
          <w:tcPr>
            <w:tcW w:w="874" w:type="dxa"/>
            <w:tcBorders>
              <w:right w:val="single" w:sz="12" w:space="0" w:color="auto"/>
            </w:tcBorders>
          </w:tcPr>
          <w:p w14:paraId="56673BA5"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516817E9" w14:textId="77777777" w:rsidR="00CD55F1" w:rsidRPr="00F60A9B" w:rsidRDefault="00CD55F1" w:rsidP="00024DD9">
            <w:pPr>
              <w:jc w:val="center"/>
            </w:pPr>
            <w:r>
              <w:t>0</w:t>
            </w:r>
          </w:p>
        </w:tc>
        <w:tc>
          <w:tcPr>
            <w:tcW w:w="565" w:type="dxa"/>
            <w:shd w:val="clear" w:color="auto" w:fill="auto"/>
            <w:vAlign w:val="center"/>
          </w:tcPr>
          <w:p w14:paraId="216A1FDC"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7F550912"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7C49E2AF"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398A4A30"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094CDB99"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64912CFC" w14:textId="77777777" w:rsidR="00CD55F1" w:rsidRDefault="00CD55F1" w:rsidP="00024DD9">
            <w:pPr>
              <w:jc w:val="center"/>
            </w:pPr>
            <w:r w:rsidRPr="005B7BEE">
              <w:rPr>
                <w:sz w:val="14"/>
                <w:szCs w:val="14"/>
              </w:rPr>
              <w:t>Probable</w:t>
            </w:r>
          </w:p>
        </w:tc>
        <w:tc>
          <w:tcPr>
            <w:tcW w:w="780" w:type="dxa"/>
            <w:shd w:val="clear" w:color="auto" w:fill="auto"/>
            <w:vAlign w:val="center"/>
          </w:tcPr>
          <w:p w14:paraId="3077A66D" w14:textId="77777777" w:rsidR="00CD55F1" w:rsidRDefault="00CD55F1" w:rsidP="00024DD9">
            <w:pPr>
              <w:jc w:val="center"/>
            </w:pPr>
            <w:r>
              <w:rPr>
                <w:rFonts w:ascii="Calibri" w:hAnsi="Calibri" w:cs="Calibri"/>
              </w:rPr>
              <w:t>1</w:t>
            </w:r>
          </w:p>
        </w:tc>
        <w:tc>
          <w:tcPr>
            <w:tcW w:w="687" w:type="dxa"/>
            <w:shd w:val="clear" w:color="auto" w:fill="auto"/>
            <w:vAlign w:val="center"/>
          </w:tcPr>
          <w:p w14:paraId="79386621" w14:textId="77777777" w:rsidR="00CD55F1" w:rsidRDefault="00CD55F1" w:rsidP="00024DD9">
            <w:pPr>
              <w:jc w:val="center"/>
            </w:pPr>
            <w:r>
              <w:rPr>
                <w:rFonts w:ascii="Calibri" w:hAnsi="Calibri" w:cs="Calibri"/>
              </w:rPr>
              <w:t>2</w:t>
            </w:r>
          </w:p>
        </w:tc>
        <w:tc>
          <w:tcPr>
            <w:tcW w:w="720" w:type="dxa"/>
            <w:vAlign w:val="center"/>
          </w:tcPr>
          <w:p w14:paraId="03B30B95" w14:textId="77777777" w:rsidR="00CD55F1" w:rsidRDefault="00CD55F1" w:rsidP="00024DD9">
            <w:pPr>
              <w:jc w:val="center"/>
            </w:pPr>
            <w:r>
              <w:rPr>
                <w:rFonts w:ascii="Calibri" w:hAnsi="Calibri" w:cs="Calibri"/>
              </w:rPr>
              <w:t>0</w:t>
            </w:r>
          </w:p>
        </w:tc>
        <w:tc>
          <w:tcPr>
            <w:tcW w:w="630" w:type="dxa"/>
            <w:vAlign w:val="center"/>
          </w:tcPr>
          <w:p w14:paraId="06D015E5" w14:textId="77777777" w:rsidR="00CD55F1" w:rsidRDefault="00CD55F1" w:rsidP="00024DD9">
            <w:pPr>
              <w:jc w:val="center"/>
            </w:pPr>
            <w:r w:rsidRPr="00F60A9B">
              <w:rPr>
                <w:rFonts w:ascii="Calibri" w:hAnsi="Calibri" w:cs="Calibri"/>
              </w:rPr>
              <w:t>1</w:t>
            </w:r>
          </w:p>
        </w:tc>
        <w:tc>
          <w:tcPr>
            <w:tcW w:w="990" w:type="dxa"/>
            <w:vAlign w:val="center"/>
          </w:tcPr>
          <w:p w14:paraId="77E49F98" w14:textId="77777777" w:rsidR="00CD55F1" w:rsidRDefault="00CD55F1" w:rsidP="00024DD9">
            <w:pPr>
              <w:jc w:val="center"/>
            </w:pPr>
            <w:r w:rsidRPr="00F60A9B">
              <w:rPr>
                <w:rFonts w:ascii="Calibri" w:hAnsi="Calibri" w:cs="Calibri"/>
              </w:rPr>
              <w:t>0</w:t>
            </w:r>
          </w:p>
        </w:tc>
      </w:tr>
      <w:tr w:rsidR="00CD55F1" w:rsidRPr="00F60A9B" w14:paraId="67292AEE" w14:textId="77777777" w:rsidTr="00024DD9">
        <w:trPr>
          <w:jc w:val="center"/>
        </w:trPr>
        <w:tc>
          <w:tcPr>
            <w:tcW w:w="874" w:type="dxa"/>
            <w:tcBorders>
              <w:right w:val="single" w:sz="12" w:space="0" w:color="auto"/>
            </w:tcBorders>
          </w:tcPr>
          <w:p w14:paraId="53F75E11"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53E08F63"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68E9A14E"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65DE0D18"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12A930CE" w14:textId="77777777" w:rsidR="00CD55F1" w:rsidRPr="00210DD1" w:rsidRDefault="00CD55F1" w:rsidP="00024DD9">
            <w:pPr>
              <w:jc w:val="center"/>
            </w:pPr>
            <w:r>
              <w:t>2</w:t>
            </w:r>
          </w:p>
        </w:tc>
        <w:tc>
          <w:tcPr>
            <w:tcW w:w="950" w:type="dxa"/>
            <w:shd w:val="clear" w:color="auto" w:fill="auto"/>
            <w:vAlign w:val="center"/>
          </w:tcPr>
          <w:p w14:paraId="7FC21591"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53C2477F" w14:textId="77777777" w:rsidR="00CD55F1" w:rsidRDefault="00CD55F1" w:rsidP="00024DD9">
            <w:pPr>
              <w:jc w:val="center"/>
            </w:pPr>
          </w:p>
        </w:tc>
        <w:tc>
          <w:tcPr>
            <w:tcW w:w="874" w:type="dxa"/>
            <w:shd w:val="clear" w:color="auto" w:fill="auto"/>
            <w:vAlign w:val="center"/>
          </w:tcPr>
          <w:p w14:paraId="5F3DBBA9" w14:textId="77777777" w:rsidR="00CD55F1" w:rsidRDefault="00CD55F1" w:rsidP="00024DD9">
            <w:pPr>
              <w:jc w:val="center"/>
            </w:pPr>
            <w:r w:rsidRPr="005B7BEE">
              <w:rPr>
                <w:sz w:val="14"/>
                <w:szCs w:val="14"/>
              </w:rPr>
              <w:t>Occasional</w:t>
            </w:r>
          </w:p>
        </w:tc>
        <w:tc>
          <w:tcPr>
            <w:tcW w:w="780" w:type="dxa"/>
            <w:shd w:val="clear" w:color="auto" w:fill="auto"/>
            <w:vAlign w:val="center"/>
          </w:tcPr>
          <w:p w14:paraId="5E552B25" w14:textId="77777777" w:rsidR="00CD55F1" w:rsidRDefault="00CD55F1" w:rsidP="00024DD9">
            <w:pPr>
              <w:jc w:val="center"/>
            </w:pPr>
            <w:r>
              <w:rPr>
                <w:rFonts w:ascii="Calibri" w:hAnsi="Calibri" w:cs="Calibri"/>
              </w:rPr>
              <w:t>1</w:t>
            </w:r>
          </w:p>
        </w:tc>
        <w:tc>
          <w:tcPr>
            <w:tcW w:w="687" w:type="dxa"/>
            <w:shd w:val="clear" w:color="auto" w:fill="auto"/>
            <w:vAlign w:val="center"/>
          </w:tcPr>
          <w:p w14:paraId="046501BD" w14:textId="77777777" w:rsidR="00CD55F1" w:rsidRDefault="00CD55F1" w:rsidP="00024DD9">
            <w:pPr>
              <w:jc w:val="center"/>
            </w:pPr>
            <w:r>
              <w:rPr>
                <w:rFonts w:ascii="Calibri" w:hAnsi="Calibri" w:cs="Calibri"/>
              </w:rPr>
              <w:t>0</w:t>
            </w:r>
          </w:p>
        </w:tc>
        <w:tc>
          <w:tcPr>
            <w:tcW w:w="720" w:type="dxa"/>
            <w:vAlign w:val="center"/>
          </w:tcPr>
          <w:p w14:paraId="3200543A" w14:textId="77777777" w:rsidR="00CD55F1" w:rsidRDefault="00CD55F1" w:rsidP="00024DD9">
            <w:pPr>
              <w:jc w:val="center"/>
            </w:pPr>
            <w:r>
              <w:rPr>
                <w:rFonts w:ascii="Calibri" w:hAnsi="Calibri" w:cs="Calibri"/>
              </w:rPr>
              <w:t>0</w:t>
            </w:r>
          </w:p>
        </w:tc>
        <w:tc>
          <w:tcPr>
            <w:tcW w:w="630" w:type="dxa"/>
            <w:vAlign w:val="center"/>
          </w:tcPr>
          <w:p w14:paraId="51AC011F" w14:textId="77777777" w:rsidR="00CD55F1" w:rsidRDefault="00CD55F1" w:rsidP="00024DD9">
            <w:pPr>
              <w:jc w:val="center"/>
            </w:pPr>
            <w:r>
              <w:rPr>
                <w:rFonts w:ascii="Calibri" w:hAnsi="Calibri" w:cs="Calibri"/>
              </w:rPr>
              <w:t>0</w:t>
            </w:r>
          </w:p>
        </w:tc>
        <w:tc>
          <w:tcPr>
            <w:tcW w:w="990" w:type="dxa"/>
            <w:vAlign w:val="center"/>
          </w:tcPr>
          <w:p w14:paraId="4EB3EA1D" w14:textId="77777777" w:rsidR="00CD55F1" w:rsidRDefault="00CD55F1" w:rsidP="00024DD9">
            <w:pPr>
              <w:jc w:val="center"/>
            </w:pPr>
            <w:r w:rsidRPr="00F60A9B">
              <w:rPr>
                <w:rFonts w:ascii="Calibri" w:hAnsi="Calibri" w:cs="Calibri"/>
              </w:rPr>
              <w:t>1</w:t>
            </w:r>
          </w:p>
        </w:tc>
      </w:tr>
      <w:tr w:rsidR="00CD55F1" w:rsidRPr="00F60A9B" w14:paraId="0333F228" w14:textId="77777777" w:rsidTr="00024DD9">
        <w:trPr>
          <w:jc w:val="center"/>
        </w:trPr>
        <w:tc>
          <w:tcPr>
            <w:tcW w:w="874" w:type="dxa"/>
            <w:tcBorders>
              <w:right w:val="single" w:sz="12" w:space="0" w:color="auto"/>
            </w:tcBorders>
          </w:tcPr>
          <w:p w14:paraId="3160E8D8"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6DD16E06" w14:textId="77777777" w:rsidR="00CD55F1" w:rsidRPr="00F60A9B" w:rsidRDefault="00CD55F1" w:rsidP="00024DD9">
            <w:pPr>
              <w:jc w:val="center"/>
            </w:pPr>
            <w:r>
              <w:rPr>
                <w:rFonts w:ascii="Calibri" w:hAnsi="Calibri" w:cs="Calibri"/>
              </w:rPr>
              <w:t>3</w:t>
            </w:r>
          </w:p>
        </w:tc>
        <w:tc>
          <w:tcPr>
            <w:tcW w:w="565" w:type="dxa"/>
            <w:vAlign w:val="center"/>
          </w:tcPr>
          <w:p w14:paraId="1676C7EE" w14:textId="77777777" w:rsidR="00CD55F1" w:rsidRPr="00210DD1" w:rsidRDefault="00CD55F1" w:rsidP="00024DD9">
            <w:pPr>
              <w:jc w:val="center"/>
            </w:pPr>
            <w:r>
              <w:rPr>
                <w:rFonts w:ascii="Calibri" w:hAnsi="Calibri" w:cs="Calibri"/>
              </w:rPr>
              <w:t>0</w:t>
            </w:r>
          </w:p>
        </w:tc>
        <w:tc>
          <w:tcPr>
            <w:tcW w:w="634" w:type="dxa"/>
            <w:vAlign w:val="center"/>
          </w:tcPr>
          <w:p w14:paraId="65E0B0BA" w14:textId="77777777" w:rsidR="00CD55F1" w:rsidRPr="00210DD1" w:rsidRDefault="00CD55F1" w:rsidP="00024DD9">
            <w:pPr>
              <w:jc w:val="center"/>
            </w:pPr>
            <w:r>
              <w:rPr>
                <w:rFonts w:ascii="Calibri" w:hAnsi="Calibri" w:cs="Calibri"/>
              </w:rPr>
              <w:t>0</w:t>
            </w:r>
          </w:p>
        </w:tc>
        <w:tc>
          <w:tcPr>
            <w:tcW w:w="607" w:type="dxa"/>
            <w:vAlign w:val="center"/>
          </w:tcPr>
          <w:p w14:paraId="77E8C368" w14:textId="77777777" w:rsidR="00CD55F1" w:rsidRPr="00210DD1" w:rsidRDefault="00CD55F1" w:rsidP="00024DD9">
            <w:pPr>
              <w:jc w:val="center"/>
            </w:pPr>
            <w:r>
              <w:rPr>
                <w:rFonts w:ascii="Calibri" w:hAnsi="Calibri" w:cs="Calibri"/>
              </w:rPr>
              <w:t>3</w:t>
            </w:r>
          </w:p>
        </w:tc>
        <w:tc>
          <w:tcPr>
            <w:tcW w:w="950" w:type="dxa"/>
            <w:vAlign w:val="center"/>
          </w:tcPr>
          <w:p w14:paraId="379D65F1"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2C5C9D74" w14:textId="77777777" w:rsidR="00CD55F1" w:rsidRDefault="00CD55F1" w:rsidP="00024DD9">
            <w:pPr>
              <w:jc w:val="center"/>
            </w:pPr>
          </w:p>
        </w:tc>
        <w:tc>
          <w:tcPr>
            <w:tcW w:w="874" w:type="dxa"/>
            <w:vAlign w:val="center"/>
          </w:tcPr>
          <w:p w14:paraId="781128E1" w14:textId="77777777" w:rsidR="00CD55F1" w:rsidRDefault="00CD55F1" w:rsidP="00024DD9">
            <w:pPr>
              <w:jc w:val="center"/>
            </w:pPr>
            <w:r w:rsidRPr="005B7BEE">
              <w:rPr>
                <w:sz w:val="14"/>
                <w:szCs w:val="14"/>
              </w:rPr>
              <w:t>Remote</w:t>
            </w:r>
          </w:p>
        </w:tc>
        <w:tc>
          <w:tcPr>
            <w:tcW w:w="780" w:type="dxa"/>
            <w:vAlign w:val="center"/>
          </w:tcPr>
          <w:p w14:paraId="455A335A" w14:textId="77777777" w:rsidR="00CD55F1" w:rsidRDefault="00CD55F1" w:rsidP="00024DD9">
            <w:pPr>
              <w:jc w:val="center"/>
            </w:pPr>
            <w:r>
              <w:rPr>
                <w:rFonts w:ascii="Calibri" w:hAnsi="Calibri" w:cs="Calibri"/>
              </w:rPr>
              <w:t>0</w:t>
            </w:r>
          </w:p>
        </w:tc>
        <w:tc>
          <w:tcPr>
            <w:tcW w:w="687" w:type="dxa"/>
            <w:vAlign w:val="center"/>
          </w:tcPr>
          <w:p w14:paraId="3070E807" w14:textId="77777777" w:rsidR="00CD55F1" w:rsidRDefault="00CD55F1" w:rsidP="00024DD9">
            <w:pPr>
              <w:jc w:val="center"/>
            </w:pPr>
            <w:r>
              <w:rPr>
                <w:rFonts w:ascii="Calibri" w:hAnsi="Calibri" w:cs="Calibri"/>
              </w:rPr>
              <w:t>2</w:t>
            </w:r>
          </w:p>
        </w:tc>
        <w:tc>
          <w:tcPr>
            <w:tcW w:w="720" w:type="dxa"/>
            <w:vAlign w:val="center"/>
          </w:tcPr>
          <w:p w14:paraId="76821055" w14:textId="77777777" w:rsidR="00CD55F1" w:rsidRDefault="00CD55F1" w:rsidP="00024DD9">
            <w:pPr>
              <w:jc w:val="center"/>
            </w:pPr>
            <w:r>
              <w:rPr>
                <w:rFonts w:ascii="Calibri" w:hAnsi="Calibri" w:cs="Calibri"/>
              </w:rPr>
              <w:t>0</w:t>
            </w:r>
          </w:p>
        </w:tc>
        <w:tc>
          <w:tcPr>
            <w:tcW w:w="630" w:type="dxa"/>
            <w:vAlign w:val="center"/>
          </w:tcPr>
          <w:p w14:paraId="76B98B21" w14:textId="77777777" w:rsidR="00CD55F1" w:rsidRDefault="00CD55F1" w:rsidP="00024DD9">
            <w:pPr>
              <w:jc w:val="center"/>
            </w:pPr>
            <w:r>
              <w:rPr>
                <w:rFonts w:ascii="Calibri" w:hAnsi="Calibri" w:cs="Calibri"/>
              </w:rPr>
              <w:t>0</w:t>
            </w:r>
          </w:p>
        </w:tc>
        <w:tc>
          <w:tcPr>
            <w:tcW w:w="990" w:type="dxa"/>
            <w:vAlign w:val="center"/>
          </w:tcPr>
          <w:p w14:paraId="471B73BD" w14:textId="77777777" w:rsidR="00CD55F1" w:rsidRDefault="00CD55F1" w:rsidP="00024DD9">
            <w:pPr>
              <w:jc w:val="center"/>
            </w:pPr>
            <w:r>
              <w:rPr>
                <w:rFonts w:ascii="Calibri" w:hAnsi="Calibri" w:cs="Calibri"/>
              </w:rPr>
              <w:t>0</w:t>
            </w:r>
          </w:p>
        </w:tc>
      </w:tr>
      <w:tr w:rsidR="00CD55F1" w:rsidRPr="00F60A9B" w14:paraId="6A7BB84C" w14:textId="77777777" w:rsidTr="00024DD9">
        <w:trPr>
          <w:jc w:val="center"/>
        </w:trPr>
        <w:tc>
          <w:tcPr>
            <w:tcW w:w="874" w:type="dxa"/>
            <w:tcBorders>
              <w:right w:val="single" w:sz="12" w:space="0" w:color="auto"/>
            </w:tcBorders>
          </w:tcPr>
          <w:p w14:paraId="7ADD897F"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1FF0CA59" w14:textId="77777777" w:rsidR="00CD55F1" w:rsidRPr="00F60A9B" w:rsidRDefault="00CD55F1" w:rsidP="00024DD9">
            <w:pPr>
              <w:jc w:val="center"/>
            </w:pPr>
            <w:r>
              <w:rPr>
                <w:rFonts w:ascii="Calibri" w:hAnsi="Calibri" w:cs="Calibri"/>
              </w:rPr>
              <w:t>0</w:t>
            </w:r>
          </w:p>
        </w:tc>
        <w:tc>
          <w:tcPr>
            <w:tcW w:w="565" w:type="dxa"/>
            <w:vAlign w:val="center"/>
          </w:tcPr>
          <w:p w14:paraId="738F7073" w14:textId="77777777" w:rsidR="00CD55F1" w:rsidRPr="00210DD1" w:rsidRDefault="00CD55F1" w:rsidP="00024DD9">
            <w:pPr>
              <w:jc w:val="center"/>
            </w:pPr>
            <w:r>
              <w:rPr>
                <w:rFonts w:ascii="Calibri" w:hAnsi="Calibri" w:cs="Calibri"/>
              </w:rPr>
              <w:t>0</w:t>
            </w:r>
          </w:p>
        </w:tc>
        <w:tc>
          <w:tcPr>
            <w:tcW w:w="634" w:type="dxa"/>
            <w:vAlign w:val="center"/>
          </w:tcPr>
          <w:p w14:paraId="60D9EDDA" w14:textId="77777777" w:rsidR="00CD55F1" w:rsidRPr="00210DD1" w:rsidRDefault="00CD55F1" w:rsidP="00024DD9">
            <w:pPr>
              <w:jc w:val="center"/>
            </w:pPr>
            <w:r>
              <w:rPr>
                <w:rFonts w:ascii="Calibri" w:hAnsi="Calibri" w:cs="Calibri"/>
              </w:rPr>
              <w:t>0</w:t>
            </w:r>
          </w:p>
        </w:tc>
        <w:tc>
          <w:tcPr>
            <w:tcW w:w="607" w:type="dxa"/>
            <w:shd w:val="clear" w:color="auto" w:fill="D9E2F3" w:themeFill="accent1" w:themeFillTint="33"/>
            <w:vAlign w:val="center"/>
          </w:tcPr>
          <w:p w14:paraId="2386AAA0" w14:textId="77777777" w:rsidR="00CD55F1" w:rsidRPr="00210DD1" w:rsidRDefault="00CD55F1" w:rsidP="00024DD9">
            <w:pPr>
              <w:jc w:val="center"/>
            </w:pPr>
            <w:r>
              <w:rPr>
                <w:rFonts w:ascii="Calibri" w:hAnsi="Calibri" w:cs="Calibri"/>
              </w:rPr>
              <w:t>0+1 = 1</w:t>
            </w:r>
          </w:p>
        </w:tc>
        <w:tc>
          <w:tcPr>
            <w:tcW w:w="950" w:type="dxa"/>
            <w:vAlign w:val="center"/>
          </w:tcPr>
          <w:p w14:paraId="004C7B38"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111FC493" w14:textId="77777777" w:rsidR="00CD55F1" w:rsidRDefault="00CD55F1" w:rsidP="00024DD9">
            <w:pPr>
              <w:keepNext/>
              <w:jc w:val="center"/>
            </w:pPr>
          </w:p>
        </w:tc>
        <w:tc>
          <w:tcPr>
            <w:tcW w:w="874" w:type="dxa"/>
            <w:vAlign w:val="center"/>
          </w:tcPr>
          <w:p w14:paraId="0AC4FBD9" w14:textId="77777777" w:rsidR="00CD55F1" w:rsidRDefault="00CD55F1" w:rsidP="00024DD9">
            <w:pPr>
              <w:keepNext/>
              <w:jc w:val="center"/>
            </w:pPr>
            <w:r w:rsidRPr="005B7BEE">
              <w:rPr>
                <w:sz w:val="14"/>
                <w:szCs w:val="14"/>
              </w:rPr>
              <w:t>Improbable</w:t>
            </w:r>
          </w:p>
        </w:tc>
        <w:tc>
          <w:tcPr>
            <w:tcW w:w="780" w:type="dxa"/>
            <w:vAlign w:val="center"/>
          </w:tcPr>
          <w:p w14:paraId="41FE5768" w14:textId="77777777" w:rsidR="00CD55F1" w:rsidRDefault="00CD55F1" w:rsidP="00024DD9">
            <w:pPr>
              <w:keepNext/>
              <w:jc w:val="center"/>
            </w:pPr>
            <w:r>
              <w:rPr>
                <w:rFonts w:ascii="Calibri" w:hAnsi="Calibri" w:cs="Calibri"/>
              </w:rPr>
              <w:t>0</w:t>
            </w:r>
          </w:p>
        </w:tc>
        <w:tc>
          <w:tcPr>
            <w:tcW w:w="687" w:type="dxa"/>
            <w:vAlign w:val="center"/>
          </w:tcPr>
          <w:p w14:paraId="556BF6D2" w14:textId="77777777" w:rsidR="00CD55F1" w:rsidRDefault="00CD55F1" w:rsidP="00024DD9">
            <w:pPr>
              <w:keepNext/>
              <w:jc w:val="center"/>
            </w:pPr>
            <w:r>
              <w:rPr>
                <w:rFonts w:ascii="Calibri" w:hAnsi="Calibri" w:cs="Calibri"/>
              </w:rPr>
              <w:t>1</w:t>
            </w:r>
          </w:p>
        </w:tc>
        <w:tc>
          <w:tcPr>
            <w:tcW w:w="720" w:type="dxa"/>
            <w:vAlign w:val="center"/>
          </w:tcPr>
          <w:p w14:paraId="29E8B1A1" w14:textId="77777777" w:rsidR="00CD55F1" w:rsidRDefault="00CD55F1" w:rsidP="00024DD9">
            <w:pPr>
              <w:keepNext/>
              <w:jc w:val="center"/>
            </w:pPr>
            <w:r>
              <w:rPr>
                <w:rFonts w:ascii="Calibri" w:hAnsi="Calibri" w:cs="Calibri"/>
              </w:rPr>
              <w:t>0</w:t>
            </w:r>
          </w:p>
        </w:tc>
        <w:tc>
          <w:tcPr>
            <w:tcW w:w="630" w:type="dxa"/>
            <w:shd w:val="clear" w:color="auto" w:fill="D9E2F3" w:themeFill="accent1" w:themeFillTint="33"/>
            <w:vAlign w:val="center"/>
          </w:tcPr>
          <w:p w14:paraId="5EF33112" w14:textId="77777777" w:rsidR="00CD55F1" w:rsidRDefault="00CD55F1" w:rsidP="00024DD9">
            <w:pPr>
              <w:keepNext/>
              <w:jc w:val="center"/>
            </w:pPr>
            <w:r>
              <w:rPr>
                <w:rFonts w:ascii="Calibri" w:hAnsi="Calibri" w:cs="Calibri"/>
              </w:rPr>
              <w:t>9+1 =10</w:t>
            </w:r>
          </w:p>
        </w:tc>
        <w:tc>
          <w:tcPr>
            <w:tcW w:w="990" w:type="dxa"/>
            <w:vAlign w:val="center"/>
          </w:tcPr>
          <w:p w14:paraId="32AE7999" w14:textId="77777777" w:rsidR="00CD55F1" w:rsidRDefault="00CD55F1" w:rsidP="00024DD9">
            <w:pPr>
              <w:keepNext/>
              <w:jc w:val="center"/>
            </w:pPr>
            <w:r w:rsidRPr="00F60A9B">
              <w:rPr>
                <w:rFonts w:ascii="Calibri" w:hAnsi="Calibri" w:cs="Calibri"/>
              </w:rPr>
              <w:t>0</w:t>
            </w:r>
          </w:p>
        </w:tc>
      </w:tr>
    </w:tbl>
    <w:p w14:paraId="275A3405" w14:textId="77777777" w:rsidR="00CD55F1" w:rsidRDefault="00CD55F1" w:rsidP="00CD55F1"/>
    <w:p w14:paraId="4A8A79AF" w14:textId="3C2EE45D" w:rsidR="00CD55F1" w:rsidRDefault="00CD55F1" w:rsidP="00CD55F1">
      <w:r>
        <w:t xml:space="preserve">Adding this risk enables us to use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followed by </w:t>
      </w:r>
      <w:r w:rsidR="00445AB5">
        <w:fldChar w:fldCharType="begin"/>
      </w:r>
      <w:r w:rsidR="00445AB5">
        <w:instrText xml:space="preserve"> REF _Ref151218484 \h </w:instrText>
      </w:r>
      <w:r w:rsidR="00445AB5">
        <w:fldChar w:fldCharType="separate"/>
      </w:r>
      <w:r w:rsidR="00445AB5" w:rsidRPr="00646086">
        <w:rPr>
          <w:rFonts w:eastAsia="TimesNewRomanPSMT" w:cs="TimesNewRomanPSMT"/>
          <w:b/>
          <w:color w:val="000000"/>
          <w:u w:val="single"/>
        </w:rPr>
        <w:t>Removing Identical Risks</w:t>
      </w:r>
      <w:r w:rsidR="00445AB5">
        <w:fldChar w:fldCharType="end"/>
      </w:r>
      <w:r>
        <w:t xml:space="preserve"> to simplify the previous equation as follows: </w:t>
      </w:r>
    </w:p>
    <w:p w14:paraId="3D6B0E8F" w14:textId="36C022EF" w:rsidR="00CD55F1" w:rsidRDefault="00CD55F1">
      <w:pPr>
        <w:pStyle w:val="ListParagraph"/>
        <w:numPr>
          <w:ilvl w:val="0"/>
          <w:numId w:val="27"/>
        </w:numPr>
      </w:pPr>
      <w:r>
        <w:lastRenderedPageBreak/>
        <w:t xml:space="preserve">First:  Using </w:t>
      </w:r>
      <w:r w:rsidR="00445AB5">
        <w:fldChar w:fldCharType="begin"/>
      </w:r>
      <w:r w:rsidR="00445AB5">
        <w:instrText xml:space="preserve"> REF _Ref151223378 \h </w:instrText>
      </w:r>
      <w:r w:rsidR="00445AB5">
        <w:fldChar w:fldCharType="separate"/>
      </w:r>
      <w:r w:rsidR="00445AB5" w:rsidRPr="00646086">
        <w:rPr>
          <w:rFonts w:eastAsia="TimesNewRomanPSMT" w:cs="TimesNewRomanPSMT"/>
          <w:b/>
          <w:color w:val="000000"/>
          <w:u w:val="single"/>
        </w:rPr>
        <w:t>Moving Repeated Risks</w:t>
      </w:r>
      <w:r w:rsidR="00445AB5">
        <w:fldChar w:fldCharType="end"/>
      </w:r>
      <w:r>
        <w:t xml:space="preserve"> on the previous equation, we get: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44A1B34A" w14:textId="77777777" w:rsidTr="00024DD9">
        <w:trPr>
          <w:tblHeader/>
          <w:jc w:val="center"/>
        </w:trPr>
        <w:tc>
          <w:tcPr>
            <w:tcW w:w="874" w:type="dxa"/>
            <w:tcBorders>
              <w:top w:val="nil"/>
              <w:left w:val="nil"/>
              <w:bottom w:val="single" w:sz="4" w:space="0" w:color="auto"/>
            </w:tcBorders>
            <w:vAlign w:val="center"/>
          </w:tcPr>
          <w:p w14:paraId="4F1A5193"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3FB85523"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1DA6E64D"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26DDCF7F"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266E0578"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65D48743" w14:textId="77777777" w:rsidR="00CD55F1" w:rsidRPr="005B7BEE" w:rsidRDefault="00CD55F1" w:rsidP="00024DD9">
            <w:pPr>
              <w:jc w:val="center"/>
              <w:rPr>
                <w:sz w:val="14"/>
                <w:szCs w:val="14"/>
              </w:rPr>
            </w:pPr>
            <w:r w:rsidRPr="005B7BEE">
              <w:rPr>
                <w:sz w:val="14"/>
                <w:szCs w:val="14"/>
              </w:rPr>
              <w:t xml:space="preserve">Catastrophic </w:t>
            </w:r>
          </w:p>
          <w:p w14:paraId="2555F7CC"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6E101A82"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7AD5DF6A"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79E8DED0"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75B8D4C2"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4EC718C7"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470E5F56"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0D6C464E" w14:textId="77777777" w:rsidR="00CD55F1" w:rsidRPr="005B7BEE" w:rsidRDefault="00CD55F1" w:rsidP="00024DD9">
            <w:pPr>
              <w:jc w:val="center"/>
              <w:rPr>
                <w:sz w:val="14"/>
                <w:szCs w:val="14"/>
              </w:rPr>
            </w:pPr>
            <w:r w:rsidRPr="005B7BEE">
              <w:rPr>
                <w:sz w:val="14"/>
                <w:szCs w:val="14"/>
              </w:rPr>
              <w:t xml:space="preserve">Catastrophic </w:t>
            </w:r>
          </w:p>
          <w:p w14:paraId="0DD1CC92"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6B3D4710" w14:textId="77777777" w:rsidTr="00024DD9">
        <w:trPr>
          <w:jc w:val="center"/>
        </w:trPr>
        <w:tc>
          <w:tcPr>
            <w:tcW w:w="874" w:type="dxa"/>
            <w:tcBorders>
              <w:top w:val="single" w:sz="4" w:space="0" w:color="auto"/>
              <w:right w:val="single" w:sz="12" w:space="0" w:color="auto"/>
            </w:tcBorders>
          </w:tcPr>
          <w:p w14:paraId="0A67E4D8"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4EC2E678" w14:textId="77777777" w:rsidR="00CD55F1" w:rsidRPr="00F60A9B" w:rsidRDefault="00CD55F1" w:rsidP="00024DD9">
            <w:pPr>
              <w:jc w:val="center"/>
            </w:pPr>
            <w:r>
              <w:t>0</w:t>
            </w:r>
          </w:p>
        </w:tc>
        <w:tc>
          <w:tcPr>
            <w:tcW w:w="565" w:type="dxa"/>
            <w:tcBorders>
              <w:top w:val="single" w:sz="12" w:space="0" w:color="auto"/>
            </w:tcBorders>
            <w:vAlign w:val="center"/>
          </w:tcPr>
          <w:p w14:paraId="261065AF" w14:textId="77777777" w:rsidR="00CD55F1" w:rsidRPr="00210DD1" w:rsidRDefault="00CD55F1" w:rsidP="00024DD9">
            <w:pPr>
              <w:jc w:val="center"/>
            </w:pPr>
            <w:r>
              <w:t>0</w:t>
            </w:r>
          </w:p>
        </w:tc>
        <w:tc>
          <w:tcPr>
            <w:tcW w:w="634" w:type="dxa"/>
            <w:tcBorders>
              <w:top w:val="single" w:sz="12" w:space="0" w:color="auto"/>
            </w:tcBorders>
            <w:vAlign w:val="center"/>
          </w:tcPr>
          <w:p w14:paraId="5E19A71D" w14:textId="77777777" w:rsidR="00CD55F1" w:rsidRPr="00210DD1" w:rsidRDefault="00CD55F1" w:rsidP="00024DD9">
            <w:pPr>
              <w:jc w:val="center"/>
            </w:pPr>
            <w:r>
              <w:t>0</w:t>
            </w:r>
          </w:p>
        </w:tc>
        <w:tc>
          <w:tcPr>
            <w:tcW w:w="607" w:type="dxa"/>
            <w:tcBorders>
              <w:top w:val="single" w:sz="12" w:space="0" w:color="auto"/>
            </w:tcBorders>
            <w:vAlign w:val="center"/>
          </w:tcPr>
          <w:p w14:paraId="192CFAC0" w14:textId="77777777" w:rsidR="00CD55F1" w:rsidRPr="00210DD1" w:rsidRDefault="00CD55F1" w:rsidP="00024DD9">
            <w:pPr>
              <w:jc w:val="center"/>
            </w:pPr>
            <w:r>
              <w:t>0</w:t>
            </w:r>
          </w:p>
        </w:tc>
        <w:tc>
          <w:tcPr>
            <w:tcW w:w="950" w:type="dxa"/>
            <w:tcBorders>
              <w:top w:val="single" w:sz="12" w:space="0" w:color="auto"/>
            </w:tcBorders>
            <w:vAlign w:val="center"/>
          </w:tcPr>
          <w:p w14:paraId="6D9C4AD9" w14:textId="77777777" w:rsidR="00CD55F1" w:rsidRPr="00F60A9B" w:rsidRDefault="00CD55F1" w:rsidP="00024DD9">
            <w:pPr>
              <w:jc w:val="center"/>
            </w:pPr>
            <w:r>
              <w:t>0</w:t>
            </w:r>
          </w:p>
        </w:tc>
        <w:tc>
          <w:tcPr>
            <w:tcW w:w="359" w:type="dxa"/>
            <w:tcBorders>
              <w:top w:val="nil"/>
              <w:left w:val="nil"/>
              <w:bottom w:val="nil"/>
              <w:right w:val="nil"/>
            </w:tcBorders>
            <w:vAlign w:val="center"/>
          </w:tcPr>
          <w:p w14:paraId="1FF06264" w14:textId="77777777" w:rsidR="00CD55F1" w:rsidRDefault="00CD55F1" w:rsidP="00024DD9">
            <w:pPr>
              <w:jc w:val="center"/>
            </w:pPr>
          </w:p>
        </w:tc>
        <w:tc>
          <w:tcPr>
            <w:tcW w:w="874" w:type="dxa"/>
            <w:tcBorders>
              <w:top w:val="single" w:sz="12" w:space="0" w:color="auto"/>
            </w:tcBorders>
            <w:vAlign w:val="center"/>
          </w:tcPr>
          <w:p w14:paraId="63FB5E08"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3D535297" w14:textId="77777777" w:rsidR="00CD55F1" w:rsidRDefault="00CD55F1" w:rsidP="00024DD9">
            <w:pPr>
              <w:jc w:val="center"/>
            </w:pPr>
            <w:r>
              <w:t>0</w:t>
            </w:r>
          </w:p>
        </w:tc>
        <w:tc>
          <w:tcPr>
            <w:tcW w:w="687" w:type="dxa"/>
            <w:tcBorders>
              <w:top w:val="single" w:sz="12" w:space="0" w:color="auto"/>
            </w:tcBorders>
            <w:vAlign w:val="center"/>
          </w:tcPr>
          <w:p w14:paraId="40944418" w14:textId="77777777" w:rsidR="00CD55F1" w:rsidRDefault="00CD55F1" w:rsidP="00024DD9">
            <w:pPr>
              <w:jc w:val="center"/>
            </w:pPr>
            <w:r>
              <w:t>0</w:t>
            </w:r>
          </w:p>
        </w:tc>
        <w:tc>
          <w:tcPr>
            <w:tcW w:w="720" w:type="dxa"/>
            <w:tcBorders>
              <w:top w:val="single" w:sz="12" w:space="0" w:color="auto"/>
            </w:tcBorders>
            <w:vAlign w:val="center"/>
          </w:tcPr>
          <w:p w14:paraId="13053360" w14:textId="77777777" w:rsidR="00CD55F1" w:rsidRDefault="00CD55F1" w:rsidP="00024DD9">
            <w:pPr>
              <w:jc w:val="center"/>
            </w:pPr>
            <w:r>
              <w:t>0</w:t>
            </w:r>
          </w:p>
        </w:tc>
        <w:tc>
          <w:tcPr>
            <w:tcW w:w="630" w:type="dxa"/>
            <w:tcBorders>
              <w:top w:val="single" w:sz="12" w:space="0" w:color="auto"/>
            </w:tcBorders>
            <w:vAlign w:val="center"/>
          </w:tcPr>
          <w:p w14:paraId="49909782" w14:textId="77777777" w:rsidR="00CD55F1" w:rsidRDefault="00CD55F1" w:rsidP="00024DD9">
            <w:pPr>
              <w:jc w:val="center"/>
            </w:pPr>
            <w:r>
              <w:t>0</w:t>
            </w:r>
          </w:p>
        </w:tc>
        <w:tc>
          <w:tcPr>
            <w:tcW w:w="990" w:type="dxa"/>
            <w:tcBorders>
              <w:top w:val="single" w:sz="12" w:space="0" w:color="auto"/>
            </w:tcBorders>
            <w:vAlign w:val="center"/>
          </w:tcPr>
          <w:p w14:paraId="4B112174" w14:textId="77777777" w:rsidR="00CD55F1" w:rsidRDefault="00CD55F1" w:rsidP="00024DD9">
            <w:pPr>
              <w:jc w:val="center"/>
            </w:pPr>
            <w:r>
              <w:t>0</w:t>
            </w:r>
          </w:p>
        </w:tc>
      </w:tr>
      <w:tr w:rsidR="00CD55F1" w:rsidRPr="00F60A9B" w14:paraId="6313512E" w14:textId="77777777" w:rsidTr="00024DD9">
        <w:trPr>
          <w:jc w:val="center"/>
        </w:trPr>
        <w:tc>
          <w:tcPr>
            <w:tcW w:w="874" w:type="dxa"/>
            <w:tcBorders>
              <w:right w:val="single" w:sz="12" w:space="0" w:color="auto"/>
            </w:tcBorders>
          </w:tcPr>
          <w:p w14:paraId="28DC2E8B"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21F25C8B" w14:textId="77777777" w:rsidR="00CD55F1" w:rsidRDefault="00CD55F1" w:rsidP="00024DD9">
            <w:pPr>
              <w:jc w:val="center"/>
            </w:pPr>
            <w:r>
              <w:t>0</w:t>
            </w:r>
          </w:p>
        </w:tc>
        <w:tc>
          <w:tcPr>
            <w:tcW w:w="565" w:type="dxa"/>
            <w:vAlign w:val="center"/>
          </w:tcPr>
          <w:p w14:paraId="69D5165D" w14:textId="77777777" w:rsidR="00CD55F1" w:rsidRPr="00210DD1" w:rsidRDefault="00CD55F1" w:rsidP="00024DD9">
            <w:pPr>
              <w:jc w:val="center"/>
            </w:pPr>
            <w:r>
              <w:t>0</w:t>
            </w:r>
          </w:p>
        </w:tc>
        <w:tc>
          <w:tcPr>
            <w:tcW w:w="634" w:type="dxa"/>
            <w:vAlign w:val="center"/>
          </w:tcPr>
          <w:p w14:paraId="2EC7CDC5" w14:textId="77777777" w:rsidR="00CD55F1" w:rsidRPr="00210DD1" w:rsidRDefault="00CD55F1" w:rsidP="00024DD9">
            <w:pPr>
              <w:jc w:val="center"/>
            </w:pPr>
            <w:r>
              <w:t>0</w:t>
            </w:r>
          </w:p>
        </w:tc>
        <w:tc>
          <w:tcPr>
            <w:tcW w:w="607" w:type="dxa"/>
            <w:vAlign w:val="center"/>
          </w:tcPr>
          <w:p w14:paraId="422DCC31" w14:textId="77777777" w:rsidR="00CD55F1" w:rsidRPr="00210DD1" w:rsidRDefault="00CD55F1" w:rsidP="00024DD9">
            <w:pPr>
              <w:jc w:val="center"/>
            </w:pPr>
            <w:r>
              <w:t>0</w:t>
            </w:r>
          </w:p>
        </w:tc>
        <w:tc>
          <w:tcPr>
            <w:tcW w:w="950" w:type="dxa"/>
            <w:vAlign w:val="center"/>
          </w:tcPr>
          <w:p w14:paraId="71FF5488" w14:textId="77777777" w:rsidR="00CD55F1" w:rsidRDefault="00CD55F1" w:rsidP="00024DD9">
            <w:pPr>
              <w:jc w:val="center"/>
            </w:pPr>
            <w:r>
              <w:t>0</w:t>
            </w:r>
          </w:p>
        </w:tc>
        <w:tc>
          <w:tcPr>
            <w:tcW w:w="359" w:type="dxa"/>
            <w:tcBorders>
              <w:top w:val="nil"/>
              <w:left w:val="nil"/>
              <w:bottom w:val="nil"/>
              <w:right w:val="nil"/>
            </w:tcBorders>
            <w:vAlign w:val="center"/>
          </w:tcPr>
          <w:p w14:paraId="6B5AD25A" w14:textId="77777777" w:rsidR="00CD55F1" w:rsidRDefault="00CD55F1" w:rsidP="00024DD9">
            <w:pPr>
              <w:jc w:val="center"/>
            </w:pPr>
          </w:p>
        </w:tc>
        <w:tc>
          <w:tcPr>
            <w:tcW w:w="874" w:type="dxa"/>
            <w:vAlign w:val="center"/>
          </w:tcPr>
          <w:p w14:paraId="1644A4BC" w14:textId="77777777" w:rsidR="00CD55F1" w:rsidRPr="005B7BEE" w:rsidRDefault="00CD55F1" w:rsidP="00024DD9">
            <w:pPr>
              <w:jc w:val="center"/>
              <w:rPr>
                <w:sz w:val="14"/>
                <w:szCs w:val="14"/>
              </w:rPr>
            </w:pPr>
            <w:r>
              <w:rPr>
                <w:sz w:val="14"/>
                <w:szCs w:val="14"/>
              </w:rPr>
              <w:t>Often</w:t>
            </w:r>
          </w:p>
        </w:tc>
        <w:tc>
          <w:tcPr>
            <w:tcW w:w="780" w:type="dxa"/>
            <w:vAlign w:val="center"/>
          </w:tcPr>
          <w:p w14:paraId="62707246" w14:textId="77777777" w:rsidR="00CD55F1" w:rsidRDefault="00CD55F1" w:rsidP="00024DD9">
            <w:pPr>
              <w:jc w:val="center"/>
            </w:pPr>
            <w:r>
              <w:t>0</w:t>
            </w:r>
          </w:p>
        </w:tc>
        <w:tc>
          <w:tcPr>
            <w:tcW w:w="687" w:type="dxa"/>
            <w:vAlign w:val="center"/>
          </w:tcPr>
          <w:p w14:paraId="0EDCC731" w14:textId="77777777" w:rsidR="00CD55F1" w:rsidRPr="00210DD1" w:rsidRDefault="00CD55F1" w:rsidP="00024DD9">
            <w:pPr>
              <w:jc w:val="center"/>
            </w:pPr>
            <w:r>
              <w:t>0</w:t>
            </w:r>
          </w:p>
        </w:tc>
        <w:tc>
          <w:tcPr>
            <w:tcW w:w="720" w:type="dxa"/>
            <w:vAlign w:val="center"/>
          </w:tcPr>
          <w:p w14:paraId="46D25B85" w14:textId="77777777" w:rsidR="00CD55F1" w:rsidRPr="00210DD1" w:rsidRDefault="00CD55F1" w:rsidP="00024DD9">
            <w:pPr>
              <w:jc w:val="center"/>
            </w:pPr>
            <w:r>
              <w:t>0</w:t>
            </w:r>
          </w:p>
        </w:tc>
        <w:tc>
          <w:tcPr>
            <w:tcW w:w="630" w:type="dxa"/>
            <w:vAlign w:val="center"/>
          </w:tcPr>
          <w:p w14:paraId="0F0DEA6A" w14:textId="77777777" w:rsidR="00CD55F1" w:rsidRPr="00210DD1" w:rsidRDefault="00CD55F1" w:rsidP="00024DD9">
            <w:pPr>
              <w:jc w:val="center"/>
            </w:pPr>
            <w:r>
              <w:t>0</w:t>
            </w:r>
          </w:p>
        </w:tc>
        <w:tc>
          <w:tcPr>
            <w:tcW w:w="990" w:type="dxa"/>
            <w:vAlign w:val="center"/>
          </w:tcPr>
          <w:p w14:paraId="23E6A9F8" w14:textId="77777777" w:rsidR="00CD55F1" w:rsidRDefault="00CD55F1" w:rsidP="00024DD9">
            <w:pPr>
              <w:jc w:val="center"/>
            </w:pPr>
            <w:r>
              <w:t>0</w:t>
            </w:r>
          </w:p>
        </w:tc>
      </w:tr>
      <w:tr w:rsidR="00CD55F1" w:rsidRPr="00F60A9B" w14:paraId="748080F6" w14:textId="77777777" w:rsidTr="00024DD9">
        <w:trPr>
          <w:jc w:val="center"/>
        </w:trPr>
        <w:tc>
          <w:tcPr>
            <w:tcW w:w="874" w:type="dxa"/>
            <w:tcBorders>
              <w:right w:val="single" w:sz="12" w:space="0" w:color="auto"/>
            </w:tcBorders>
          </w:tcPr>
          <w:p w14:paraId="771E337D"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5CAA442F" w14:textId="77777777" w:rsidR="00CD55F1" w:rsidRDefault="00CD55F1" w:rsidP="00024DD9">
            <w:pPr>
              <w:jc w:val="center"/>
            </w:pPr>
            <w:r>
              <w:t>1</w:t>
            </w:r>
          </w:p>
        </w:tc>
        <w:tc>
          <w:tcPr>
            <w:tcW w:w="565" w:type="dxa"/>
            <w:shd w:val="clear" w:color="auto" w:fill="auto"/>
            <w:vAlign w:val="center"/>
          </w:tcPr>
          <w:p w14:paraId="0B06AFFF"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1A9A72DA"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3234C4ED"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2D7386A0"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44006963" w14:textId="77777777" w:rsidR="00CD55F1" w:rsidRDefault="00CD55F1" w:rsidP="00024DD9">
            <w:pPr>
              <w:jc w:val="center"/>
            </w:pPr>
          </w:p>
        </w:tc>
        <w:tc>
          <w:tcPr>
            <w:tcW w:w="874" w:type="dxa"/>
            <w:shd w:val="clear" w:color="auto" w:fill="auto"/>
            <w:vAlign w:val="center"/>
          </w:tcPr>
          <w:p w14:paraId="5ED7DCD2"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1A3F46AC" w14:textId="77777777" w:rsidR="00CD55F1" w:rsidRDefault="00CD55F1" w:rsidP="00024DD9">
            <w:pPr>
              <w:jc w:val="center"/>
            </w:pPr>
            <w:r>
              <w:rPr>
                <w:rFonts w:ascii="Calibri" w:hAnsi="Calibri" w:cs="Calibri"/>
              </w:rPr>
              <w:t>0</w:t>
            </w:r>
          </w:p>
        </w:tc>
        <w:tc>
          <w:tcPr>
            <w:tcW w:w="687" w:type="dxa"/>
            <w:vAlign w:val="center"/>
          </w:tcPr>
          <w:p w14:paraId="0886FAEC" w14:textId="77777777" w:rsidR="00CD55F1" w:rsidRPr="00210DD1" w:rsidRDefault="00CD55F1" w:rsidP="00024DD9">
            <w:pPr>
              <w:jc w:val="center"/>
            </w:pPr>
            <w:r>
              <w:rPr>
                <w:rFonts w:ascii="Calibri" w:hAnsi="Calibri" w:cs="Calibri"/>
              </w:rPr>
              <w:t>3</w:t>
            </w:r>
          </w:p>
        </w:tc>
        <w:tc>
          <w:tcPr>
            <w:tcW w:w="720" w:type="dxa"/>
            <w:vAlign w:val="center"/>
          </w:tcPr>
          <w:p w14:paraId="3D54D952" w14:textId="77777777" w:rsidR="00CD55F1" w:rsidRPr="00210DD1" w:rsidRDefault="00CD55F1" w:rsidP="00024DD9">
            <w:pPr>
              <w:jc w:val="center"/>
            </w:pPr>
            <w:r w:rsidRPr="00F60A9B">
              <w:rPr>
                <w:rFonts w:ascii="Calibri" w:hAnsi="Calibri" w:cs="Calibri"/>
              </w:rPr>
              <w:t>0</w:t>
            </w:r>
          </w:p>
        </w:tc>
        <w:tc>
          <w:tcPr>
            <w:tcW w:w="630" w:type="dxa"/>
            <w:vAlign w:val="center"/>
          </w:tcPr>
          <w:p w14:paraId="7B21F15B" w14:textId="77777777" w:rsidR="00CD55F1" w:rsidRPr="00210DD1" w:rsidRDefault="00CD55F1" w:rsidP="00024DD9">
            <w:pPr>
              <w:jc w:val="center"/>
            </w:pPr>
            <w:r w:rsidRPr="00F60A9B">
              <w:rPr>
                <w:rFonts w:ascii="Calibri" w:hAnsi="Calibri" w:cs="Calibri"/>
              </w:rPr>
              <w:t>0</w:t>
            </w:r>
          </w:p>
        </w:tc>
        <w:tc>
          <w:tcPr>
            <w:tcW w:w="990" w:type="dxa"/>
            <w:vAlign w:val="center"/>
          </w:tcPr>
          <w:p w14:paraId="603536B4" w14:textId="77777777" w:rsidR="00CD55F1" w:rsidRDefault="00CD55F1" w:rsidP="00024DD9">
            <w:pPr>
              <w:jc w:val="center"/>
            </w:pPr>
            <w:r w:rsidRPr="00F60A9B">
              <w:rPr>
                <w:rFonts w:ascii="Calibri" w:hAnsi="Calibri" w:cs="Calibri"/>
              </w:rPr>
              <w:t>0</w:t>
            </w:r>
          </w:p>
        </w:tc>
      </w:tr>
      <w:tr w:rsidR="00CD55F1" w:rsidRPr="00F60A9B" w14:paraId="118C615E" w14:textId="77777777" w:rsidTr="00024DD9">
        <w:trPr>
          <w:jc w:val="center"/>
        </w:trPr>
        <w:tc>
          <w:tcPr>
            <w:tcW w:w="874" w:type="dxa"/>
            <w:tcBorders>
              <w:right w:val="single" w:sz="12" w:space="0" w:color="auto"/>
            </w:tcBorders>
          </w:tcPr>
          <w:p w14:paraId="00E05AF4"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3A0DE03D" w14:textId="77777777" w:rsidR="00CD55F1" w:rsidRPr="00F60A9B" w:rsidRDefault="00CD55F1" w:rsidP="00024DD9">
            <w:pPr>
              <w:jc w:val="center"/>
            </w:pPr>
            <w:r>
              <w:t>0</w:t>
            </w:r>
          </w:p>
        </w:tc>
        <w:tc>
          <w:tcPr>
            <w:tcW w:w="565" w:type="dxa"/>
            <w:shd w:val="clear" w:color="auto" w:fill="auto"/>
            <w:vAlign w:val="center"/>
          </w:tcPr>
          <w:p w14:paraId="41605456"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279033D2"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6220CB31"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1F1FF0B8"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2762751F"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0733FB89" w14:textId="77777777" w:rsidR="00CD55F1" w:rsidRDefault="00CD55F1" w:rsidP="00024DD9">
            <w:pPr>
              <w:jc w:val="center"/>
            </w:pPr>
            <w:r w:rsidRPr="005B7BEE">
              <w:rPr>
                <w:sz w:val="14"/>
                <w:szCs w:val="14"/>
              </w:rPr>
              <w:t>Probable</w:t>
            </w:r>
          </w:p>
        </w:tc>
        <w:tc>
          <w:tcPr>
            <w:tcW w:w="780" w:type="dxa"/>
            <w:shd w:val="clear" w:color="auto" w:fill="auto"/>
            <w:vAlign w:val="center"/>
          </w:tcPr>
          <w:p w14:paraId="70455F01" w14:textId="77777777" w:rsidR="00CD55F1" w:rsidRDefault="00CD55F1" w:rsidP="00024DD9">
            <w:pPr>
              <w:jc w:val="center"/>
            </w:pPr>
            <w:r>
              <w:rPr>
                <w:rFonts w:ascii="Calibri" w:hAnsi="Calibri" w:cs="Calibri"/>
              </w:rPr>
              <w:t>1</w:t>
            </w:r>
          </w:p>
        </w:tc>
        <w:tc>
          <w:tcPr>
            <w:tcW w:w="687" w:type="dxa"/>
            <w:shd w:val="clear" w:color="auto" w:fill="auto"/>
            <w:vAlign w:val="center"/>
          </w:tcPr>
          <w:p w14:paraId="305A97F5" w14:textId="77777777" w:rsidR="00CD55F1" w:rsidRDefault="00CD55F1" w:rsidP="00024DD9">
            <w:pPr>
              <w:jc w:val="center"/>
            </w:pPr>
            <w:r>
              <w:rPr>
                <w:rFonts w:ascii="Calibri" w:hAnsi="Calibri" w:cs="Calibri"/>
              </w:rPr>
              <w:t>2</w:t>
            </w:r>
          </w:p>
        </w:tc>
        <w:tc>
          <w:tcPr>
            <w:tcW w:w="720" w:type="dxa"/>
            <w:vAlign w:val="center"/>
          </w:tcPr>
          <w:p w14:paraId="1E846FBE" w14:textId="77777777" w:rsidR="00CD55F1" w:rsidRDefault="00CD55F1" w:rsidP="00024DD9">
            <w:pPr>
              <w:jc w:val="center"/>
            </w:pPr>
            <w:r>
              <w:rPr>
                <w:rFonts w:ascii="Calibri" w:hAnsi="Calibri" w:cs="Calibri"/>
              </w:rPr>
              <w:t>0</w:t>
            </w:r>
          </w:p>
        </w:tc>
        <w:tc>
          <w:tcPr>
            <w:tcW w:w="630" w:type="dxa"/>
            <w:vAlign w:val="center"/>
          </w:tcPr>
          <w:p w14:paraId="59BF886A" w14:textId="77777777" w:rsidR="00CD55F1" w:rsidRDefault="00CD55F1" w:rsidP="00024DD9">
            <w:pPr>
              <w:jc w:val="center"/>
            </w:pPr>
            <w:r w:rsidRPr="00F60A9B">
              <w:rPr>
                <w:rFonts w:ascii="Calibri" w:hAnsi="Calibri" w:cs="Calibri"/>
              </w:rPr>
              <w:t>1</w:t>
            </w:r>
          </w:p>
        </w:tc>
        <w:tc>
          <w:tcPr>
            <w:tcW w:w="990" w:type="dxa"/>
            <w:vAlign w:val="center"/>
          </w:tcPr>
          <w:p w14:paraId="23E133C9" w14:textId="77777777" w:rsidR="00CD55F1" w:rsidRDefault="00CD55F1" w:rsidP="00024DD9">
            <w:pPr>
              <w:jc w:val="center"/>
            </w:pPr>
            <w:r w:rsidRPr="00F60A9B">
              <w:rPr>
                <w:rFonts w:ascii="Calibri" w:hAnsi="Calibri" w:cs="Calibri"/>
              </w:rPr>
              <w:t>0</w:t>
            </w:r>
          </w:p>
        </w:tc>
      </w:tr>
      <w:tr w:rsidR="00CD55F1" w:rsidRPr="00F60A9B" w14:paraId="28FA09AC" w14:textId="77777777" w:rsidTr="00024DD9">
        <w:trPr>
          <w:jc w:val="center"/>
        </w:trPr>
        <w:tc>
          <w:tcPr>
            <w:tcW w:w="874" w:type="dxa"/>
            <w:tcBorders>
              <w:right w:val="single" w:sz="12" w:space="0" w:color="auto"/>
            </w:tcBorders>
          </w:tcPr>
          <w:p w14:paraId="5180013B"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36BC031C"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65D0185E"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7B43CE1F"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734784C1" w14:textId="77777777" w:rsidR="00CD55F1" w:rsidRPr="00210DD1" w:rsidRDefault="00CD55F1" w:rsidP="00024DD9">
            <w:pPr>
              <w:jc w:val="center"/>
            </w:pPr>
            <w:r>
              <w:t>2</w:t>
            </w:r>
          </w:p>
        </w:tc>
        <w:tc>
          <w:tcPr>
            <w:tcW w:w="950" w:type="dxa"/>
            <w:shd w:val="clear" w:color="auto" w:fill="auto"/>
            <w:vAlign w:val="center"/>
          </w:tcPr>
          <w:p w14:paraId="19BCC5F2"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7A0282B1" w14:textId="77777777" w:rsidR="00CD55F1" w:rsidRDefault="00CD55F1" w:rsidP="00024DD9">
            <w:pPr>
              <w:jc w:val="center"/>
            </w:pPr>
          </w:p>
        </w:tc>
        <w:tc>
          <w:tcPr>
            <w:tcW w:w="874" w:type="dxa"/>
            <w:shd w:val="clear" w:color="auto" w:fill="auto"/>
            <w:vAlign w:val="center"/>
          </w:tcPr>
          <w:p w14:paraId="4D5CBFD4" w14:textId="77777777" w:rsidR="00CD55F1" w:rsidRDefault="00CD55F1" w:rsidP="00024DD9">
            <w:pPr>
              <w:jc w:val="center"/>
            </w:pPr>
            <w:r w:rsidRPr="005B7BEE">
              <w:rPr>
                <w:sz w:val="14"/>
                <w:szCs w:val="14"/>
              </w:rPr>
              <w:t>Occasional</w:t>
            </w:r>
          </w:p>
        </w:tc>
        <w:tc>
          <w:tcPr>
            <w:tcW w:w="780" w:type="dxa"/>
            <w:shd w:val="clear" w:color="auto" w:fill="auto"/>
            <w:vAlign w:val="center"/>
          </w:tcPr>
          <w:p w14:paraId="7A3807D8" w14:textId="77777777" w:rsidR="00CD55F1" w:rsidRDefault="00CD55F1" w:rsidP="00024DD9">
            <w:pPr>
              <w:jc w:val="center"/>
            </w:pPr>
            <w:r>
              <w:rPr>
                <w:rFonts w:ascii="Calibri" w:hAnsi="Calibri" w:cs="Calibri"/>
              </w:rPr>
              <w:t>1</w:t>
            </w:r>
          </w:p>
        </w:tc>
        <w:tc>
          <w:tcPr>
            <w:tcW w:w="687" w:type="dxa"/>
            <w:shd w:val="clear" w:color="auto" w:fill="auto"/>
            <w:vAlign w:val="center"/>
          </w:tcPr>
          <w:p w14:paraId="5291F5E2" w14:textId="77777777" w:rsidR="00CD55F1" w:rsidRDefault="00CD55F1" w:rsidP="00024DD9">
            <w:pPr>
              <w:jc w:val="center"/>
            </w:pPr>
            <w:r>
              <w:rPr>
                <w:rFonts w:ascii="Calibri" w:hAnsi="Calibri" w:cs="Calibri"/>
              </w:rPr>
              <w:t>0</w:t>
            </w:r>
          </w:p>
        </w:tc>
        <w:tc>
          <w:tcPr>
            <w:tcW w:w="720" w:type="dxa"/>
            <w:vAlign w:val="center"/>
          </w:tcPr>
          <w:p w14:paraId="4492C83A" w14:textId="77777777" w:rsidR="00CD55F1" w:rsidRDefault="00CD55F1" w:rsidP="00024DD9">
            <w:pPr>
              <w:jc w:val="center"/>
            </w:pPr>
            <w:r>
              <w:rPr>
                <w:rFonts w:ascii="Calibri" w:hAnsi="Calibri" w:cs="Calibri"/>
              </w:rPr>
              <w:t>0</w:t>
            </w:r>
          </w:p>
        </w:tc>
        <w:tc>
          <w:tcPr>
            <w:tcW w:w="630" w:type="dxa"/>
            <w:vAlign w:val="center"/>
          </w:tcPr>
          <w:p w14:paraId="4E182CD7" w14:textId="77777777" w:rsidR="00CD55F1" w:rsidRDefault="00CD55F1" w:rsidP="00024DD9">
            <w:pPr>
              <w:jc w:val="center"/>
            </w:pPr>
            <w:r>
              <w:rPr>
                <w:rFonts w:ascii="Calibri" w:hAnsi="Calibri" w:cs="Calibri"/>
              </w:rPr>
              <w:t>0</w:t>
            </w:r>
          </w:p>
        </w:tc>
        <w:tc>
          <w:tcPr>
            <w:tcW w:w="990" w:type="dxa"/>
            <w:vAlign w:val="center"/>
          </w:tcPr>
          <w:p w14:paraId="107D10CC" w14:textId="77777777" w:rsidR="00CD55F1" w:rsidRDefault="00CD55F1" w:rsidP="00024DD9">
            <w:pPr>
              <w:jc w:val="center"/>
            </w:pPr>
            <w:r w:rsidRPr="00F60A9B">
              <w:rPr>
                <w:rFonts w:ascii="Calibri" w:hAnsi="Calibri" w:cs="Calibri"/>
              </w:rPr>
              <w:t>1</w:t>
            </w:r>
          </w:p>
        </w:tc>
      </w:tr>
      <w:tr w:rsidR="00CD55F1" w:rsidRPr="00F60A9B" w14:paraId="61E5B294" w14:textId="77777777" w:rsidTr="00024DD9">
        <w:trPr>
          <w:jc w:val="center"/>
        </w:trPr>
        <w:tc>
          <w:tcPr>
            <w:tcW w:w="874" w:type="dxa"/>
            <w:tcBorders>
              <w:right w:val="single" w:sz="12" w:space="0" w:color="auto"/>
            </w:tcBorders>
          </w:tcPr>
          <w:p w14:paraId="1B51E1BB"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2F4D7908" w14:textId="77777777" w:rsidR="00CD55F1" w:rsidRPr="00F60A9B" w:rsidRDefault="00CD55F1" w:rsidP="00024DD9">
            <w:pPr>
              <w:jc w:val="center"/>
            </w:pPr>
            <w:r>
              <w:rPr>
                <w:rFonts w:ascii="Calibri" w:hAnsi="Calibri" w:cs="Calibri"/>
              </w:rPr>
              <w:t>3</w:t>
            </w:r>
          </w:p>
        </w:tc>
        <w:tc>
          <w:tcPr>
            <w:tcW w:w="565" w:type="dxa"/>
            <w:vAlign w:val="center"/>
          </w:tcPr>
          <w:p w14:paraId="4A29074A" w14:textId="77777777" w:rsidR="00CD55F1" w:rsidRPr="00210DD1" w:rsidRDefault="00CD55F1" w:rsidP="00024DD9">
            <w:pPr>
              <w:jc w:val="center"/>
            </w:pPr>
            <w:r>
              <w:rPr>
                <w:rFonts w:ascii="Calibri" w:hAnsi="Calibri" w:cs="Calibri"/>
              </w:rPr>
              <w:t>0</w:t>
            </w:r>
          </w:p>
        </w:tc>
        <w:tc>
          <w:tcPr>
            <w:tcW w:w="634" w:type="dxa"/>
            <w:vAlign w:val="center"/>
          </w:tcPr>
          <w:p w14:paraId="2309847E" w14:textId="77777777" w:rsidR="00CD55F1" w:rsidRPr="00210DD1" w:rsidRDefault="00CD55F1" w:rsidP="00024DD9">
            <w:pPr>
              <w:jc w:val="center"/>
            </w:pPr>
            <w:r>
              <w:rPr>
                <w:rFonts w:ascii="Calibri" w:hAnsi="Calibri" w:cs="Calibri"/>
              </w:rPr>
              <w:t>0</w:t>
            </w:r>
          </w:p>
        </w:tc>
        <w:tc>
          <w:tcPr>
            <w:tcW w:w="607" w:type="dxa"/>
            <w:vAlign w:val="center"/>
          </w:tcPr>
          <w:p w14:paraId="3F2C8AC0" w14:textId="77777777" w:rsidR="00CD55F1" w:rsidRPr="00210DD1" w:rsidRDefault="00CD55F1" w:rsidP="00024DD9">
            <w:pPr>
              <w:jc w:val="center"/>
            </w:pPr>
            <w:r>
              <w:rPr>
                <w:rFonts w:ascii="Calibri" w:hAnsi="Calibri" w:cs="Calibri"/>
              </w:rPr>
              <w:t>3</w:t>
            </w:r>
          </w:p>
        </w:tc>
        <w:tc>
          <w:tcPr>
            <w:tcW w:w="950" w:type="dxa"/>
            <w:vAlign w:val="center"/>
          </w:tcPr>
          <w:p w14:paraId="2AD3AB56"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1560D5F1" w14:textId="77777777" w:rsidR="00CD55F1" w:rsidRDefault="00CD55F1" w:rsidP="00024DD9">
            <w:pPr>
              <w:jc w:val="center"/>
            </w:pPr>
          </w:p>
        </w:tc>
        <w:tc>
          <w:tcPr>
            <w:tcW w:w="874" w:type="dxa"/>
            <w:vAlign w:val="center"/>
          </w:tcPr>
          <w:p w14:paraId="3EFC2DE8" w14:textId="77777777" w:rsidR="00CD55F1" w:rsidRDefault="00CD55F1" w:rsidP="00024DD9">
            <w:pPr>
              <w:jc w:val="center"/>
            </w:pPr>
            <w:r w:rsidRPr="005B7BEE">
              <w:rPr>
                <w:sz w:val="14"/>
                <w:szCs w:val="14"/>
              </w:rPr>
              <w:t>Remote</w:t>
            </w:r>
          </w:p>
        </w:tc>
        <w:tc>
          <w:tcPr>
            <w:tcW w:w="780" w:type="dxa"/>
            <w:vAlign w:val="center"/>
          </w:tcPr>
          <w:p w14:paraId="6B79EF53" w14:textId="77777777" w:rsidR="00CD55F1" w:rsidRDefault="00CD55F1" w:rsidP="00024DD9">
            <w:pPr>
              <w:jc w:val="center"/>
            </w:pPr>
            <w:r>
              <w:rPr>
                <w:rFonts w:ascii="Calibri" w:hAnsi="Calibri" w:cs="Calibri"/>
              </w:rPr>
              <w:t>0</w:t>
            </w:r>
          </w:p>
        </w:tc>
        <w:tc>
          <w:tcPr>
            <w:tcW w:w="687" w:type="dxa"/>
            <w:vAlign w:val="center"/>
          </w:tcPr>
          <w:p w14:paraId="3FDF3F62" w14:textId="77777777" w:rsidR="00CD55F1" w:rsidRDefault="00CD55F1" w:rsidP="00024DD9">
            <w:pPr>
              <w:jc w:val="center"/>
            </w:pPr>
            <w:r>
              <w:rPr>
                <w:rFonts w:ascii="Calibri" w:hAnsi="Calibri" w:cs="Calibri"/>
              </w:rPr>
              <w:t>2</w:t>
            </w:r>
          </w:p>
        </w:tc>
        <w:tc>
          <w:tcPr>
            <w:tcW w:w="720" w:type="dxa"/>
            <w:vAlign w:val="center"/>
          </w:tcPr>
          <w:p w14:paraId="728F72BB" w14:textId="77777777" w:rsidR="00CD55F1" w:rsidRDefault="00CD55F1" w:rsidP="00024DD9">
            <w:pPr>
              <w:jc w:val="center"/>
            </w:pPr>
            <w:r>
              <w:rPr>
                <w:rFonts w:ascii="Calibri" w:hAnsi="Calibri" w:cs="Calibri"/>
              </w:rPr>
              <w:t>0</w:t>
            </w:r>
          </w:p>
        </w:tc>
        <w:tc>
          <w:tcPr>
            <w:tcW w:w="630" w:type="dxa"/>
            <w:shd w:val="clear" w:color="auto" w:fill="D9E2F3" w:themeFill="accent1" w:themeFillTint="33"/>
            <w:vAlign w:val="center"/>
          </w:tcPr>
          <w:p w14:paraId="043171DD" w14:textId="77777777" w:rsidR="00CD55F1" w:rsidRDefault="00CD55F1" w:rsidP="00024DD9">
            <w:pPr>
              <w:jc w:val="center"/>
            </w:pPr>
            <w:r>
              <w:rPr>
                <w:rFonts w:ascii="Calibri" w:hAnsi="Calibri" w:cs="Calibri"/>
              </w:rPr>
              <w:t>0+ 1 = 1</w:t>
            </w:r>
          </w:p>
        </w:tc>
        <w:tc>
          <w:tcPr>
            <w:tcW w:w="990" w:type="dxa"/>
            <w:vAlign w:val="center"/>
          </w:tcPr>
          <w:p w14:paraId="77E9DD8F" w14:textId="77777777" w:rsidR="00CD55F1" w:rsidRDefault="00CD55F1" w:rsidP="00024DD9">
            <w:pPr>
              <w:jc w:val="center"/>
            </w:pPr>
            <w:r>
              <w:rPr>
                <w:rFonts w:ascii="Calibri" w:hAnsi="Calibri" w:cs="Calibri"/>
              </w:rPr>
              <w:t>0</w:t>
            </w:r>
          </w:p>
        </w:tc>
      </w:tr>
      <w:tr w:rsidR="00CD55F1" w:rsidRPr="00F60A9B" w14:paraId="33C21070" w14:textId="77777777" w:rsidTr="00024DD9">
        <w:trPr>
          <w:jc w:val="center"/>
        </w:trPr>
        <w:tc>
          <w:tcPr>
            <w:tcW w:w="874" w:type="dxa"/>
            <w:tcBorders>
              <w:right w:val="single" w:sz="12" w:space="0" w:color="auto"/>
            </w:tcBorders>
          </w:tcPr>
          <w:p w14:paraId="4400CCE1"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6DC0A9E7" w14:textId="77777777" w:rsidR="00CD55F1" w:rsidRPr="00F60A9B" w:rsidRDefault="00CD55F1" w:rsidP="00024DD9">
            <w:pPr>
              <w:jc w:val="center"/>
            </w:pPr>
            <w:r>
              <w:rPr>
                <w:rFonts w:ascii="Calibri" w:hAnsi="Calibri" w:cs="Calibri"/>
              </w:rPr>
              <w:t>0</w:t>
            </w:r>
          </w:p>
        </w:tc>
        <w:tc>
          <w:tcPr>
            <w:tcW w:w="565" w:type="dxa"/>
            <w:vAlign w:val="center"/>
          </w:tcPr>
          <w:p w14:paraId="1342FEC7"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0C34D583"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61EFC56D" w14:textId="77777777" w:rsidR="00CD55F1" w:rsidRPr="00210DD1" w:rsidRDefault="00CD55F1" w:rsidP="00024DD9">
            <w:pPr>
              <w:jc w:val="center"/>
            </w:pPr>
            <w:r>
              <w:rPr>
                <w:rFonts w:ascii="Calibri" w:hAnsi="Calibri" w:cs="Calibri"/>
              </w:rPr>
              <w:t>1</w:t>
            </w:r>
          </w:p>
        </w:tc>
        <w:tc>
          <w:tcPr>
            <w:tcW w:w="950" w:type="dxa"/>
            <w:shd w:val="clear" w:color="auto" w:fill="auto"/>
            <w:vAlign w:val="center"/>
          </w:tcPr>
          <w:p w14:paraId="4675C156"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2E86D8CF" w14:textId="77777777" w:rsidR="00CD55F1" w:rsidRDefault="00CD55F1" w:rsidP="00024DD9">
            <w:pPr>
              <w:keepNext/>
              <w:jc w:val="center"/>
            </w:pPr>
          </w:p>
        </w:tc>
        <w:tc>
          <w:tcPr>
            <w:tcW w:w="874" w:type="dxa"/>
            <w:vAlign w:val="center"/>
          </w:tcPr>
          <w:p w14:paraId="06384B81" w14:textId="77777777" w:rsidR="00CD55F1" w:rsidRDefault="00CD55F1" w:rsidP="00024DD9">
            <w:pPr>
              <w:keepNext/>
              <w:jc w:val="center"/>
            </w:pPr>
            <w:r w:rsidRPr="005B7BEE">
              <w:rPr>
                <w:sz w:val="14"/>
                <w:szCs w:val="14"/>
              </w:rPr>
              <w:t>Improbable</w:t>
            </w:r>
          </w:p>
        </w:tc>
        <w:tc>
          <w:tcPr>
            <w:tcW w:w="780" w:type="dxa"/>
            <w:vAlign w:val="center"/>
          </w:tcPr>
          <w:p w14:paraId="38B54039" w14:textId="77777777" w:rsidR="00CD55F1" w:rsidRDefault="00CD55F1" w:rsidP="00024DD9">
            <w:pPr>
              <w:keepNext/>
              <w:jc w:val="center"/>
            </w:pPr>
            <w:r>
              <w:rPr>
                <w:rFonts w:ascii="Calibri" w:hAnsi="Calibri" w:cs="Calibri"/>
              </w:rPr>
              <w:t>0</w:t>
            </w:r>
          </w:p>
        </w:tc>
        <w:tc>
          <w:tcPr>
            <w:tcW w:w="687" w:type="dxa"/>
            <w:vAlign w:val="center"/>
          </w:tcPr>
          <w:p w14:paraId="1C6D9291" w14:textId="77777777" w:rsidR="00CD55F1" w:rsidRDefault="00CD55F1" w:rsidP="00024DD9">
            <w:pPr>
              <w:keepNext/>
              <w:jc w:val="center"/>
            </w:pPr>
            <w:r>
              <w:rPr>
                <w:rFonts w:ascii="Calibri" w:hAnsi="Calibri" w:cs="Calibri"/>
              </w:rPr>
              <w:t>1</w:t>
            </w:r>
          </w:p>
        </w:tc>
        <w:tc>
          <w:tcPr>
            <w:tcW w:w="720" w:type="dxa"/>
            <w:vAlign w:val="center"/>
          </w:tcPr>
          <w:p w14:paraId="329C7F92" w14:textId="77777777" w:rsidR="00CD55F1" w:rsidRDefault="00CD55F1" w:rsidP="00024DD9">
            <w:pPr>
              <w:keepNext/>
              <w:jc w:val="center"/>
            </w:pPr>
            <w:r>
              <w:rPr>
                <w:rFonts w:ascii="Calibri" w:hAnsi="Calibri" w:cs="Calibri"/>
              </w:rPr>
              <w:t>0</w:t>
            </w:r>
          </w:p>
        </w:tc>
        <w:tc>
          <w:tcPr>
            <w:tcW w:w="630" w:type="dxa"/>
            <w:shd w:val="clear" w:color="auto" w:fill="D9E2F3" w:themeFill="accent1" w:themeFillTint="33"/>
            <w:vAlign w:val="center"/>
          </w:tcPr>
          <w:p w14:paraId="38D6D50A" w14:textId="77777777" w:rsidR="00CD55F1" w:rsidRDefault="00CD55F1" w:rsidP="00024DD9">
            <w:pPr>
              <w:keepNext/>
              <w:jc w:val="center"/>
            </w:pPr>
            <w:r>
              <w:rPr>
                <w:rFonts w:ascii="Calibri" w:hAnsi="Calibri" w:cs="Calibri"/>
              </w:rPr>
              <w:t>10-10 = 0</w:t>
            </w:r>
          </w:p>
        </w:tc>
        <w:tc>
          <w:tcPr>
            <w:tcW w:w="990" w:type="dxa"/>
            <w:vAlign w:val="center"/>
          </w:tcPr>
          <w:p w14:paraId="24B7A1AC" w14:textId="77777777" w:rsidR="00CD55F1" w:rsidRDefault="00CD55F1" w:rsidP="00024DD9">
            <w:pPr>
              <w:keepNext/>
              <w:jc w:val="center"/>
            </w:pPr>
            <w:r w:rsidRPr="00F60A9B">
              <w:rPr>
                <w:rFonts w:ascii="Calibri" w:hAnsi="Calibri" w:cs="Calibri"/>
              </w:rPr>
              <w:t>0</w:t>
            </w:r>
          </w:p>
        </w:tc>
      </w:tr>
    </w:tbl>
    <w:p w14:paraId="36FD6112" w14:textId="2BE5D9F7" w:rsidR="00CD55F1" w:rsidRDefault="00CD55F1">
      <w:pPr>
        <w:pStyle w:val="ListParagraph"/>
        <w:numPr>
          <w:ilvl w:val="0"/>
          <w:numId w:val="27"/>
        </w:numPr>
        <w:spacing w:before="160"/>
      </w:pPr>
      <w:r>
        <w:t xml:space="preserve">Second:  Using </w:t>
      </w:r>
      <w:r w:rsidR="00445AB5">
        <w:fldChar w:fldCharType="begin"/>
      </w:r>
      <w:r w:rsidR="00445AB5">
        <w:instrText xml:space="preserve"> REF _Ref151218484 \h </w:instrText>
      </w:r>
      <w:r w:rsidR="00445AB5">
        <w:fldChar w:fldCharType="separate"/>
      </w:r>
      <w:r w:rsidR="00445AB5" w:rsidRPr="00646086">
        <w:rPr>
          <w:rFonts w:eastAsia="TimesNewRomanPSMT" w:cs="TimesNewRomanPSMT"/>
          <w:b/>
          <w:color w:val="000000"/>
          <w:u w:val="single"/>
        </w:rPr>
        <w:t>Removing Identical Risks</w:t>
      </w:r>
      <w:r w:rsidR="00445AB5">
        <w:fldChar w:fldCharType="end"/>
      </w:r>
      <w:r>
        <w:t xml:space="preserve"> on the previous equation, we now get: </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5F4A915A" w14:textId="77777777" w:rsidTr="00024DD9">
        <w:trPr>
          <w:tblHeader/>
          <w:jc w:val="center"/>
        </w:trPr>
        <w:tc>
          <w:tcPr>
            <w:tcW w:w="874" w:type="dxa"/>
            <w:tcBorders>
              <w:top w:val="nil"/>
              <w:left w:val="nil"/>
              <w:bottom w:val="single" w:sz="4" w:space="0" w:color="auto"/>
            </w:tcBorders>
            <w:vAlign w:val="center"/>
          </w:tcPr>
          <w:p w14:paraId="3181B4D9"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5803C358"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2369F0FF"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324F1AF0"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1FC93AC9"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05E10372" w14:textId="77777777" w:rsidR="00CD55F1" w:rsidRPr="005B7BEE" w:rsidRDefault="00CD55F1" w:rsidP="00024DD9">
            <w:pPr>
              <w:jc w:val="center"/>
              <w:rPr>
                <w:sz w:val="14"/>
                <w:szCs w:val="14"/>
              </w:rPr>
            </w:pPr>
            <w:r w:rsidRPr="005B7BEE">
              <w:rPr>
                <w:sz w:val="14"/>
                <w:szCs w:val="14"/>
              </w:rPr>
              <w:t xml:space="preserve">Catastrophic </w:t>
            </w:r>
          </w:p>
          <w:p w14:paraId="244DD866"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59738C6E"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40DF4DD3"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51B966C7"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50A8B2F0"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72E58870"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6AB01610"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004B5AE1" w14:textId="77777777" w:rsidR="00CD55F1" w:rsidRPr="005B7BEE" w:rsidRDefault="00CD55F1" w:rsidP="00024DD9">
            <w:pPr>
              <w:jc w:val="center"/>
              <w:rPr>
                <w:sz w:val="14"/>
                <w:szCs w:val="14"/>
              </w:rPr>
            </w:pPr>
            <w:r w:rsidRPr="005B7BEE">
              <w:rPr>
                <w:sz w:val="14"/>
                <w:szCs w:val="14"/>
              </w:rPr>
              <w:t xml:space="preserve">Catastrophic </w:t>
            </w:r>
          </w:p>
          <w:p w14:paraId="65EA0EE7"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6C348CC7" w14:textId="77777777" w:rsidTr="00024DD9">
        <w:trPr>
          <w:jc w:val="center"/>
        </w:trPr>
        <w:tc>
          <w:tcPr>
            <w:tcW w:w="874" w:type="dxa"/>
            <w:tcBorders>
              <w:top w:val="single" w:sz="4" w:space="0" w:color="auto"/>
              <w:right w:val="single" w:sz="12" w:space="0" w:color="auto"/>
            </w:tcBorders>
          </w:tcPr>
          <w:p w14:paraId="4AB72554"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6F1FD61D" w14:textId="77777777" w:rsidR="00CD55F1" w:rsidRPr="00F60A9B" w:rsidRDefault="00CD55F1" w:rsidP="00024DD9">
            <w:pPr>
              <w:jc w:val="center"/>
            </w:pPr>
            <w:r>
              <w:t>0</w:t>
            </w:r>
          </w:p>
        </w:tc>
        <w:tc>
          <w:tcPr>
            <w:tcW w:w="565" w:type="dxa"/>
            <w:tcBorders>
              <w:top w:val="single" w:sz="12" w:space="0" w:color="auto"/>
            </w:tcBorders>
            <w:vAlign w:val="center"/>
          </w:tcPr>
          <w:p w14:paraId="33660521" w14:textId="77777777" w:rsidR="00CD55F1" w:rsidRPr="00210DD1" w:rsidRDefault="00CD55F1" w:rsidP="00024DD9">
            <w:pPr>
              <w:jc w:val="center"/>
            </w:pPr>
            <w:r>
              <w:t>0</w:t>
            </w:r>
          </w:p>
        </w:tc>
        <w:tc>
          <w:tcPr>
            <w:tcW w:w="634" w:type="dxa"/>
            <w:tcBorders>
              <w:top w:val="single" w:sz="12" w:space="0" w:color="auto"/>
            </w:tcBorders>
            <w:vAlign w:val="center"/>
          </w:tcPr>
          <w:p w14:paraId="6BDFA0B9" w14:textId="77777777" w:rsidR="00CD55F1" w:rsidRPr="00210DD1" w:rsidRDefault="00CD55F1" w:rsidP="00024DD9">
            <w:pPr>
              <w:jc w:val="center"/>
            </w:pPr>
            <w:r>
              <w:t>0</w:t>
            </w:r>
          </w:p>
        </w:tc>
        <w:tc>
          <w:tcPr>
            <w:tcW w:w="607" w:type="dxa"/>
            <w:tcBorders>
              <w:top w:val="single" w:sz="12" w:space="0" w:color="auto"/>
            </w:tcBorders>
            <w:vAlign w:val="center"/>
          </w:tcPr>
          <w:p w14:paraId="7D25BBF6" w14:textId="77777777" w:rsidR="00CD55F1" w:rsidRPr="00210DD1" w:rsidRDefault="00CD55F1" w:rsidP="00024DD9">
            <w:pPr>
              <w:jc w:val="center"/>
            </w:pPr>
            <w:r>
              <w:t>0</w:t>
            </w:r>
          </w:p>
        </w:tc>
        <w:tc>
          <w:tcPr>
            <w:tcW w:w="950" w:type="dxa"/>
            <w:tcBorders>
              <w:top w:val="single" w:sz="12" w:space="0" w:color="auto"/>
            </w:tcBorders>
            <w:vAlign w:val="center"/>
          </w:tcPr>
          <w:p w14:paraId="2BA8B5CB" w14:textId="77777777" w:rsidR="00CD55F1" w:rsidRPr="00F60A9B" w:rsidRDefault="00CD55F1" w:rsidP="00024DD9">
            <w:pPr>
              <w:jc w:val="center"/>
            </w:pPr>
            <w:r>
              <w:t>0</w:t>
            </w:r>
          </w:p>
        </w:tc>
        <w:tc>
          <w:tcPr>
            <w:tcW w:w="359" w:type="dxa"/>
            <w:tcBorders>
              <w:top w:val="nil"/>
              <w:left w:val="nil"/>
              <w:bottom w:val="nil"/>
              <w:right w:val="nil"/>
            </w:tcBorders>
            <w:vAlign w:val="center"/>
          </w:tcPr>
          <w:p w14:paraId="0252F61B" w14:textId="77777777" w:rsidR="00CD55F1" w:rsidRDefault="00CD55F1" w:rsidP="00024DD9">
            <w:pPr>
              <w:jc w:val="center"/>
            </w:pPr>
          </w:p>
        </w:tc>
        <w:tc>
          <w:tcPr>
            <w:tcW w:w="874" w:type="dxa"/>
            <w:tcBorders>
              <w:top w:val="single" w:sz="12" w:space="0" w:color="auto"/>
            </w:tcBorders>
            <w:vAlign w:val="center"/>
          </w:tcPr>
          <w:p w14:paraId="43B8169E"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084876B5" w14:textId="77777777" w:rsidR="00CD55F1" w:rsidRDefault="00CD55F1" w:rsidP="00024DD9">
            <w:pPr>
              <w:jc w:val="center"/>
            </w:pPr>
            <w:r>
              <w:t>0</w:t>
            </w:r>
          </w:p>
        </w:tc>
        <w:tc>
          <w:tcPr>
            <w:tcW w:w="687" w:type="dxa"/>
            <w:tcBorders>
              <w:top w:val="single" w:sz="12" w:space="0" w:color="auto"/>
            </w:tcBorders>
            <w:vAlign w:val="center"/>
          </w:tcPr>
          <w:p w14:paraId="5EFEB6EC" w14:textId="77777777" w:rsidR="00CD55F1" w:rsidRDefault="00CD55F1" w:rsidP="00024DD9">
            <w:pPr>
              <w:jc w:val="center"/>
            </w:pPr>
            <w:r>
              <w:t>0</w:t>
            </w:r>
          </w:p>
        </w:tc>
        <w:tc>
          <w:tcPr>
            <w:tcW w:w="720" w:type="dxa"/>
            <w:tcBorders>
              <w:top w:val="single" w:sz="12" w:space="0" w:color="auto"/>
            </w:tcBorders>
            <w:vAlign w:val="center"/>
          </w:tcPr>
          <w:p w14:paraId="6CBC6C46" w14:textId="77777777" w:rsidR="00CD55F1" w:rsidRDefault="00CD55F1" w:rsidP="00024DD9">
            <w:pPr>
              <w:jc w:val="center"/>
            </w:pPr>
            <w:r>
              <w:t>0</w:t>
            </w:r>
          </w:p>
        </w:tc>
        <w:tc>
          <w:tcPr>
            <w:tcW w:w="630" w:type="dxa"/>
            <w:tcBorders>
              <w:top w:val="single" w:sz="12" w:space="0" w:color="auto"/>
            </w:tcBorders>
            <w:vAlign w:val="center"/>
          </w:tcPr>
          <w:p w14:paraId="1392B2E4" w14:textId="77777777" w:rsidR="00CD55F1" w:rsidRDefault="00CD55F1" w:rsidP="00024DD9">
            <w:pPr>
              <w:jc w:val="center"/>
            </w:pPr>
            <w:r>
              <w:t>0</w:t>
            </w:r>
          </w:p>
        </w:tc>
        <w:tc>
          <w:tcPr>
            <w:tcW w:w="990" w:type="dxa"/>
            <w:tcBorders>
              <w:top w:val="single" w:sz="12" w:space="0" w:color="auto"/>
            </w:tcBorders>
            <w:vAlign w:val="center"/>
          </w:tcPr>
          <w:p w14:paraId="7DE5993C" w14:textId="77777777" w:rsidR="00CD55F1" w:rsidRDefault="00CD55F1" w:rsidP="00024DD9">
            <w:pPr>
              <w:jc w:val="center"/>
            </w:pPr>
            <w:r>
              <w:t>0</w:t>
            </w:r>
          </w:p>
        </w:tc>
      </w:tr>
      <w:tr w:rsidR="00CD55F1" w:rsidRPr="00F60A9B" w14:paraId="1A4E44B1" w14:textId="77777777" w:rsidTr="00024DD9">
        <w:trPr>
          <w:jc w:val="center"/>
        </w:trPr>
        <w:tc>
          <w:tcPr>
            <w:tcW w:w="874" w:type="dxa"/>
            <w:tcBorders>
              <w:right w:val="single" w:sz="12" w:space="0" w:color="auto"/>
            </w:tcBorders>
          </w:tcPr>
          <w:p w14:paraId="3709A368"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07CEA307" w14:textId="77777777" w:rsidR="00CD55F1" w:rsidRDefault="00CD55F1" w:rsidP="00024DD9">
            <w:pPr>
              <w:jc w:val="center"/>
            </w:pPr>
            <w:r>
              <w:t>0</w:t>
            </w:r>
          </w:p>
        </w:tc>
        <w:tc>
          <w:tcPr>
            <w:tcW w:w="565" w:type="dxa"/>
            <w:vAlign w:val="center"/>
          </w:tcPr>
          <w:p w14:paraId="1D50F9A5" w14:textId="77777777" w:rsidR="00CD55F1" w:rsidRPr="00210DD1" w:rsidRDefault="00CD55F1" w:rsidP="00024DD9">
            <w:pPr>
              <w:jc w:val="center"/>
            </w:pPr>
            <w:r>
              <w:t>0</w:t>
            </w:r>
          </w:p>
        </w:tc>
        <w:tc>
          <w:tcPr>
            <w:tcW w:w="634" w:type="dxa"/>
            <w:vAlign w:val="center"/>
          </w:tcPr>
          <w:p w14:paraId="4685E7F6" w14:textId="77777777" w:rsidR="00CD55F1" w:rsidRPr="00210DD1" w:rsidRDefault="00CD55F1" w:rsidP="00024DD9">
            <w:pPr>
              <w:jc w:val="center"/>
            </w:pPr>
            <w:r>
              <w:t>0</w:t>
            </w:r>
          </w:p>
        </w:tc>
        <w:tc>
          <w:tcPr>
            <w:tcW w:w="607" w:type="dxa"/>
            <w:vAlign w:val="center"/>
          </w:tcPr>
          <w:p w14:paraId="1A20AAFA" w14:textId="77777777" w:rsidR="00CD55F1" w:rsidRPr="00210DD1" w:rsidRDefault="00CD55F1" w:rsidP="00024DD9">
            <w:pPr>
              <w:jc w:val="center"/>
            </w:pPr>
            <w:r>
              <w:t>0</w:t>
            </w:r>
          </w:p>
        </w:tc>
        <w:tc>
          <w:tcPr>
            <w:tcW w:w="950" w:type="dxa"/>
            <w:vAlign w:val="center"/>
          </w:tcPr>
          <w:p w14:paraId="724BEDCB" w14:textId="77777777" w:rsidR="00CD55F1" w:rsidRDefault="00CD55F1" w:rsidP="00024DD9">
            <w:pPr>
              <w:jc w:val="center"/>
            </w:pPr>
            <w:r>
              <w:t>0</w:t>
            </w:r>
          </w:p>
        </w:tc>
        <w:tc>
          <w:tcPr>
            <w:tcW w:w="359" w:type="dxa"/>
            <w:tcBorders>
              <w:top w:val="nil"/>
              <w:left w:val="nil"/>
              <w:bottom w:val="nil"/>
              <w:right w:val="nil"/>
            </w:tcBorders>
            <w:vAlign w:val="center"/>
          </w:tcPr>
          <w:p w14:paraId="65EE6EB1" w14:textId="77777777" w:rsidR="00CD55F1" w:rsidRDefault="00CD55F1" w:rsidP="00024DD9">
            <w:pPr>
              <w:jc w:val="center"/>
            </w:pPr>
          </w:p>
        </w:tc>
        <w:tc>
          <w:tcPr>
            <w:tcW w:w="874" w:type="dxa"/>
            <w:vAlign w:val="center"/>
          </w:tcPr>
          <w:p w14:paraId="07197683" w14:textId="77777777" w:rsidR="00CD55F1" w:rsidRPr="005B7BEE" w:rsidRDefault="00CD55F1" w:rsidP="00024DD9">
            <w:pPr>
              <w:jc w:val="center"/>
              <w:rPr>
                <w:sz w:val="14"/>
                <w:szCs w:val="14"/>
              </w:rPr>
            </w:pPr>
            <w:r>
              <w:rPr>
                <w:sz w:val="14"/>
                <w:szCs w:val="14"/>
              </w:rPr>
              <w:t>Often</w:t>
            </w:r>
          </w:p>
        </w:tc>
        <w:tc>
          <w:tcPr>
            <w:tcW w:w="780" w:type="dxa"/>
            <w:vAlign w:val="center"/>
          </w:tcPr>
          <w:p w14:paraId="76E43CE1" w14:textId="77777777" w:rsidR="00CD55F1" w:rsidRDefault="00CD55F1" w:rsidP="00024DD9">
            <w:pPr>
              <w:jc w:val="center"/>
            </w:pPr>
            <w:r>
              <w:t>0</w:t>
            </w:r>
          </w:p>
        </w:tc>
        <w:tc>
          <w:tcPr>
            <w:tcW w:w="687" w:type="dxa"/>
            <w:vAlign w:val="center"/>
          </w:tcPr>
          <w:p w14:paraId="2D0073E8" w14:textId="77777777" w:rsidR="00CD55F1" w:rsidRPr="00210DD1" w:rsidRDefault="00CD55F1" w:rsidP="00024DD9">
            <w:pPr>
              <w:jc w:val="center"/>
            </w:pPr>
            <w:r>
              <w:t>0</w:t>
            </w:r>
          </w:p>
        </w:tc>
        <w:tc>
          <w:tcPr>
            <w:tcW w:w="720" w:type="dxa"/>
            <w:vAlign w:val="center"/>
          </w:tcPr>
          <w:p w14:paraId="056B61FA" w14:textId="77777777" w:rsidR="00CD55F1" w:rsidRPr="00210DD1" w:rsidRDefault="00CD55F1" w:rsidP="00024DD9">
            <w:pPr>
              <w:jc w:val="center"/>
            </w:pPr>
            <w:r>
              <w:t>0</w:t>
            </w:r>
          </w:p>
        </w:tc>
        <w:tc>
          <w:tcPr>
            <w:tcW w:w="630" w:type="dxa"/>
            <w:vAlign w:val="center"/>
          </w:tcPr>
          <w:p w14:paraId="039A6D5F" w14:textId="77777777" w:rsidR="00CD55F1" w:rsidRPr="00210DD1" w:rsidRDefault="00CD55F1" w:rsidP="00024DD9">
            <w:pPr>
              <w:jc w:val="center"/>
            </w:pPr>
            <w:r>
              <w:t>0</w:t>
            </w:r>
          </w:p>
        </w:tc>
        <w:tc>
          <w:tcPr>
            <w:tcW w:w="990" w:type="dxa"/>
            <w:vAlign w:val="center"/>
          </w:tcPr>
          <w:p w14:paraId="566275CE" w14:textId="77777777" w:rsidR="00CD55F1" w:rsidRDefault="00CD55F1" w:rsidP="00024DD9">
            <w:pPr>
              <w:jc w:val="center"/>
            </w:pPr>
            <w:r>
              <w:t>0</w:t>
            </w:r>
          </w:p>
        </w:tc>
      </w:tr>
      <w:tr w:rsidR="00CD55F1" w:rsidRPr="00F60A9B" w14:paraId="5CECCEF1" w14:textId="77777777" w:rsidTr="00024DD9">
        <w:trPr>
          <w:jc w:val="center"/>
        </w:trPr>
        <w:tc>
          <w:tcPr>
            <w:tcW w:w="874" w:type="dxa"/>
            <w:tcBorders>
              <w:right w:val="single" w:sz="12" w:space="0" w:color="auto"/>
            </w:tcBorders>
          </w:tcPr>
          <w:p w14:paraId="47AE0082"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79565CA1" w14:textId="77777777" w:rsidR="00CD55F1" w:rsidRDefault="00CD55F1" w:rsidP="00024DD9">
            <w:pPr>
              <w:jc w:val="center"/>
            </w:pPr>
            <w:r>
              <w:t>1</w:t>
            </w:r>
          </w:p>
        </w:tc>
        <w:tc>
          <w:tcPr>
            <w:tcW w:w="565" w:type="dxa"/>
            <w:shd w:val="clear" w:color="auto" w:fill="auto"/>
            <w:vAlign w:val="center"/>
          </w:tcPr>
          <w:p w14:paraId="012C91CA"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25E1AB41"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5D73B148"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3A65063D"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50AD23AE" w14:textId="77777777" w:rsidR="00CD55F1" w:rsidRDefault="00CD55F1" w:rsidP="00024DD9">
            <w:pPr>
              <w:jc w:val="center"/>
            </w:pPr>
          </w:p>
        </w:tc>
        <w:tc>
          <w:tcPr>
            <w:tcW w:w="874" w:type="dxa"/>
            <w:shd w:val="clear" w:color="auto" w:fill="auto"/>
            <w:vAlign w:val="center"/>
          </w:tcPr>
          <w:p w14:paraId="1D3EBC08"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0AC02F04" w14:textId="77777777" w:rsidR="00CD55F1" w:rsidRDefault="00CD55F1" w:rsidP="00024DD9">
            <w:pPr>
              <w:jc w:val="center"/>
            </w:pPr>
            <w:r>
              <w:rPr>
                <w:rFonts w:ascii="Calibri" w:hAnsi="Calibri" w:cs="Calibri"/>
              </w:rPr>
              <w:t>0</w:t>
            </w:r>
          </w:p>
        </w:tc>
        <w:tc>
          <w:tcPr>
            <w:tcW w:w="687" w:type="dxa"/>
            <w:vAlign w:val="center"/>
          </w:tcPr>
          <w:p w14:paraId="09D85119" w14:textId="77777777" w:rsidR="00CD55F1" w:rsidRPr="00210DD1" w:rsidRDefault="00CD55F1" w:rsidP="00024DD9">
            <w:pPr>
              <w:jc w:val="center"/>
            </w:pPr>
            <w:r>
              <w:rPr>
                <w:rFonts w:ascii="Calibri" w:hAnsi="Calibri" w:cs="Calibri"/>
              </w:rPr>
              <w:t>3</w:t>
            </w:r>
          </w:p>
        </w:tc>
        <w:tc>
          <w:tcPr>
            <w:tcW w:w="720" w:type="dxa"/>
            <w:vAlign w:val="center"/>
          </w:tcPr>
          <w:p w14:paraId="4AABD8BD" w14:textId="77777777" w:rsidR="00CD55F1" w:rsidRPr="00210DD1" w:rsidRDefault="00CD55F1" w:rsidP="00024DD9">
            <w:pPr>
              <w:jc w:val="center"/>
            </w:pPr>
            <w:r w:rsidRPr="00F60A9B">
              <w:rPr>
                <w:rFonts w:ascii="Calibri" w:hAnsi="Calibri" w:cs="Calibri"/>
              </w:rPr>
              <w:t>0</w:t>
            </w:r>
          </w:p>
        </w:tc>
        <w:tc>
          <w:tcPr>
            <w:tcW w:w="630" w:type="dxa"/>
            <w:vAlign w:val="center"/>
          </w:tcPr>
          <w:p w14:paraId="3DA6AE64" w14:textId="77777777" w:rsidR="00CD55F1" w:rsidRPr="00210DD1" w:rsidRDefault="00CD55F1" w:rsidP="00024DD9">
            <w:pPr>
              <w:jc w:val="center"/>
            </w:pPr>
            <w:r w:rsidRPr="00F60A9B">
              <w:rPr>
                <w:rFonts w:ascii="Calibri" w:hAnsi="Calibri" w:cs="Calibri"/>
              </w:rPr>
              <w:t>0</w:t>
            </w:r>
          </w:p>
        </w:tc>
        <w:tc>
          <w:tcPr>
            <w:tcW w:w="990" w:type="dxa"/>
            <w:vAlign w:val="center"/>
          </w:tcPr>
          <w:p w14:paraId="3E7D031A" w14:textId="77777777" w:rsidR="00CD55F1" w:rsidRDefault="00CD55F1" w:rsidP="00024DD9">
            <w:pPr>
              <w:jc w:val="center"/>
            </w:pPr>
            <w:r w:rsidRPr="00F60A9B">
              <w:rPr>
                <w:rFonts w:ascii="Calibri" w:hAnsi="Calibri" w:cs="Calibri"/>
              </w:rPr>
              <w:t>0</w:t>
            </w:r>
          </w:p>
        </w:tc>
      </w:tr>
      <w:tr w:rsidR="00CD55F1" w:rsidRPr="00F60A9B" w14:paraId="7398F8FF" w14:textId="77777777" w:rsidTr="00024DD9">
        <w:trPr>
          <w:jc w:val="center"/>
        </w:trPr>
        <w:tc>
          <w:tcPr>
            <w:tcW w:w="874" w:type="dxa"/>
            <w:tcBorders>
              <w:right w:val="single" w:sz="12" w:space="0" w:color="auto"/>
            </w:tcBorders>
          </w:tcPr>
          <w:p w14:paraId="03CBCCDF"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3C7F27E8" w14:textId="77777777" w:rsidR="00CD55F1" w:rsidRPr="00F60A9B" w:rsidRDefault="00CD55F1" w:rsidP="00024DD9">
            <w:pPr>
              <w:jc w:val="center"/>
            </w:pPr>
            <w:r>
              <w:t>0</w:t>
            </w:r>
          </w:p>
        </w:tc>
        <w:tc>
          <w:tcPr>
            <w:tcW w:w="565" w:type="dxa"/>
            <w:shd w:val="clear" w:color="auto" w:fill="auto"/>
            <w:vAlign w:val="center"/>
          </w:tcPr>
          <w:p w14:paraId="752ABF27"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03F42D23"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497455D5"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0F0D961D"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17447FD3"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39E8785A" w14:textId="77777777" w:rsidR="00CD55F1" w:rsidRDefault="00CD55F1" w:rsidP="00024DD9">
            <w:pPr>
              <w:jc w:val="center"/>
            </w:pPr>
            <w:r w:rsidRPr="005B7BEE">
              <w:rPr>
                <w:sz w:val="14"/>
                <w:szCs w:val="14"/>
              </w:rPr>
              <w:t>Probable</w:t>
            </w:r>
          </w:p>
        </w:tc>
        <w:tc>
          <w:tcPr>
            <w:tcW w:w="780" w:type="dxa"/>
            <w:shd w:val="clear" w:color="auto" w:fill="auto"/>
            <w:vAlign w:val="center"/>
          </w:tcPr>
          <w:p w14:paraId="265DDF1A" w14:textId="77777777" w:rsidR="00CD55F1" w:rsidRDefault="00CD55F1" w:rsidP="00024DD9">
            <w:pPr>
              <w:jc w:val="center"/>
            </w:pPr>
            <w:r>
              <w:rPr>
                <w:rFonts w:ascii="Calibri" w:hAnsi="Calibri" w:cs="Calibri"/>
              </w:rPr>
              <w:t>1</w:t>
            </w:r>
          </w:p>
        </w:tc>
        <w:tc>
          <w:tcPr>
            <w:tcW w:w="687" w:type="dxa"/>
            <w:shd w:val="clear" w:color="auto" w:fill="auto"/>
            <w:vAlign w:val="center"/>
          </w:tcPr>
          <w:p w14:paraId="7A44AA14" w14:textId="77777777" w:rsidR="00CD55F1" w:rsidRDefault="00CD55F1" w:rsidP="00024DD9">
            <w:pPr>
              <w:jc w:val="center"/>
            </w:pPr>
            <w:r>
              <w:rPr>
                <w:rFonts w:ascii="Calibri" w:hAnsi="Calibri" w:cs="Calibri"/>
              </w:rPr>
              <w:t>2</w:t>
            </w:r>
          </w:p>
        </w:tc>
        <w:tc>
          <w:tcPr>
            <w:tcW w:w="720" w:type="dxa"/>
            <w:vAlign w:val="center"/>
          </w:tcPr>
          <w:p w14:paraId="373DC5F7" w14:textId="77777777" w:rsidR="00CD55F1" w:rsidRDefault="00CD55F1" w:rsidP="00024DD9">
            <w:pPr>
              <w:jc w:val="center"/>
            </w:pPr>
            <w:r>
              <w:rPr>
                <w:rFonts w:ascii="Calibri" w:hAnsi="Calibri" w:cs="Calibri"/>
              </w:rPr>
              <w:t>0</w:t>
            </w:r>
          </w:p>
        </w:tc>
        <w:tc>
          <w:tcPr>
            <w:tcW w:w="630" w:type="dxa"/>
            <w:vAlign w:val="center"/>
          </w:tcPr>
          <w:p w14:paraId="57E06294" w14:textId="77777777" w:rsidR="00CD55F1" w:rsidRDefault="00CD55F1" w:rsidP="00024DD9">
            <w:pPr>
              <w:jc w:val="center"/>
            </w:pPr>
            <w:r w:rsidRPr="00F60A9B">
              <w:rPr>
                <w:rFonts w:ascii="Calibri" w:hAnsi="Calibri" w:cs="Calibri"/>
              </w:rPr>
              <w:t>1</w:t>
            </w:r>
          </w:p>
        </w:tc>
        <w:tc>
          <w:tcPr>
            <w:tcW w:w="990" w:type="dxa"/>
            <w:vAlign w:val="center"/>
          </w:tcPr>
          <w:p w14:paraId="5632BD67" w14:textId="77777777" w:rsidR="00CD55F1" w:rsidRDefault="00CD55F1" w:rsidP="00024DD9">
            <w:pPr>
              <w:jc w:val="center"/>
            </w:pPr>
            <w:r w:rsidRPr="00F60A9B">
              <w:rPr>
                <w:rFonts w:ascii="Calibri" w:hAnsi="Calibri" w:cs="Calibri"/>
              </w:rPr>
              <w:t>0</w:t>
            </w:r>
          </w:p>
        </w:tc>
      </w:tr>
      <w:tr w:rsidR="00CD55F1" w:rsidRPr="00F60A9B" w14:paraId="1420ED4A" w14:textId="77777777" w:rsidTr="00024DD9">
        <w:trPr>
          <w:jc w:val="center"/>
        </w:trPr>
        <w:tc>
          <w:tcPr>
            <w:tcW w:w="874" w:type="dxa"/>
            <w:tcBorders>
              <w:right w:val="single" w:sz="12" w:space="0" w:color="auto"/>
            </w:tcBorders>
          </w:tcPr>
          <w:p w14:paraId="4E955402"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51C4B6DA"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02A7B924"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77765BCA"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12AC39B1" w14:textId="77777777" w:rsidR="00CD55F1" w:rsidRPr="00210DD1" w:rsidRDefault="00CD55F1" w:rsidP="00024DD9">
            <w:pPr>
              <w:jc w:val="center"/>
            </w:pPr>
            <w:r>
              <w:t>2</w:t>
            </w:r>
          </w:p>
        </w:tc>
        <w:tc>
          <w:tcPr>
            <w:tcW w:w="950" w:type="dxa"/>
            <w:shd w:val="clear" w:color="auto" w:fill="auto"/>
            <w:vAlign w:val="center"/>
          </w:tcPr>
          <w:p w14:paraId="742DF5AB"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22368E12" w14:textId="77777777" w:rsidR="00CD55F1" w:rsidRDefault="00CD55F1" w:rsidP="00024DD9">
            <w:pPr>
              <w:jc w:val="center"/>
            </w:pPr>
          </w:p>
        </w:tc>
        <w:tc>
          <w:tcPr>
            <w:tcW w:w="874" w:type="dxa"/>
            <w:shd w:val="clear" w:color="auto" w:fill="auto"/>
            <w:vAlign w:val="center"/>
          </w:tcPr>
          <w:p w14:paraId="21F50037" w14:textId="77777777" w:rsidR="00CD55F1" w:rsidRDefault="00CD55F1" w:rsidP="00024DD9">
            <w:pPr>
              <w:jc w:val="center"/>
            </w:pPr>
            <w:r w:rsidRPr="005B7BEE">
              <w:rPr>
                <w:sz w:val="14"/>
                <w:szCs w:val="14"/>
              </w:rPr>
              <w:t>Occasional</w:t>
            </w:r>
          </w:p>
        </w:tc>
        <w:tc>
          <w:tcPr>
            <w:tcW w:w="780" w:type="dxa"/>
            <w:shd w:val="clear" w:color="auto" w:fill="auto"/>
            <w:vAlign w:val="center"/>
          </w:tcPr>
          <w:p w14:paraId="4F15EFE2" w14:textId="77777777" w:rsidR="00CD55F1" w:rsidRDefault="00CD55F1" w:rsidP="00024DD9">
            <w:pPr>
              <w:jc w:val="center"/>
            </w:pPr>
            <w:r>
              <w:rPr>
                <w:rFonts w:ascii="Calibri" w:hAnsi="Calibri" w:cs="Calibri"/>
              </w:rPr>
              <w:t>1</w:t>
            </w:r>
          </w:p>
        </w:tc>
        <w:tc>
          <w:tcPr>
            <w:tcW w:w="687" w:type="dxa"/>
            <w:shd w:val="clear" w:color="auto" w:fill="auto"/>
            <w:vAlign w:val="center"/>
          </w:tcPr>
          <w:p w14:paraId="17A089E5" w14:textId="77777777" w:rsidR="00CD55F1" w:rsidRDefault="00CD55F1" w:rsidP="00024DD9">
            <w:pPr>
              <w:jc w:val="center"/>
            </w:pPr>
            <w:r>
              <w:rPr>
                <w:rFonts w:ascii="Calibri" w:hAnsi="Calibri" w:cs="Calibri"/>
              </w:rPr>
              <w:t>0</w:t>
            </w:r>
          </w:p>
        </w:tc>
        <w:tc>
          <w:tcPr>
            <w:tcW w:w="720" w:type="dxa"/>
            <w:vAlign w:val="center"/>
          </w:tcPr>
          <w:p w14:paraId="04D6D30A" w14:textId="77777777" w:rsidR="00CD55F1" w:rsidRDefault="00CD55F1" w:rsidP="00024DD9">
            <w:pPr>
              <w:jc w:val="center"/>
            </w:pPr>
            <w:r>
              <w:rPr>
                <w:rFonts w:ascii="Calibri" w:hAnsi="Calibri" w:cs="Calibri"/>
              </w:rPr>
              <w:t>0</w:t>
            </w:r>
          </w:p>
        </w:tc>
        <w:tc>
          <w:tcPr>
            <w:tcW w:w="630" w:type="dxa"/>
            <w:vAlign w:val="center"/>
          </w:tcPr>
          <w:p w14:paraId="406AC6A1" w14:textId="77777777" w:rsidR="00CD55F1" w:rsidRDefault="00CD55F1" w:rsidP="00024DD9">
            <w:pPr>
              <w:jc w:val="center"/>
            </w:pPr>
            <w:r>
              <w:rPr>
                <w:rFonts w:ascii="Calibri" w:hAnsi="Calibri" w:cs="Calibri"/>
              </w:rPr>
              <w:t>0</w:t>
            </w:r>
          </w:p>
        </w:tc>
        <w:tc>
          <w:tcPr>
            <w:tcW w:w="990" w:type="dxa"/>
            <w:vAlign w:val="center"/>
          </w:tcPr>
          <w:p w14:paraId="5B52D778" w14:textId="77777777" w:rsidR="00CD55F1" w:rsidRDefault="00CD55F1" w:rsidP="00024DD9">
            <w:pPr>
              <w:jc w:val="center"/>
            </w:pPr>
            <w:r w:rsidRPr="00F60A9B">
              <w:rPr>
                <w:rFonts w:ascii="Calibri" w:hAnsi="Calibri" w:cs="Calibri"/>
              </w:rPr>
              <w:t>1</w:t>
            </w:r>
          </w:p>
        </w:tc>
      </w:tr>
      <w:tr w:rsidR="00CD55F1" w:rsidRPr="00F60A9B" w14:paraId="3A4EDF8E" w14:textId="77777777" w:rsidTr="00024DD9">
        <w:trPr>
          <w:jc w:val="center"/>
        </w:trPr>
        <w:tc>
          <w:tcPr>
            <w:tcW w:w="874" w:type="dxa"/>
            <w:tcBorders>
              <w:right w:val="single" w:sz="12" w:space="0" w:color="auto"/>
            </w:tcBorders>
          </w:tcPr>
          <w:p w14:paraId="4E3BE96D"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6B76E79E" w14:textId="77777777" w:rsidR="00CD55F1" w:rsidRPr="00F60A9B" w:rsidRDefault="00CD55F1" w:rsidP="00024DD9">
            <w:pPr>
              <w:jc w:val="center"/>
            </w:pPr>
            <w:r>
              <w:rPr>
                <w:rFonts w:ascii="Calibri" w:hAnsi="Calibri" w:cs="Calibri"/>
              </w:rPr>
              <w:t>3</w:t>
            </w:r>
          </w:p>
        </w:tc>
        <w:tc>
          <w:tcPr>
            <w:tcW w:w="565" w:type="dxa"/>
            <w:vAlign w:val="center"/>
          </w:tcPr>
          <w:p w14:paraId="4BA07D40" w14:textId="77777777" w:rsidR="00CD55F1" w:rsidRPr="00210DD1" w:rsidRDefault="00CD55F1" w:rsidP="00024DD9">
            <w:pPr>
              <w:jc w:val="center"/>
            </w:pPr>
            <w:r>
              <w:rPr>
                <w:rFonts w:ascii="Calibri" w:hAnsi="Calibri" w:cs="Calibri"/>
              </w:rPr>
              <w:t>0</w:t>
            </w:r>
          </w:p>
        </w:tc>
        <w:tc>
          <w:tcPr>
            <w:tcW w:w="634" w:type="dxa"/>
            <w:vAlign w:val="center"/>
          </w:tcPr>
          <w:p w14:paraId="66F1ECF8" w14:textId="77777777" w:rsidR="00CD55F1" w:rsidRPr="00210DD1" w:rsidRDefault="00CD55F1" w:rsidP="00024DD9">
            <w:pPr>
              <w:jc w:val="center"/>
            </w:pPr>
            <w:r>
              <w:rPr>
                <w:rFonts w:ascii="Calibri" w:hAnsi="Calibri" w:cs="Calibri"/>
              </w:rPr>
              <w:t>0</w:t>
            </w:r>
          </w:p>
        </w:tc>
        <w:tc>
          <w:tcPr>
            <w:tcW w:w="607" w:type="dxa"/>
            <w:shd w:val="clear" w:color="auto" w:fill="D9E2F3" w:themeFill="accent1" w:themeFillTint="33"/>
            <w:vAlign w:val="center"/>
          </w:tcPr>
          <w:p w14:paraId="6A1CD56F" w14:textId="77777777" w:rsidR="00CD55F1" w:rsidRPr="00210DD1" w:rsidRDefault="00CD55F1" w:rsidP="00024DD9">
            <w:pPr>
              <w:jc w:val="center"/>
            </w:pPr>
            <w:r>
              <w:rPr>
                <w:rFonts w:ascii="Calibri" w:hAnsi="Calibri" w:cs="Calibri"/>
              </w:rPr>
              <w:t>3-1 = 2</w:t>
            </w:r>
          </w:p>
        </w:tc>
        <w:tc>
          <w:tcPr>
            <w:tcW w:w="950" w:type="dxa"/>
            <w:vAlign w:val="center"/>
          </w:tcPr>
          <w:p w14:paraId="6F350061"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5F5C6925" w14:textId="77777777" w:rsidR="00CD55F1" w:rsidRDefault="00CD55F1" w:rsidP="00024DD9">
            <w:pPr>
              <w:jc w:val="center"/>
            </w:pPr>
          </w:p>
        </w:tc>
        <w:tc>
          <w:tcPr>
            <w:tcW w:w="874" w:type="dxa"/>
            <w:vAlign w:val="center"/>
          </w:tcPr>
          <w:p w14:paraId="773A9D76" w14:textId="77777777" w:rsidR="00CD55F1" w:rsidRDefault="00CD55F1" w:rsidP="00024DD9">
            <w:pPr>
              <w:jc w:val="center"/>
            </w:pPr>
            <w:r w:rsidRPr="005B7BEE">
              <w:rPr>
                <w:sz w:val="14"/>
                <w:szCs w:val="14"/>
              </w:rPr>
              <w:t>Remote</w:t>
            </w:r>
          </w:p>
        </w:tc>
        <w:tc>
          <w:tcPr>
            <w:tcW w:w="780" w:type="dxa"/>
            <w:vAlign w:val="center"/>
          </w:tcPr>
          <w:p w14:paraId="1EB79CB9" w14:textId="77777777" w:rsidR="00CD55F1" w:rsidRDefault="00CD55F1" w:rsidP="00024DD9">
            <w:pPr>
              <w:jc w:val="center"/>
            </w:pPr>
            <w:r>
              <w:rPr>
                <w:rFonts w:ascii="Calibri" w:hAnsi="Calibri" w:cs="Calibri"/>
              </w:rPr>
              <w:t>0</w:t>
            </w:r>
          </w:p>
        </w:tc>
        <w:tc>
          <w:tcPr>
            <w:tcW w:w="687" w:type="dxa"/>
            <w:vAlign w:val="center"/>
          </w:tcPr>
          <w:p w14:paraId="05042B92" w14:textId="77777777" w:rsidR="00CD55F1" w:rsidRDefault="00CD55F1" w:rsidP="00024DD9">
            <w:pPr>
              <w:jc w:val="center"/>
            </w:pPr>
            <w:r>
              <w:rPr>
                <w:rFonts w:ascii="Calibri" w:hAnsi="Calibri" w:cs="Calibri"/>
              </w:rPr>
              <w:t>2</w:t>
            </w:r>
          </w:p>
        </w:tc>
        <w:tc>
          <w:tcPr>
            <w:tcW w:w="720" w:type="dxa"/>
            <w:vAlign w:val="center"/>
          </w:tcPr>
          <w:p w14:paraId="0C0822A9" w14:textId="77777777" w:rsidR="00CD55F1" w:rsidRDefault="00CD55F1" w:rsidP="00024DD9">
            <w:pPr>
              <w:jc w:val="center"/>
            </w:pPr>
            <w:r>
              <w:rPr>
                <w:rFonts w:ascii="Calibri" w:hAnsi="Calibri" w:cs="Calibri"/>
              </w:rPr>
              <w:t>0</w:t>
            </w:r>
          </w:p>
        </w:tc>
        <w:tc>
          <w:tcPr>
            <w:tcW w:w="630" w:type="dxa"/>
            <w:shd w:val="clear" w:color="auto" w:fill="D9E2F3" w:themeFill="accent1" w:themeFillTint="33"/>
            <w:vAlign w:val="center"/>
          </w:tcPr>
          <w:p w14:paraId="2F265DBA" w14:textId="77777777" w:rsidR="00CD55F1" w:rsidRDefault="00CD55F1" w:rsidP="00024DD9">
            <w:pPr>
              <w:jc w:val="center"/>
            </w:pPr>
            <w:r>
              <w:rPr>
                <w:rFonts w:ascii="Calibri" w:hAnsi="Calibri" w:cs="Calibri"/>
              </w:rPr>
              <w:t>1-1 = 0</w:t>
            </w:r>
          </w:p>
        </w:tc>
        <w:tc>
          <w:tcPr>
            <w:tcW w:w="990" w:type="dxa"/>
            <w:vAlign w:val="center"/>
          </w:tcPr>
          <w:p w14:paraId="6DE6621D" w14:textId="77777777" w:rsidR="00CD55F1" w:rsidRDefault="00CD55F1" w:rsidP="00024DD9">
            <w:pPr>
              <w:jc w:val="center"/>
            </w:pPr>
            <w:r>
              <w:rPr>
                <w:rFonts w:ascii="Calibri" w:hAnsi="Calibri" w:cs="Calibri"/>
              </w:rPr>
              <w:t>0</w:t>
            </w:r>
          </w:p>
        </w:tc>
      </w:tr>
      <w:tr w:rsidR="00CD55F1" w:rsidRPr="00F60A9B" w14:paraId="757E1D5D" w14:textId="77777777" w:rsidTr="00024DD9">
        <w:trPr>
          <w:jc w:val="center"/>
        </w:trPr>
        <w:tc>
          <w:tcPr>
            <w:tcW w:w="874" w:type="dxa"/>
            <w:tcBorders>
              <w:right w:val="single" w:sz="12" w:space="0" w:color="auto"/>
            </w:tcBorders>
          </w:tcPr>
          <w:p w14:paraId="7EE32F83"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6CA2A820" w14:textId="77777777" w:rsidR="00CD55F1" w:rsidRPr="00F60A9B" w:rsidRDefault="00CD55F1" w:rsidP="00024DD9">
            <w:pPr>
              <w:jc w:val="center"/>
            </w:pPr>
            <w:r>
              <w:rPr>
                <w:rFonts w:ascii="Calibri" w:hAnsi="Calibri" w:cs="Calibri"/>
              </w:rPr>
              <w:t>0</w:t>
            </w:r>
          </w:p>
        </w:tc>
        <w:tc>
          <w:tcPr>
            <w:tcW w:w="565" w:type="dxa"/>
            <w:vAlign w:val="center"/>
          </w:tcPr>
          <w:p w14:paraId="3718D76D"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4F0D378E"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49191CF3" w14:textId="77777777" w:rsidR="00CD55F1" w:rsidRPr="00210DD1" w:rsidRDefault="00CD55F1" w:rsidP="00024DD9">
            <w:pPr>
              <w:jc w:val="center"/>
            </w:pPr>
            <w:r>
              <w:rPr>
                <w:rFonts w:ascii="Calibri" w:hAnsi="Calibri" w:cs="Calibri"/>
              </w:rPr>
              <w:t>1</w:t>
            </w:r>
          </w:p>
        </w:tc>
        <w:tc>
          <w:tcPr>
            <w:tcW w:w="950" w:type="dxa"/>
            <w:shd w:val="clear" w:color="auto" w:fill="auto"/>
            <w:vAlign w:val="center"/>
          </w:tcPr>
          <w:p w14:paraId="6378725D"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1EC83CB1" w14:textId="77777777" w:rsidR="00CD55F1" w:rsidRDefault="00CD55F1" w:rsidP="00024DD9">
            <w:pPr>
              <w:keepNext/>
              <w:jc w:val="center"/>
            </w:pPr>
          </w:p>
        </w:tc>
        <w:tc>
          <w:tcPr>
            <w:tcW w:w="874" w:type="dxa"/>
            <w:vAlign w:val="center"/>
          </w:tcPr>
          <w:p w14:paraId="02CD2327" w14:textId="77777777" w:rsidR="00CD55F1" w:rsidRDefault="00CD55F1" w:rsidP="00024DD9">
            <w:pPr>
              <w:keepNext/>
              <w:jc w:val="center"/>
            </w:pPr>
            <w:r w:rsidRPr="005B7BEE">
              <w:rPr>
                <w:sz w:val="14"/>
                <w:szCs w:val="14"/>
              </w:rPr>
              <w:t>Improbable</w:t>
            </w:r>
          </w:p>
        </w:tc>
        <w:tc>
          <w:tcPr>
            <w:tcW w:w="780" w:type="dxa"/>
            <w:vAlign w:val="center"/>
          </w:tcPr>
          <w:p w14:paraId="12CA4246" w14:textId="77777777" w:rsidR="00CD55F1" w:rsidRDefault="00CD55F1" w:rsidP="00024DD9">
            <w:pPr>
              <w:keepNext/>
              <w:jc w:val="center"/>
            </w:pPr>
            <w:r>
              <w:rPr>
                <w:rFonts w:ascii="Calibri" w:hAnsi="Calibri" w:cs="Calibri"/>
              </w:rPr>
              <w:t>0</w:t>
            </w:r>
          </w:p>
        </w:tc>
        <w:tc>
          <w:tcPr>
            <w:tcW w:w="687" w:type="dxa"/>
            <w:vAlign w:val="center"/>
          </w:tcPr>
          <w:p w14:paraId="745D2642" w14:textId="77777777" w:rsidR="00CD55F1" w:rsidRDefault="00CD55F1" w:rsidP="00024DD9">
            <w:pPr>
              <w:keepNext/>
              <w:jc w:val="center"/>
            </w:pPr>
            <w:r>
              <w:rPr>
                <w:rFonts w:ascii="Calibri" w:hAnsi="Calibri" w:cs="Calibri"/>
              </w:rPr>
              <w:t>1</w:t>
            </w:r>
          </w:p>
        </w:tc>
        <w:tc>
          <w:tcPr>
            <w:tcW w:w="720" w:type="dxa"/>
            <w:vAlign w:val="center"/>
          </w:tcPr>
          <w:p w14:paraId="3491B6FA" w14:textId="77777777" w:rsidR="00CD55F1" w:rsidRDefault="00CD55F1" w:rsidP="00024DD9">
            <w:pPr>
              <w:keepNext/>
              <w:jc w:val="center"/>
            </w:pPr>
            <w:r>
              <w:rPr>
                <w:rFonts w:ascii="Calibri" w:hAnsi="Calibri" w:cs="Calibri"/>
              </w:rPr>
              <w:t>0</w:t>
            </w:r>
          </w:p>
        </w:tc>
        <w:tc>
          <w:tcPr>
            <w:tcW w:w="630" w:type="dxa"/>
            <w:shd w:val="clear" w:color="auto" w:fill="auto"/>
            <w:vAlign w:val="center"/>
          </w:tcPr>
          <w:p w14:paraId="5525582E" w14:textId="77777777" w:rsidR="00CD55F1" w:rsidRDefault="00CD55F1" w:rsidP="00024DD9">
            <w:pPr>
              <w:keepNext/>
              <w:jc w:val="center"/>
            </w:pPr>
            <w:r>
              <w:rPr>
                <w:rFonts w:ascii="Calibri" w:hAnsi="Calibri" w:cs="Calibri"/>
              </w:rPr>
              <w:t>0</w:t>
            </w:r>
          </w:p>
        </w:tc>
        <w:tc>
          <w:tcPr>
            <w:tcW w:w="990" w:type="dxa"/>
            <w:vAlign w:val="center"/>
          </w:tcPr>
          <w:p w14:paraId="14B4C1DE" w14:textId="77777777" w:rsidR="00CD55F1" w:rsidRDefault="00CD55F1" w:rsidP="00024DD9">
            <w:pPr>
              <w:keepNext/>
              <w:jc w:val="center"/>
            </w:pPr>
            <w:r w:rsidRPr="00F60A9B">
              <w:rPr>
                <w:rFonts w:ascii="Calibri" w:hAnsi="Calibri" w:cs="Calibri"/>
              </w:rPr>
              <w:t>0</w:t>
            </w:r>
          </w:p>
        </w:tc>
      </w:tr>
    </w:tbl>
    <w:p w14:paraId="02397013" w14:textId="77777777" w:rsidR="00CD55F1" w:rsidRDefault="00CD55F1" w:rsidP="00CD55F1">
      <w:pPr>
        <w:spacing w:before="160"/>
      </w:pPr>
      <w:r>
        <w:t>which reduces to</w:t>
      </w:r>
    </w:p>
    <w:tbl>
      <w:tblPr>
        <w:tblStyle w:val="TableGrid"/>
        <w:tblW w:w="9450" w:type="dxa"/>
        <w:jc w:val="center"/>
        <w:tblLayout w:type="fixed"/>
        <w:tblLook w:val="04A0" w:firstRow="1" w:lastRow="0" w:firstColumn="1" w:lastColumn="0" w:noHBand="0" w:noVBand="1"/>
      </w:tblPr>
      <w:tblGrid>
        <w:gridCol w:w="874"/>
        <w:gridCol w:w="780"/>
        <w:gridCol w:w="565"/>
        <w:gridCol w:w="634"/>
        <w:gridCol w:w="607"/>
        <w:gridCol w:w="950"/>
        <w:gridCol w:w="359"/>
        <w:gridCol w:w="874"/>
        <w:gridCol w:w="780"/>
        <w:gridCol w:w="687"/>
        <w:gridCol w:w="720"/>
        <w:gridCol w:w="630"/>
        <w:gridCol w:w="990"/>
      </w:tblGrid>
      <w:tr w:rsidR="00CD55F1" w:rsidRPr="00F60A9B" w14:paraId="0B0EAF68" w14:textId="77777777" w:rsidTr="00024DD9">
        <w:trPr>
          <w:tblHeader/>
          <w:jc w:val="center"/>
        </w:trPr>
        <w:tc>
          <w:tcPr>
            <w:tcW w:w="874" w:type="dxa"/>
            <w:tcBorders>
              <w:top w:val="nil"/>
              <w:left w:val="nil"/>
              <w:bottom w:val="single" w:sz="4" w:space="0" w:color="auto"/>
            </w:tcBorders>
            <w:vAlign w:val="center"/>
          </w:tcPr>
          <w:p w14:paraId="708D42F8"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0" w:type="dxa"/>
            <w:tcBorders>
              <w:top w:val="single" w:sz="4" w:space="0" w:color="auto"/>
              <w:bottom w:val="single" w:sz="12" w:space="0" w:color="auto"/>
            </w:tcBorders>
            <w:vAlign w:val="center"/>
          </w:tcPr>
          <w:p w14:paraId="764F1B87" w14:textId="77777777" w:rsidR="00CD55F1" w:rsidRPr="005B7BEE" w:rsidRDefault="00CD55F1" w:rsidP="00024DD9">
            <w:pPr>
              <w:jc w:val="center"/>
              <w:rPr>
                <w:sz w:val="14"/>
                <w:szCs w:val="14"/>
              </w:rPr>
            </w:pPr>
            <w:r w:rsidRPr="005B7BEE">
              <w:rPr>
                <w:sz w:val="14"/>
                <w:szCs w:val="14"/>
              </w:rPr>
              <w:t>Negligible</w:t>
            </w:r>
          </w:p>
        </w:tc>
        <w:tc>
          <w:tcPr>
            <w:tcW w:w="565" w:type="dxa"/>
            <w:tcBorders>
              <w:top w:val="single" w:sz="4" w:space="0" w:color="auto"/>
              <w:bottom w:val="single" w:sz="12" w:space="0" w:color="auto"/>
            </w:tcBorders>
            <w:vAlign w:val="center"/>
          </w:tcPr>
          <w:p w14:paraId="53E00F7D" w14:textId="77777777" w:rsidR="00CD55F1" w:rsidRPr="005B7BEE" w:rsidRDefault="00CD55F1" w:rsidP="00024DD9">
            <w:pPr>
              <w:jc w:val="center"/>
              <w:rPr>
                <w:sz w:val="14"/>
                <w:szCs w:val="14"/>
              </w:rPr>
            </w:pPr>
            <w:r w:rsidRPr="005B7BEE">
              <w:rPr>
                <w:sz w:val="14"/>
                <w:szCs w:val="14"/>
              </w:rPr>
              <w:t>Minor</w:t>
            </w:r>
          </w:p>
        </w:tc>
        <w:tc>
          <w:tcPr>
            <w:tcW w:w="634" w:type="dxa"/>
            <w:tcBorders>
              <w:top w:val="single" w:sz="4" w:space="0" w:color="auto"/>
              <w:bottom w:val="single" w:sz="12" w:space="0" w:color="auto"/>
            </w:tcBorders>
            <w:vAlign w:val="center"/>
          </w:tcPr>
          <w:p w14:paraId="55BF1B94" w14:textId="77777777" w:rsidR="00CD55F1" w:rsidRPr="005B7BEE" w:rsidRDefault="00CD55F1" w:rsidP="00024DD9">
            <w:pPr>
              <w:jc w:val="center"/>
              <w:rPr>
                <w:sz w:val="14"/>
                <w:szCs w:val="14"/>
              </w:rPr>
            </w:pPr>
            <w:r w:rsidRPr="005B7BEE">
              <w:rPr>
                <w:sz w:val="14"/>
                <w:szCs w:val="14"/>
              </w:rPr>
              <w:t>Serious /Major</w:t>
            </w:r>
          </w:p>
        </w:tc>
        <w:tc>
          <w:tcPr>
            <w:tcW w:w="607" w:type="dxa"/>
            <w:tcBorders>
              <w:top w:val="single" w:sz="4" w:space="0" w:color="auto"/>
              <w:bottom w:val="single" w:sz="12" w:space="0" w:color="auto"/>
            </w:tcBorders>
            <w:vAlign w:val="center"/>
          </w:tcPr>
          <w:p w14:paraId="1F91EF8F" w14:textId="77777777" w:rsidR="00CD55F1" w:rsidRPr="005B7BEE" w:rsidRDefault="00CD55F1" w:rsidP="00024DD9">
            <w:pPr>
              <w:jc w:val="center"/>
              <w:rPr>
                <w:sz w:val="14"/>
                <w:szCs w:val="14"/>
              </w:rPr>
            </w:pPr>
            <w:r w:rsidRPr="005B7BEE">
              <w:rPr>
                <w:sz w:val="14"/>
                <w:szCs w:val="14"/>
              </w:rPr>
              <w:t>Critical</w:t>
            </w:r>
          </w:p>
        </w:tc>
        <w:tc>
          <w:tcPr>
            <w:tcW w:w="950" w:type="dxa"/>
            <w:tcBorders>
              <w:top w:val="single" w:sz="4" w:space="0" w:color="auto"/>
              <w:bottom w:val="single" w:sz="12" w:space="0" w:color="auto"/>
            </w:tcBorders>
            <w:vAlign w:val="center"/>
          </w:tcPr>
          <w:p w14:paraId="3C9FFEEA" w14:textId="77777777" w:rsidR="00CD55F1" w:rsidRPr="005B7BEE" w:rsidRDefault="00CD55F1" w:rsidP="00024DD9">
            <w:pPr>
              <w:jc w:val="center"/>
              <w:rPr>
                <w:sz w:val="14"/>
                <w:szCs w:val="14"/>
              </w:rPr>
            </w:pPr>
            <w:r w:rsidRPr="005B7BEE">
              <w:rPr>
                <w:sz w:val="14"/>
                <w:szCs w:val="14"/>
              </w:rPr>
              <w:t xml:space="preserve">Catastrophic </w:t>
            </w:r>
          </w:p>
          <w:p w14:paraId="6103392A" w14:textId="77777777" w:rsidR="00CD55F1" w:rsidRPr="005B7BEE" w:rsidRDefault="00CD55F1" w:rsidP="00024DD9">
            <w:pPr>
              <w:jc w:val="center"/>
              <w:rPr>
                <w:sz w:val="14"/>
                <w:szCs w:val="14"/>
              </w:rPr>
            </w:pPr>
            <w:r w:rsidRPr="005B7BEE">
              <w:rPr>
                <w:sz w:val="14"/>
                <w:szCs w:val="14"/>
              </w:rPr>
              <w:t>/ Fatal</w:t>
            </w:r>
          </w:p>
        </w:tc>
        <w:tc>
          <w:tcPr>
            <w:tcW w:w="359" w:type="dxa"/>
            <w:tcBorders>
              <w:top w:val="nil"/>
              <w:left w:val="nil"/>
              <w:bottom w:val="nil"/>
              <w:right w:val="nil"/>
            </w:tcBorders>
          </w:tcPr>
          <w:p w14:paraId="53B4D826" w14:textId="77777777" w:rsidR="00CD55F1" w:rsidRPr="005B7BEE" w:rsidRDefault="00CD55F1" w:rsidP="00024DD9">
            <w:pPr>
              <w:jc w:val="center"/>
              <w:rPr>
                <w:sz w:val="14"/>
                <w:szCs w:val="14"/>
              </w:rPr>
            </w:pPr>
          </w:p>
        </w:tc>
        <w:tc>
          <w:tcPr>
            <w:tcW w:w="874" w:type="dxa"/>
            <w:tcBorders>
              <w:top w:val="nil"/>
              <w:left w:val="nil"/>
              <w:bottom w:val="single" w:sz="12" w:space="0" w:color="auto"/>
            </w:tcBorders>
            <w:vAlign w:val="center"/>
          </w:tcPr>
          <w:p w14:paraId="5BD5061D"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0" w:type="dxa"/>
            <w:tcBorders>
              <w:top w:val="single" w:sz="4" w:space="0" w:color="auto"/>
              <w:bottom w:val="single" w:sz="12" w:space="0" w:color="auto"/>
            </w:tcBorders>
            <w:vAlign w:val="center"/>
          </w:tcPr>
          <w:p w14:paraId="16587E59" w14:textId="77777777" w:rsidR="00CD55F1" w:rsidRPr="005B7BEE" w:rsidRDefault="00CD55F1" w:rsidP="00024DD9">
            <w:pPr>
              <w:jc w:val="center"/>
              <w:rPr>
                <w:sz w:val="14"/>
                <w:szCs w:val="14"/>
              </w:rPr>
            </w:pPr>
            <w:r w:rsidRPr="005B7BEE">
              <w:rPr>
                <w:sz w:val="14"/>
                <w:szCs w:val="14"/>
              </w:rPr>
              <w:t>Negligible</w:t>
            </w:r>
          </w:p>
        </w:tc>
        <w:tc>
          <w:tcPr>
            <w:tcW w:w="687" w:type="dxa"/>
            <w:tcBorders>
              <w:top w:val="single" w:sz="4" w:space="0" w:color="auto"/>
              <w:bottom w:val="single" w:sz="12" w:space="0" w:color="auto"/>
            </w:tcBorders>
            <w:vAlign w:val="center"/>
          </w:tcPr>
          <w:p w14:paraId="5BF3E0D1" w14:textId="77777777" w:rsidR="00CD55F1" w:rsidRPr="005B7BEE" w:rsidRDefault="00CD55F1" w:rsidP="00024DD9">
            <w:pPr>
              <w:jc w:val="center"/>
              <w:rPr>
                <w:sz w:val="14"/>
                <w:szCs w:val="14"/>
              </w:rPr>
            </w:pPr>
            <w:r w:rsidRPr="005B7BEE">
              <w:rPr>
                <w:sz w:val="14"/>
                <w:szCs w:val="14"/>
              </w:rPr>
              <w:t>Minor</w:t>
            </w:r>
          </w:p>
        </w:tc>
        <w:tc>
          <w:tcPr>
            <w:tcW w:w="720" w:type="dxa"/>
            <w:tcBorders>
              <w:top w:val="single" w:sz="4" w:space="0" w:color="auto"/>
              <w:bottom w:val="single" w:sz="12" w:space="0" w:color="auto"/>
            </w:tcBorders>
            <w:vAlign w:val="center"/>
          </w:tcPr>
          <w:p w14:paraId="36048C84" w14:textId="77777777" w:rsidR="00CD55F1" w:rsidRPr="005B7BEE" w:rsidRDefault="00CD55F1" w:rsidP="00024DD9">
            <w:pPr>
              <w:jc w:val="center"/>
              <w:rPr>
                <w:sz w:val="14"/>
                <w:szCs w:val="14"/>
              </w:rPr>
            </w:pPr>
            <w:r w:rsidRPr="005B7BEE">
              <w:rPr>
                <w:sz w:val="14"/>
                <w:szCs w:val="14"/>
              </w:rPr>
              <w:t>Serious /Major</w:t>
            </w:r>
          </w:p>
        </w:tc>
        <w:tc>
          <w:tcPr>
            <w:tcW w:w="630" w:type="dxa"/>
            <w:tcBorders>
              <w:top w:val="single" w:sz="4" w:space="0" w:color="auto"/>
              <w:bottom w:val="single" w:sz="12" w:space="0" w:color="auto"/>
            </w:tcBorders>
            <w:vAlign w:val="center"/>
          </w:tcPr>
          <w:p w14:paraId="678F6E94" w14:textId="77777777" w:rsidR="00CD55F1" w:rsidRPr="005B7BEE" w:rsidRDefault="00CD55F1" w:rsidP="00024DD9">
            <w:pPr>
              <w:jc w:val="center"/>
              <w:rPr>
                <w:sz w:val="14"/>
                <w:szCs w:val="14"/>
              </w:rPr>
            </w:pPr>
            <w:r w:rsidRPr="005B7BEE">
              <w:rPr>
                <w:sz w:val="14"/>
                <w:szCs w:val="14"/>
              </w:rPr>
              <w:t>Critical</w:t>
            </w:r>
          </w:p>
        </w:tc>
        <w:tc>
          <w:tcPr>
            <w:tcW w:w="990" w:type="dxa"/>
            <w:tcBorders>
              <w:top w:val="single" w:sz="4" w:space="0" w:color="auto"/>
              <w:bottom w:val="single" w:sz="12" w:space="0" w:color="auto"/>
            </w:tcBorders>
            <w:vAlign w:val="center"/>
          </w:tcPr>
          <w:p w14:paraId="049220AD" w14:textId="77777777" w:rsidR="00CD55F1" w:rsidRPr="005B7BEE" w:rsidRDefault="00CD55F1" w:rsidP="00024DD9">
            <w:pPr>
              <w:jc w:val="center"/>
              <w:rPr>
                <w:sz w:val="14"/>
                <w:szCs w:val="14"/>
              </w:rPr>
            </w:pPr>
            <w:r w:rsidRPr="005B7BEE">
              <w:rPr>
                <w:sz w:val="14"/>
                <w:szCs w:val="14"/>
              </w:rPr>
              <w:t xml:space="preserve">Catastrophic </w:t>
            </w:r>
          </w:p>
          <w:p w14:paraId="74FC3874"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6CCC76A3" w14:textId="77777777" w:rsidTr="00024DD9">
        <w:trPr>
          <w:jc w:val="center"/>
        </w:trPr>
        <w:tc>
          <w:tcPr>
            <w:tcW w:w="874" w:type="dxa"/>
            <w:tcBorders>
              <w:top w:val="single" w:sz="4" w:space="0" w:color="auto"/>
              <w:right w:val="single" w:sz="12" w:space="0" w:color="auto"/>
            </w:tcBorders>
          </w:tcPr>
          <w:p w14:paraId="4D6BE699" w14:textId="77777777" w:rsidR="00CD55F1" w:rsidRPr="005B7BEE" w:rsidRDefault="00CD55F1" w:rsidP="00024DD9">
            <w:pPr>
              <w:rPr>
                <w:sz w:val="14"/>
                <w:szCs w:val="14"/>
              </w:rPr>
            </w:pPr>
            <w:r>
              <w:rPr>
                <w:sz w:val="14"/>
                <w:szCs w:val="14"/>
              </w:rPr>
              <w:t>Expected</w:t>
            </w:r>
          </w:p>
        </w:tc>
        <w:tc>
          <w:tcPr>
            <w:tcW w:w="780" w:type="dxa"/>
            <w:tcBorders>
              <w:top w:val="single" w:sz="12" w:space="0" w:color="auto"/>
              <w:left w:val="single" w:sz="12" w:space="0" w:color="auto"/>
            </w:tcBorders>
            <w:vAlign w:val="center"/>
          </w:tcPr>
          <w:p w14:paraId="3F7A4FCD" w14:textId="77777777" w:rsidR="00CD55F1" w:rsidRPr="00F60A9B" w:rsidRDefault="00CD55F1" w:rsidP="00024DD9">
            <w:pPr>
              <w:jc w:val="center"/>
            </w:pPr>
            <w:r>
              <w:t>0</w:t>
            </w:r>
          </w:p>
        </w:tc>
        <w:tc>
          <w:tcPr>
            <w:tcW w:w="565" w:type="dxa"/>
            <w:tcBorders>
              <w:top w:val="single" w:sz="12" w:space="0" w:color="auto"/>
            </w:tcBorders>
            <w:vAlign w:val="center"/>
          </w:tcPr>
          <w:p w14:paraId="52544B9B" w14:textId="77777777" w:rsidR="00CD55F1" w:rsidRPr="00210DD1" w:rsidRDefault="00CD55F1" w:rsidP="00024DD9">
            <w:pPr>
              <w:jc w:val="center"/>
            </w:pPr>
            <w:r>
              <w:t>0</w:t>
            </w:r>
          </w:p>
        </w:tc>
        <w:tc>
          <w:tcPr>
            <w:tcW w:w="634" w:type="dxa"/>
            <w:tcBorders>
              <w:top w:val="single" w:sz="12" w:space="0" w:color="auto"/>
            </w:tcBorders>
            <w:vAlign w:val="center"/>
          </w:tcPr>
          <w:p w14:paraId="06E554E0" w14:textId="77777777" w:rsidR="00CD55F1" w:rsidRPr="00210DD1" w:rsidRDefault="00CD55F1" w:rsidP="00024DD9">
            <w:pPr>
              <w:jc w:val="center"/>
            </w:pPr>
            <w:r>
              <w:t>0</w:t>
            </w:r>
          </w:p>
        </w:tc>
        <w:tc>
          <w:tcPr>
            <w:tcW w:w="607" w:type="dxa"/>
            <w:tcBorders>
              <w:top w:val="single" w:sz="12" w:space="0" w:color="auto"/>
            </w:tcBorders>
            <w:vAlign w:val="center"/>
          </w:tcPr>
          <w:p w14:paraId="26F5C781" w14:textId="77777777" w:rsidR="00CD55F1" w:rsidRPr="00210DD1" w:rsidRDefault="00CD55F1" w:rsidP="00024DD9">
            <w:pPr>
              <w:jc w:val="center"/>
            </w:pPr>
            <w:r>
              <w:t>0</w:t>
            </w:r>
          </w:p>
        </w:tc>
        <w:tc>
          <w:tcPr>
            <w:tcW w:w="950" w:type="dxa"/>
            <w:tcBorders>
              <w:top w:val="single" w:sz="12" w:space="0" w:color="auto"/>
            </w:tcBorders>
            <w:vAlign w:val="center"/>
          </w:tcPr>
          <w:p w14:paraId="3DF36732" w14:textId="77777777" w:rsidR="00CD55F1" w:rsidRPr="00F60A9B" w:rsidRDefault="00CD55F1" w:rsidP="00024DD9">
            <w:pPr>
              <w:jc w:val="center"/>
            </w:pPr>
            <w:r>
              <w:t>0</w:t>
            </w:r>
          </w:p>
        </w:tc>
        <w:tc>
          <w:tcPr>
            <w:tcW w:w="359" w:type="dxa"/>
            <w:tcBorders>
              <w:top w:val="nil"/>
              <w:left w:val="nil"/>
              <w:bottom w:val="nil"/>
              <w:right w:val="nil"/>
            </w:tcBorders>
            <w:vAlign w:val="center"/>
          </w:tcPr>
          <w:p w14:paraId="3DCAC002" w14:textId="77777777" w:rsidR="00CD55F1" w:rsidRDefault="00CD55F1" w:rsidP="00024DD9">
            <w:pPr>
              <w:jc w:val="center"/>
            </w:pPr>
          </w:p>
        </w:tc>
        <w:tc>
          <w:tcPr>
            <w:tcW w:w="874" w:type="dxa"/>
            <w:tcBorders>
              <w:top w:val="single" w:sz="12" w:space="0" w:color="auto"/>
            </w:tcBorders>
            <w:vAlign w:val="center"/>
          </w:tcPr>
          <w:p w14:paraId="2634D436" w14:textId="77777777" w:rsidR="00CD55F1" w:rsidRDefault="00CD55F1" w:rsidP="00024DD9">
            <w:pPr>
              <w:jc w:val="center"/>
            </w:pPr>
            <w:r>
              <w:rPr>
                <w:sz w:val="14"/>
                <w:szCs w:val="14"/>
              </w:rPr>
              <w:t>Expected</w:t>
            </w:r>
          </w:p>
        </w:tc>
        <w:tc>
          <w:tcPr>
            <w:tcW w:w="780" w:type="dxa"/>
            <w:tcBorders>
              <w:top w:val="single" w:sz="12" w:space="0" w:color="auto"/>
            </w:tcBorders>
            <w:vAlign w:val="center"/>
          </w:tcPr>
          <w:p w14:paraId="53BDDA08" w14:textId="77777777" w:rsidR="00CD55F1" w:rsidRDefault="00CD55F1" w:rsidP="00024DD9">
            <w:pPr>
              <w:jc w:val="center"/>
            </w:pPr>
            <w:r>
              <w:t>0</w:t>
            </w:r>
          </w:p>
        </w:tc>
        <w:tc>
          <w:tcPr>
            <w:tcW w:w="687" w:type="dxa"/>
            <w:tcBorders>
              <w:top w:val="single" w:sz="12" w:space="0" w:color="auto"/>
            </w:tcBorders>
            <w:vAlign w:val="center"/>
          </w:tcPr>
          <w:p w14:paraId="35624A83" w14:textId="77777777" w:rsidR="00CD55F1" w:rsidRDefault="00CD55F1" w:rsidP="00024DD9">
            <w:pPr>
              <w:jc w:val="center"/>
            </w:pPr>
            <w:r>
              <w:t>0</w:t>
            </w:r>
          </w:p>
        </w:tc>
        <w:tc>
          <w:tcPr>
            <w:tcW w:w="720" w:type="dxa"/>
            <w:tcBorders>
              <w:top w:val="single" w:sz="12" w:space="0" w:color="auto"/>
            </w:tcBorders>
            <w:vAlign w:val="center"/>
          </w:tcPr>
          <w:p w14:paraId="16D142C2" w14:textId="77777777" w:rsidR="00CD55F1" w:rsidRDefault="00CD55F1" w:rsidP="00024DD9">
            <w:pPr>
              <w:jc w:val="center"/>
            </w:pPr>
            <w:r>
              <w:t>0</w:t>
            </w:r>
          </w:p>
        </w:tc>
        <w:tc>
          <w:tcPr>
            <w:tcW w:w="630" w:type="dxa"/>
            <w:tcBorders>
              <w:top w:val="single" w:sz="12" w:space="0" w:color="auto"/>
            </w:tcBorders>
            <w:vAlign w:val="center"/>
          </w:tcPr>
          <w:p w14:paraId="74FAC4AB" w14:textId="77777777" w:rsidR="00CD55F1" w:rsidRDefault="00CD55F1" w:rsidP="00024DD9">
            <w:pPr>
              <w:jc w:val="center"/>
            </w:pPr>
            <w:r>
              <w:t>0</w:t>
            </w:r>
          </w:p>
        </w:tc>
        <w:tc>
          <w:tcPr>
            <w:tcW w:w="990" w:type="dxa"/>
            <w:tcBorders>
              <w:top w:val="single" w:sz="12" w:space="0" w:color="auto"/>
            </w:tcBorders>
            <w:vAlign w:val="center"/>
          </w:tcPr>
          <w:p w14:paraId="5357DD2A" w14:textId="77777777" w:rsidR="00CD55F1" w:rsidRDefault="00CD55F1" w:rsidP="00024DD9">
            <w:pPr>
              <w:jc w:val="center"/>
            </w:pPr>
            <w:r>
              <w:t>0</w:t>
            </w:r>
          </w:p>
        </w:tc>
      </w:tr>
      <w:tr w:rsidR="00CD55F1" w:rsidRPr="00F60A9B" w14:paraId="24B6EAC3" w14:textId="77777777" w:rsidTr="00024DD9">
        <w:trPr>
          <w:jc w:val="center"/>
        </w:trPr>
        <w:tc>
          <w:tcPr>
            <w:tcW w:w="874" w:type="dxa"/>
            <w:tcBorders>
              <w:right w:val="single" w:sz="12" w:space="0" w:color="auto"/>
            </w:tcBorders>
          </w:tcPr>
          <w:p w14:paraId="7AF03802" w14:textId="77777777" w:rsidR="00CD55F1" w:rsidRPr="005B7BEE" w:rsidRDefault="00CD55F1" w:rsidP="00024DD9">
            <w:pPr>
              <w:rPr>
                <w:sz w:val="14"/>
                <w:szCs w:val="14"/>
              </w:rPr>
            </w:pPr>
            <w:r>
              <w:rPr>
                <w:sz w:val="14"/>
                <w:szCs w:val="14"/>
              </w:rPr>
              <w:t>Often</w:t>
            </w:r>
          </w:p>
        </w:tc>
        <w:tc>
          <w:tcPr>
            <w:tcW w:w="780" w:type="dxa"/>
            <w:tcBorders>
              <w:left w:val="single" w:sz="12" w:space="0" w:color="auto"/>
            </w:tcBorders>
            <w:vAlign w:val="center"/>
          </w:tcPr>
          <w:p w14:paraId="6CA19B09" w14:textId="77777777" w:rsidR="00CD55F1" w:rsidRDefault="00CD55F1" w:rsidP="00024DD9">
            <w:pPr>
              <w:jc w:val="center"/>
            </w:pPr>
            <w:r>
              <w:t>0</w:t>
            </w:r>
          </w:p>
        </w:tc>
        <w:tc>
          <w:tcPr>
            <w:tcW w:w="565" w:type="dxa"/>
            <w:vAlign w:val="center"/>
          </w:tcPr>
          <w:p w14:paraId="0EC5A148" w14:textId="77777777" w:rsidR="00CD55F1" w:rsidRPr="00210DD1" w:rsidRDefault="00CD55F1" w:rsidP="00024DD9">
            <w:pPr>
              <w:jc w:val="center"/>
            </w:pPr>
            <w:r>
              <w:t>0</w:t>
            </w:r>
          </w:p>
        </w:tc>
        <w:tc>
          <w:tcPr>
            <w:tcW w:w="634" w:type="dxa"/>
            <w:vAlign w:val="center"/>
          </w:tcPr>
          <w:p w14:paraId="4EC9081E" w14:textId="77777777" w:rsidR="00CD55F1" w:rsidRPr="00210DD1" w:rsidRDefault="00CD55F1" w:rsidP="00024DD9">
            <w:pPr>
              <w:jc w:val="center"/>
            </w:pPr>
            <w:r>
              <w:t>0</w:t>
            </w:r>
          </w:p>
        </w:tc>
        <w:tc>
          <w:tcPr>
            <w:tcW w:w="607" w:type="dxa"/>
            <w:vAlign w:val="center"/>
          </w:tcPr>
          <w:p w14:paraId="1149533F" w14:textId="77777777" w:rsidR="00CD55F1" w:rsidRPr="00210DD1" w:rsidRDefault="00CD55F1" w:rsidP="00024DD9">
            <w:pPr>
              <w:jc w:val="center"/>
            </w:pPr>
            <w:r>
              <w:t>0</w:t>
            </w:r>
          </w:p>
        </w:tc>
        <w:tc>
          <w:tcPr>
            <w:tcW w:w="950" w:type="dxa"/>
            <w:vAlign w:val="center"/>
          </w:tcPr>
          <w:p w14:paraId="450B6463" w14:textId="77777777" w:rsidR="00CD55F1" w:rsidRDefault="00CD55F1" w:rsidP="00024DD9">
            <w:pPr>
              <w:jc w:val="center"/>
            </w:pPr>
            <w:r>
              <w:t>0</w:t>
            </w:r>
          </w:p>
        </w:tc>
        <w:tc>
          <w:tcPr>
            <w:tcW w:w="359" w:type="dxa"/>
            <w:tcBorders>
              <w:top w:val="nil"/>
              <w:left w:val="nil"/>
              <w:bottom w:val="nil"/>
              <w:right w:val="nil"/>
            </w:tcBorders>
            <w:vAlign w:val="center"/>
          </w:tcPr>
          <w:p w14:paraId="61171543" w14:textId="77777777" w:rsidR="00CD55F1" w:rsidRDefault="00CD55F1" w:rsidP="00024DD9">
            <w:pPr>
              <w:jc w:val="center"/>
            </w:pPr>
          </w:p>
        </w:tc>
        <w:tc>
          <w:tcPr>
            <w:tcW w:w="874" w:type="dxa"/>
            <w:vAlign w:val="center"/>
          </w:tcPr>
          <w:p w14:paraId="4D978960" w14:textId="77777777" w:rsidR="00CD55F1" w:rsidRPr="005B7BEE" w:rsidRDefault="00CD55F1" w:rsidP="00024DD9">
            <w:pPr>
              <w:jc w:val="center"/>
              <w:rPr>
                <w:sz w:val="14"/>
                <w:szCs w:val="14"/>
              </w:rPr>
            </w:pPr>
            <w:r>
              <w:rPr>
                <w:sz w:val="14"/>
                <w:szCs w:val="14"/>
              </w:rPr>
              <w:t>Often</w:t>
            </w:r>
          </w:p>
        </w:tc>
        <w:tc>
          <w:tcPr>
            <w:tcW w:w="780" w:type="dxa"/>
            <w:vAlign w:val="center"/>
          </w:tcPr>
          <w:p w14:paraId="497E0024" w14:textId="77777777" w:rsidR="00CD55F1" w:rsidRDefault="00CD55F1" w:rsidP="00024DD9">
            <w:pPr>
              <w:jc w:val="center"/>
            </w:pPr>
            <w:r>
              <w:t>0</w:t>
            </w:r>
          </w:p>
        </w:tc>
        <w:tc>
          <w:tcPr>
            <w:tcW w:w="687" w:type="dxa"/>
            <w:vAlign w:val="center"/>
          </w:tcPr>
          <w:p w14:paraId="01D83DDF" w14:textId="77777777" w:rsidR="00CD55F1" w:rsidRPr="00210DD1" w:rsidRDefault="00CD55F1" w:rsidP="00024DD9">
            <w:pPr>
              <w:jc w:val="center"/>
            </w:pPr>
            <w:r>
              <w:t>0</w:t>
            </w:r>
          </w:p>
        </w:tc>
        <w:tc>
          <w:tcPr>
            <w:tcW w:w="720" w:type="dxa"/>
            <w:vAlign w:val="center"/>
          </w:tcPr>
          <w:p w14:paraId="5FCA50DA" w14:textId="77777777" w:rsidR="00CD55F1" w:rsidRPr="00210DD1" w:rsidRDefault="00CD55F1" w:rsidP="00024DD9">
            <w:pPr>
              <w:jc w:val="center"/>
            </w:pPr>
            <w:r>
              <w:t>0</w:t>
            </w:r>
          </w:p>
        </w:tc>
        <w:tc>
          <w:tcPr>
            <w:tcW w:w="630" w:type="dxa"/>
            <w:vAlign w:val="center"/>
          </w:tcPr>
          <w:p w14:paraId="6F8CA7EB" w14:textId="77777777" w:rsidR="00CD55F1" w:rsidRPr="00210DD1" w:rsidRDefault="00CD55F1" w:rsidP="00024DD9">
            <w:pPr>
              <w:jc w:val="center"/>
            </w:pPr>
            <w:r>
              <w:t>0</w:t>
            </w:r>
          </w:p>
        </w:tc>
        <w:tc>
          <w:tcPr>
            <w:tcW w:w="990" w:type="dxa"/>
            <w:vAlign w:val="center"/>
          </w:tcPr>
          <w:p w14:paraId="0212C25C" w14:textId="77777777" w:rsidR="00CD55F1" w:rsidRDefault="00CD55F1" w:rsidP="00024DD9">
            <w:pPr>
              <w:jc w:val="center"/>
            </w:pPr>
            <w:r>
              <w:t>0</w:t>
            </w:r>
          </w:p>
        </w:tc>
      </w:tr>
      <w:tr w:rsidR="00CD55F1" w:rsidRPr="00F60A9B" w14:paraId="1C22DA9F" w14:textId="77777777" w:rsidTr="00024DD9">
        <w:trPr>
          <w:jc w:val="center"/>
        </w:trPr>
        <w:tc>
          <w:tcPr>
            <w:tcW w:w="874" w:type="dxa"/>
            <w:tcBorders>
              <w:right w:val="single" w:sz="12" w:space="0" w:color="auto"/>
            </w:tcBorders>
          </w:tcPr>
          <w:p w14:paraId="1858FC2F" w14:textId="77777777" w:rsidR="00CD55F1" w:rsidRPr="005B7BEE" w:rsidRDefault="00CD55F1" w:rsidP="00024DD9">
            <w:pPr>
              <w:rPr>
                <w:sz w:val="14"/>
                <w:szCs w:val="14"/>
              </w:rPr>
            </w:pPr>
            <w:r w:rsidRPr="005B7BEE">
              <w:rPr>
                <w:sz w:val="14"/>
                <w:szCs w:val="14"/>
              </w:rPr>
              <w:t>Frequent</w:t>
            </w:r>
          </w:p>
        </w:tc>
        <w:tc>
          <w:tcPr>
            <w:tcW w:w="780" w:type="dxa"/>
            <w:tcBorders>
              <w:left w:val="single" w:sz="12" w:space="0" w:color="auto"/>
            </w:tcBorders>
            <w:shd w:val="clear" w:color="auto" w:fill="auto"/>
            <w:vAlign w:val="center"/>
          </w:tcPr>
          <w:p w14:paraId="28CF4A2D" w14:textId="77777777" w:rsidR="00CD55F1" w:rsidRDefault="00CD55F1" w:rsidP="00024DD9">
            <w:pPr>
              <w:jc w:val="center"/>
            </w:pPr>
            <w:r>
              <w:t>1</w:t>
            </w:r>
          </w:p>
        </w:tc>
        <w:tc>
          <w:tcPr>
            <w:tcW w:w="565" w:type="dxa"/>
            <w:shd w:val="clear" w:color="auto" w:fill="auto"/>
            <w:vAlign w:val="center"/>
          </w:tcPr>
          <w:p w14:paraId="335D758B"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23731D21" w14:textId="77777777" w:rsidR="00CD55F1" w:rsidRPr="00210DD1" w:rsidRDefault="00CD55F1" w:rsidP="00024DD9">
            <w:pPr>
              <w:jc w:val="center"/>
            </w:pPr>
            <w:r w:rsidRPr="00F60A9B">
              <w:rPr>
                <w:rFonts w:ascii="Calibri" w:hAnsi="Calibri" w:cs="Calibri"/>
              </w:rPr>
              <w:t>3</w:t>
            </w:r>
          </w:p>
        </w:tc>
        <w:tc>
          <w:tcPr>
            <w:tcW w:w="607" w:type="dxa"/>
            <w:shd w:val="clear" w:color="auto" w:fill="auto"/>
            <w:vAlign w:val="center"/>
          </w:tcPr>
          <w:p w14:paraId="12314758"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078AB1F8" w14:textId="77777777" w:rsidR="00CD55F1"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6EDA3701" w14:textId="77777777" w:rsidR="00CD55F1" w:rsidRDefault="00CD55F1" w:rsidP="00024DD9">
            <w:pPr>
              <w:jc w:val="center"/>
            </w:pPr>
          </w:p>
        </w:tc>
        <w:tc>
          <w:tcPr>
            <w:tcW w:w="874" w:type="dxa"/>
            <w:shd w:val="clear" w:color="auto" w:fill="auto"/>
            <w:vAlign w:val="center"/>
          </w:tcPr>
          <w:p w14:paraId="447D1F3E" w14:textId="77777777" w:rsidR="00CD55F1" w:rsidRPr="005B7BEE" w:rsidRDefault="00CD55F1" w:rsidP="00024DD9">
            <w:pPr>
              <w:jc w:val="center"/>
              <w:rPr>
                <w:sz w:val="14"/>
                <w:szCs w:val="14"/>
              </w:rPr>
            </w:pPr>
            <w:r w:rsidRPr="005B7BEE">
              <w:rPr>
                <w:sz w:val="14"/>
                <w:szCs w:val="14"/>
              </w:rPr>
              <w:t>Frequent</w:t>
            </w:r>
          </w:p>
        </w:tc>
        <w:tc>
          <w:tcPr>
            <w:tcW w:w="780" w:type="dxa"/>
            <w:shd w:val="clear" w:color="auto" w:fill="auto"/>
            <w:vAlign w:val="center"/>
          </w:tcPr>
          <w:p w14:paraId="0F246D5C" w14:textId="77777777" w:rsidR="00CD55F1" w:rsidRDefault="00CD55F1" w:rsidP="00024DD9">
            <w:pPr>
              <w:jc w:val="center"/>
            </w:pPr>
            <w:r>
              <w:rPr>
                <w:rFonts w:ascii="Calibri" w:hAnsi="Calibri" w:cs="Calibri"/>
              </w:rPr>
              <w:t>0</w:t>
            </w:r>
          </w:p>
        </w:tc>
        <w:tc>
          <w:tcPr>
            <w:tcW w:w="687" w:type="dxa"/>
            <w:vAlign w:val="center"/>
          </w:tcPr>
          <w:p w14:paraId="0384221D" w14:textId="77777777" w:rsidR="00CD55F1" w:rsidRPr="00210DD1" w:rsidRDefault="00CD55F1" w:rsidP="00024DD9">
            <w:pPr>
              <w:jc w:val="center"/>
            </w:pPr>
            <w:r>
              <w:rPr>
                <w:rFonts w:ascii="Calibri" w:hAnsi="Calibri" w:cs="Calibri"/>
              </w:rPr>
              <w:t>3</w:t>
            </w:r>
          </w:p>
        </w:tc>
        <w:tc>
          <w:tcPr>
            <w:tcW w:w="720" w:type="dxa"/>
            <w:vAlign w:val="center"/>
          </w:tcPr>
          <w:p w14:paraId="7F1D7525" w14:textId="77777777" w:rsidR="00CD55F1" w:rsidRPr="00210DD1" w:rsidRDefault="00CD55F1" w:rsidP="00024DD9">
            <w:pPr>
              <w:jc w:val="center"/>
            </w:pPr>
            <w:r w:rsidRPr="00F60A9B">
              <w:rPr>
                <w:rFonts w:ascii="Calibri" w:hAnsi="Calibri" w:cs="Calibri"/>
              </w:rPr>
              <w:t>0</w:t>
            </w:r>
          </w:p>
        </w:tc>
        <w:tc>
          <w:tcPr>
            <w:tcW w:w="630" w:type="dxa"/>
            <w:vAlign w:val="center"/>
          </w:tcPr>
          <w:p w14:paraId="2823F8A4" w14:textId="77777777" w:rsidR="00CD55F1" w:rsidRPr="00210DD1" w:rsidRDefault="00CD55F1" w:rsidP="00024DD9">
            <w:pPr>
              <w:jc w:val="center"/>
            </w:pPr>
            <w:r w:rsidRPr="00F60A9B">
              <w:rPr>
                <w:rFonts w:ascii="Calibri" w:hAnsi="Calibri" w:cs="Calibri"/>
              </w:rPr>
              <w:t>0</w:t>
            </w:r>
          </w:p>
        </w:tc>
        <w:tc>
          <w:tcPr>
            <w:tcW w:w="990" w:type="dxa"/>
            <w:vAlign w:val="center"/>
          </w:tcPr>
          <w:p w14:paraId="07066A26" w14:textId="77777777" w:rsidR="00CD55F1" w:rsidRDefault="00CD55F1" w:rsidP="00024DD9">
            <w:pPr>
              <w:jc w:val="center"/>
            </w:pPr>
            <w:r w:rsidRPr="00F60A9B">
              <w:rPr>
                <w:rFonts w:ascii="Calibri" w:hAnsi="Calibri" w:cs="Calibri"/>
              </w:rPr>
              <w:t>0</w:t>
            </w:r>
          </w:p>
        </w:tc>
      </w:tr>
      <w:tr w:rsidR="00CD55F1" w:rsidRPr="00F60A9B" w14:paraId="742159ED" w14:textId="77777777" w:rsidTr="00024DD9">
        <w:trPr>
          <w:jc w:val="center"/>
        </w:trPr>
        <w:tc>
          <w:tcPr>
            <w:tcW w:w="874" w:type="dxa"/>
            <w:tcBorders>
              <w:right w:val="single" w:sz="12" w:space="0" w:color="auto"/>
            </w:tcBorders>
          </w:tcPr>
          <w:p w14:paraId="0029BCB0" w14:textId="77777777" w:rsidR="00CD55F1" w:rsidRPr="005B7BEE" w:rsidRDefault="00CD55F1" w:rsidP="00024DD9">
            <w:pPr>
              <w:rPr>
                <w:sz w:val="14"/>
                <w:szCs w:val="14"/>
              </w:rPr>
            </w:pPr>
            <w:r w:rsidRPr="005B7BEE">
              <w:rPr>
                <w:sz w:val="14"/>
                <w:szCs w:val="14"/>
              </w:rPr>
              <w:t>Probable</w:t>
            </w:r>
          </w:p>
        </w:tc>
        <w:tc>
          <w:tcPr>
            <w:tcW w:w="780" w:type="dxa"/>
            <w:tcBorders>
              <w:left w:val="single" w:sz="12" w:space="0" w:color="auto"/>
            </w:tcBorders>
            <w:shd w:val="clear" w:color="auto" w:fill="auto"/>
            <w:vAlign w:val="center"/>
          </w:tcPr>
          <w:p w14:paraId="5C3864E2" w14:textId="77777777" w:rsidR="00CD55F1" w:rsidRPr="00F60A9B" w:rsidRDefault="00CD55F1" w:rsidP="00024DD9">
            <w:pPr>
              <w:jc w:val="center"/>
            </w:pPr>
            <w:r>
              <w:t>0</w:t>
            </w:r>
          </w:p>
        </w:tc>
        <w:tc>
          <w:tcPr>
            <w:tcW w:w="565" w:type="dxa"/>
            <w:shd w:val="clear" w:color="auto" w:fill="auto"/>
            <w:vAlign w:val="center"/>
          </w:tcPr>
          <w:p w14:paraId="7A830DBD"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10B2F982" w14:textId="77777777" w:rsidR="00CD55F1" w:rsidRPr="00210DD1" w:rsidRDefault="00CD55F1" w:rsidP="00024DD9">
            <w:pPr>
              <w:jc w:val="center"/>
            </w:pPr>
            <w:r>
              <w:rPr>
                <w:rFonts w:ascii="Calibri" w:hAnsi="Calibri" w:cs="Calibri"/>
              </w:rPr>
              <w:t>2</w:t>
            </w:r>
          </w:p>
        </w:tc>
        <w:tc>
          <w:tcPr>
            <w:tcW w:w="607" w:type="dxa"/>
            <w:shd w:val="clear" w:color="auto" w:fill="auto"/>
            <w:vAlign w:val="center"/>
          </w:tcPr>
          <w:p w14:paraId="3D1AAECB" w14:textId="77777777" w:rsidR="00CD55F1" w:rsidRPr="00210DD1" w:rsidRDefault="00CD55F1" w:rsidP="00024DD9">
            <w:pPr>
              <w:jc w:val="center"/>
            </w:pPr>
            <w:r w:rsidRPr="00F60A9B">
              <w:rPr>
                <w:rFonts w:ascii="Calibri" w:hAnsi="Calibri" w:cs="Calibri"/>
              </w:rPr>
              <w:t>0</w:t>
            </w:r>
          </w:p>
        </w:tc>
        <w:tc>
          <w:tcPr>
            <w:tcW w:w="950" w:type="dxa"/>
            <w:shd w:val="clear" w:color="auto" w:fill="auto"/>
            <w:vAlign w:val="center"/>
          </w:tcPr>
          <w:p w14:paraId="43B06EEC" w14:textId="77777777" w:rsidR="00CD55F1" w:rsidRPr="00F60A9B" w:rsidRDefault="00CD55F1" w:rsidP="00024DD9">
            <w:pPr>
              <w:jc w:val="center"/>
            </w:pPr>
            <w:r w:rsidRPr="00F60A9B">
              <w:rPr>
                <w:rFonts w:ascii="Calibri" w:hAnsi="Calibri" w:cs="Calibri"/>
              </w:rPr>
              <w:t>1</w:t>
            </w:r>
          </w:p>
        </w:tc>
        <w:tc>
          <w:tcPr>
            <w:tcW w:w="359" w:type="dxa"/>
            <w:tcBorders>
              <w:top w:val="nil"/>
              <w:left w:val="nil"/>
              <w:bottom w:val="nil"/>
              <w:right w:val="nil"/>
            </w:tcBorders>
            <w:shd w:val="clear" w:color="auto" w:fill="auto"/>
            <w:vAlign w:val="center"/>
          </w:tcPr>
          <w:p w14:paraId="629C3105"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74" w:type="dxa"/>
            <w:shd w:val="clear" w:color="auto" w:fill="auto"/>
            <w:vAlign w:val="center"/>
          </w:tcPr>
          <w:p w14:paraId="1D116C21" w14:textId="77777777" w:rsidR="00CD55F1" w:rsidRDefault="00CD55F1" w:rsidP="00024DD9">
            <w:pPr>
              <w:jc w:val="center"/>
            </w:pPr>
            <w:r w:rsidRPr="005B7BEE">
              <w:rPr>
                <w:sz w:val="14"/>
                <w:szCs w:val="14"/>
              </w:rPr>
              <w:t>Probable</w:t>
            </w:r>
          </w:p>
        </w:tc>
        <w:tc>
          <w:tcPr>
            <w:tcW w:w="780" w:type="dxa"/>
            <w:shd w:val="clear" w:color="auto" w:fill="auto"/>
            <w:vAlign w:val="center"/>
          </w:tcPr>
          <w:p w14:paraId="406DE343" w14:textId="77777777" w:rsidR="00CD55F1" w:rsidRDefault="00CD55F1" w:rsidP="00024DD9">
            <w:pPr>
              <w:jc w:val="center"/>
            </w:pPr>
            <w:r>
              <w:rPr>
                <w:rFonts w:ascii="Calibri" w:hAnsi="Calibri" w:cs="Calibri"/>
              </w:rPr>
              <w:t>1</w:t>
            </w:r>
          </w:p>
        </w:tc>
        <w:tc>
          <w:tcPr>
            <w:tcW w:w="687" w:type="dxa"/>
            <w:shd w:val="clear" w:color="auto" w:fill="auto"/>
            <w:vAlign w:val="center"/>
          </w:tcPr>
          <w:p w14:paraId="52B460CC" w14:textId="77777777" w:rsidR="00CD55F1" w:rsidRDefault="00CD55F1" w:rsidP="00024DD9">
            <w:pPr>
              <w:jc w:val="center"/>
            </w:pPr>
            <w:r>
              <w:rPr>
                <w:rFonts w:ascii="Calibri" w:hAnsi="Calibri" w:cs="Calibri"/>
              </w:rPr>
              <w:t>2</w:t>
            </w:r>
          </w:p>
        </w:tc>
        <w:tc>
          <w:tcPr>
            <w:tcW w:w="720" w:type="dxa"/>
            <w:vAlign w:val="center"/>
          </w:tcPr>
          <w:p w14:paraId="6CF25BAE" w14:textId="77777777" w:rsidR="00CD55F1" w:rsidRDefault="00CD55F1" w:rsidP="00024DD9">
            <w:pPr>
              <w:jc w:val="center"/>
            </w:pPr>
            <w:r>
              <w:rPr>
                <w:rFonts w:ascii="Calibri" w:hAnsi="Calibri" w:cs="Calibri"/>
              </w:rPr>
              <w:t>0</w:t>
            </w:r>
          </w:p>
        </w:tc>
        <w:tc>
          <w:tcPr>
            <w:tcW w:w="630" w:type="dxa"/>
            <w:vAlign w:val="center"/>
          </w:tcPr>
          <w:p w14:paraId="28B41FCB" w14:textId="77777777" w:rsidR="00CD55F1" w:rsidRDefault="00CD55F1" w:rsidP="00024DD9">
            <w:pPr>
              <w:jc w:val="center"/>
            </w:pPr>
            <w:r w:rsidRPr="00F60A9B">
              <w:rPr>
                <w:rFonts w:ascii="Calibri" w:hAnsi="Calibri" w:cs="Calibri"/>
              </w:rPr>
              <w:t>1</w:t>
            </w:r>
          </w:p>
        </w:tc>
        <w:tc>
          <w:tcPr>
            <w:tcW w:w="990" w:type="dxa"/>
            <w:vAlign w:val="center"/>
          </w:tcPr>
          <w:p w14:paraId="213472B5" w14:textId="77777777" w:rsidR="00CD55F1" w:rsidRDefault="00CD55F1" w:rsidP="00024DD9">
            <w:pPr>
              <w:jc w:val="center"/>
            </w:pPr>
            <w:r w:rsidRPr="00F60A9B">
              <w:rPr>
                <w:rFonts w:ascii="Calibri" w:hAnsi="Calibri" w:cs="Calibri"/>
              </w:rPr>
              <w:t>0</w:t>
            </w:r>
          </w:p>
        </w:tc>
      </w:tr>
      <w:tr w:rsidR="00CD55F1" w:rsidRPr="00F60A9B" w14:paraId="042E4F75" w14:textId="77777777" w:rsidTr="00024DD9">
        <w:trPr>
          <w:jc w:val="center"/>
        </w:trPr>
        <w:tc>
          <w:tcPr>
            <w:tcW w:w="874" w:type="dxa"/>
            <w:tcBorders>
              <w:right w:val="single" w:sz="12" w:space="0" w:color="auto"/>
            </w:tcBorders>
          </w:tcPr>
          <w:p w14:paraId="3E83C093" w14:textId="77777777" w:rsidR="00CD55F1" w:rsidRPr="005B7BEE" w:rsidRDefault="00CD55F1" w:rsidP="00024DD9">
            <w:pPr>
              <w:rPr>
                <w:sz w:val="14"/>
                <w:szCs w:val="14"/>
              </w:rPr>
            </w:pPr>
            <w:r w:rsidRPr="005B7BEE">
              <w:rPr>
                <w:sz w:val="14"/>
                <w:szCs w:val="14"/>
              </w:rPr>
              <w:t>Occasional</w:t>
            </w:r>
          </w:p>
        </w:tc>
        <w:tc>
          <w:tcPr>
            <w:tcW w:w="780" w:type="dxa"/>
            <w:tcBorders>
              <w:left w:val="single" w:sz="12" w:space="0" w:color="auto"/>
            </w:tcBorders>
            <w:shd w:val="clear" w:color="auto" w:fill="auto"/>
            <w:vAlign w:val="center"/>
          </w:tcPr>
          <w:p w14:paraId="5F7F9B65" w14:textId="77777777" w:rsidR="00CD55F1" w:rsidRPr="00F60A9B" w:rsidRDefault="00CD55F1" w:rsidP="00024DD9">
            <w:pPr>
              <w:jc w:val="center"/>
            </w:pPr>
            <w:r>
              <w:rPr>
                <w:rFonts w:ascii="Calibri" w:hAnsi="Calibri" w:cs="Calibri"/>
              </w:rPr>
              <w:t>0</w:t>
            </w:r>
          </w:p>
        </w:tc>
        <w:tc>
          <w:tcPr>
            <w:tcW w:w="565" w:type="dxa"/>
            <w:shd w:val="clear" w:color="auto" w:fill="auto"/>
            <w:vAlign w:val="center"/>
          </w:tcPr>
          <w:p w14:paraId="3D796348" w14:textId="77777777" w:rsidR="00CD55F1" w:rsidRPr="00210DD1" w:rsidRDefault="00CD55F1" w:rsidP="00024DD9">
            <w:pPr>
              <w:jc w:val="center"/>
            </w:pPr>
            <w:r w:rsidRPr="00F60A9B">
              <w:rPr>
                <w:rFonts w:ascii="Calibri" w:hAnsi="Calibri" w:cs="Calibri"/>
              </w:rPr>
              <w:t>0</w:t>
            </w:r>
          </w:p>
        </w:tc>
        <w:tc>
          <w:tcPr>
            <w:tcW w:w="634" w:type="dxa"/>
            <w:shd w:val="clear" w:color="auto" w:fill="auto"/>
            <w:vAlign w:val="center"/>
          </w:tcPr>
          <w:p w14:paraId="74E2A914"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367D61FF" w14:textId="77777777" w:rsidR="00CD55F1" w:rsidRPr="00210DD1" w:rsidRDefault="00CD55F1" w:rsidP="00024DD9">
            <w:pPr>
              <w:jc w:val="center"/>
            </w:pPr>
            <w:r>
              <w:t>2</w:t>
            </w:r>
          </w:p>
        </w:tc>
        <w:tc>
          <w:tcPr>
            <w:tcW w:w="950" w:type="dxa"/>
            <w:shd w:val="clear" w:color="auto" w:fill="auto"/>
            <w:vAlign w:val="center"/>
          </w:tcPr>
          <w:p w14:paraId="032545B0" w14:textId="77777777" w:rsidR="00CD55F1" w:rsidRPr="00F60A9B" w:rsidRDefault="00CD55F1" w:rsidP="00024DD9">
            <w:pPr>
              <w:jc w:val="center"/>
            </w:pPr>
            <w:r w:rsidRPr="00F60A9B">
              <w:rPr>
                <w:rFonts w:ascii="Calibri" w:hAnsi="Calibri" w:cs="Calibri"/>
              </w:rPr>
              <w:t>0</w:t>
            </w:r>
          </w:p>
        </w:tc>
        <w:tc>
          <w:tcPr>
            <w:tcW w:w="359" w:type="dxa"/>
            <w:tcBorders>
              <w:top w:val="nil"/>
              <w:left w:val="nil"/>
              <w:bottom w:val="nil"/>
              <w:right w:val="nil"/>
            </w:tcBorders>
            <w:shd w:val="clear" w:color="auto" w:fill="auto"/>
            <w:vAlign w:val="center"/>
          </w:tcPr>
          <w:p w14:paraId="47EF2071" w14:textId="77777777" w:rsidR="00CD55F1" w:rsidRDefault="00CD55F1" w:rsidP="00024DD9">
            <w:pPr>
              <w:jc w:val="center"/>
            </w:pPr>
          </w:p>
        </w:tc>
        <w:tc>
          <w:tcPr>
            <w:tcW w:w="874" w:type="dxa"/>
            <w:shd w:val="clear" w:color="auto" w:fill="auto"/>
            <w:vAlign w:val="center"/>
          </w:tcPr>
          <w:p w14:paraId="3BBC6F09" w14:textId="77777777" w:rsidR="00CD55F1" w:rsidRDefault="00CD55F1" w:rsidP="00024DD9">
            <w:pPr>
              <w:jc w:val="center"/>
            </w:pPr>
            <w:r w:rsidRPr="005B7BEE">
              <w:rPr>
                <w:sz w:val="14"/>
                <w:szCs w:val="14"/>
              </w:rPr>
              <w:t>Occasional</w:t>
            </w:r>
          </w:p>
        </w:tc>
        <w:tc>
          <w:tcPr>
            <w:tcW w:w="780" w:type="dxa"/>
            <w:shd w:val="clear" w:color="auto" w:fill="auto"/>
            <w:vAlign w:val="center"/>
          </w:tcPr>
          <w:p w14:paraId="46FC90E6" w14:textId="77777777" w:rsidR="00CD55F1" w:rsidRDefault="00CD55F1" w:rsidP="00024DD9">
            <w:pPr>
              <w:jc w:val="center"/>
            </w:pPr>
            <w:r>
              <w:rPr>
                <w:rFonts w:ascii="Calibri" w:hAnsi="Calibri" w:cs="Calibri"/>
              </w:rPr>
              <w:t>1</w:t>
            </w:r>
          </w:p>
        </w:tc>
        <w:tc>
          <w:tcPr>
            <w:tcW w:w="687" w:type="dxa"/>
            <w:shd w:val="clear" w:color="auto" w:fill="auto"/>
            <w:vAlign w:val="center"/>
          </w:tcPr>
          <w:p w14:paraId="624F9F38" w14:textId="77777777" w:rsidR="00CD55F1" w:rsidRDefault="00CD55F1" w:rsidP="00024DD9">
            <w:pPr>
              <w:jc w:val="center"/>
            </w:pPr>
            <w:r>
              <w:rPr>
                <w:rFonts w:ascii="Calibri" w:hAnsi="Calibri" w:cs="Calibri"/>
              </w:rPr>
              <w:t>0</w:t>
            </w:r>
          </w:p>
        </w:tc>
        <w:tc>
          <w:tcPr>
            <w:tcW w:w="720" w:type="dxa"/>
            <w:vAlign w:val="center"/>
          </w:tcPr>
          <w:p w14:paraId="239C151E" w14:textId="77777777" w:rsidR="00CD55F1" w:rsidRDefault="00CD55F1" w:rsidP="00024DD9">
            <w:pPr>
              <w:jc w:val="center"/>
            </w:pPr>
            <w:r>
              <w:rPr>
                <w:rFonts w:ascii="Calibri" w:hAnsi="Calibri" w:cs="Calibri"/>
              </w:rPr>
              <w:t>0</w:t>
            </w:r>
          </w:p>
        </w:tc>
        <w:tc>
          <w:tcPr>
            <w:tcW w:w="630" w:type="dxa"/>
            <w:vAlign w:val="center"/>
          </w:tcPr>
          <w:p w14:paraId="35E2D759" w14:textId="77777777" w:rsidR="00CD55F1" w:rsidRDefault="00CD55F1" w:rsidP="00024DD9">
            <w:pPr>
              <w:jc w:val="center"/>
            </w:pPr>
            <w:r>
              <w:rPr>
                <w:rFonts w:ascii="Calibri" w:hAnsi="Calibri" w:cs="Calibri"/>
              </w:rPr>
              <w:t>0</w:t>
            </w:r>
          </w:p>
        </w:tc>
        <w:tc>
          <w:tcPr>
            <w:tcW w:w="990" w:type="dxa"/>
            <w:vAlign w:val="center"/>
          </w:tcPr>
          <w:p w14:paraId="5A6C34B1" w14:textId="77777777" w:rsidR="00CD55F1" w:rsidRDefault="00CD55F1" w:rsidP="00024DD9">
            <w:pPr>
              <w:jc w:val="center"/>
            </w:pPr>
            <w:r w:rsidRPr="00F60A9B">
              <w:rPr>
                <w:rFonts w:ascii="Calibri" w:hAnsi="Calibri" w:cs="Calibri"/>
              </w:rPr>
              <w:t>1</w:t>
            </w:r>
          </w:p>
        </w:tc>
      </w:tr>
      <w:tr w:rsidR="00CD55F1" w:rsidRPr="00F60A9B" w14:paraId="59F4A769" w14:textId="77777777" w:rsidTr="00024DD9">
        <w:trPr>
          <w:jc w:val="center"/>
        </w:trPr>
        <w:tc>
          <w:tcPr>
            <w:tcW w:w="874" w:type="dxa"/>
            <w:tcBorders>
              <w:right w:val="single" w:sz="12" w:space="0" w:color="auto"/>
            </w:tcBorders>
          </w:tcPr>
          <w:p w14:paraId="7FAAF738" w14:textId="77777777" w:rsidR="00CD55F1" w:rsidRPr="005B7BEE" w:rsidRDefault="00CD55F1" w:rsidP="00024DD9">
            <w:pPr>
              <w:rPr>
                <w:sz w:val="14"/>
                <w:szCs w:val="14"/>
              </w:rPr>
            </w:pPr>
            <w:r w:rsidRPr="005B7BEE">
              <w:rPr>
                <w:sz w:val="14"/>
                <w:szCs w:val="14"/>
              </w:rPr>
              <w:t>Remote</w:t>
            </w:r>
          </w:p>
        </w:tc>
        <w:tc>
          <w:tcPr>
            <w:tcW w:w="780" w:type="dxa"/>
            <w:tcBorders>
              <w:left w:val="single" w:sz="12" w:space="0" w:color="auto"/>
            </w:tcBorders>
            <w:vAlign w:val="center"/>
          </w:tcPr>
          <w:p w14:paraId="5CDB16A1" w14:textId="77777777" w:rsidR="00CD55F1" w:rsidRPr="00F60A9B" w:rsidRDefault="00CD55F1" w:rsidP="00024DD9">
            <w:pPr>
              <w:jc w:val="center"/>
            </w:pPr>
            <w:r>
              <w:rPr>
                <w:rFonts w:ascii="Calibri" w:hAnsi="Calibri" w:cs="Calibri"/>
              </w:rPr>
              <w:t>3</w:t>
            </w:r>
          </w:p>
        </w:tc>
        <w:tc>
          <w:tcPr>
            <w:tcW w:w="565" w:type="dxa"/>
            <w:vAlign w:val="center"/>
          </w:tcPr>
          <w:p w14:paraId="5BFFFEEB" w14:textId="77777777" w:rsidR="00CD55F1" w:rsidRPr="00210DD1" w:rsidRDefault="00CD55F1" w:rsidP="00024DD9">
            <w:pPr>
              <w:jc w:val="center"/>
            </w:pPr>
            <w:r>
              <w:rPr>
                <w:rFonts w:ascii="Calibri" w:hAnsi="Calibri" w:cs="Calibri"/>
              </w:rPr>
              <w:t>0</w:t>
            </w:r>
          </w:p>
        </w:tc>
        <w:tc>
          <w:tcPr>
            <w:tcW w:w="634" w:type="dxa"/>
            <w:vAlign w:val="center"/>
          </w:tcPr>
          <w:p w14:paraId="06E374D0" w14:textId="77777777" w:rsidR="00CD55F1" w:rsidRPr="00210DD1" w:rsidRDefault="00CD55F1" w:rsidP="00024DD9">
            <w:pPr>
              <w:jc w:val="center"/>
            </w:pPr>
            <w:r>
              <w:rPr>
                <w:rFonts w:ascii="Calibri" w:hAnsi="Calibri" w:cs="Calibri"/>
              </w:rPr>
              <w:t>0</w:t>
            </w:r>
          </w:p>
        </w:tc>
        <w:tc>
          <w:tcPr>
            <w:tcW w:w="607" w:type="dxa"/>
            <w:shd w:val="clear" w:color="auto" w:fill="D9E2F3" w:themeFill="accent1" w:themeFillTint="33"/>
            <w:vAlign w:val="center"/>
          </w:tcPr>
          <w:p w14:paraId="5F04F134" w14:textId="77777777" w:rsidR="00CD55F1" w:rsidRPr="00210DD1" w:rsidRDefault="00CD55F1" w:rsidP="00024DD9">
            <w:pPr>
              <w:jc w:val="center"/>
            </w:pPr>
            <w:r>
              <w:rPr>
                <w:rFonts w:ascii="Calibri" w:hAnsi="Calibri" w:cs="Calibri"/>
              </w:rPr>
              <w:t>2</w:t>
            </w:r>
          </w:p>
        </w:tc>
        <w:tc>
          <w:tcPr>
            <w:tcW w:w="950" w:type="dxa"/>
            <w:vAlign w:val="center"/>
          </w:tcPr>
          <w:p w14:paraId="5BA64715" w14:textId="77777777" w:rsidR="00CD55F1" w:rsidRPr="00F60A9B" w:rsidRDefault="00CD55F1" w:rsidP="00024DD9">
            <w:pPr>
              <w:jc w:val="center"/>
            </w:pPr>
            <w:r>
              <w:rPr>
                <w:rFonts w:ascii="Calibri" w:hAnsi="Calibri" w:cs="Calibri"/>
              </w:rPr>
              <w:t>0</w:t>
            </w:r>
          </w:p>
        </w:tc>
        <w:tc>
          <w:tcPr>
            <w:tcW w:w="359" w:type="dxa"/>
            <w:tcBorders>
              <w:top w:val="nil"/>
              <w:left w:val="nil"/>
              <w:bottom w:val="nil"/>
              <w:right w:val="nil"/>
            </w:tcBorders>
            <w:vAlign w:val="center"/>
          </w:tcPr>
          <w:p w14:paraId="1501DFC0" w14:textId="77777777" w:rsidR="00CD55F1" w:rsidRDefault="00CD55F1" w:rsidP="00024DD9">
            <w:pPr>
              <w:jc w:val="center"/>
            </w:pPr>
          </w:p>
        </w:tc>
        <w:tc>
          <w:tcPr>
            <w:tcW w:w="874" w:type="dxa"/>
            <w:vAlign w:val="center"/>
          </w:tcPr>
          <w:p w14:paraId="03F18A8B" w14:textId="77777777" w:rsidR="00CD55F1" w:rsidRDefault="00CD55F1" w:rsidP="00024DD9">
            <w:pPr>
              <w:jc w:val="center"/>
            </w:pPr>
            <w:r w:rsidRPr="005B7BEE">
              <w:rPr>
                <w:sz w:val="14"/>
                <w:szCs w:val="14"/>
              </w:rPr>
              <w:t>Remote</w:t>
            </w:r>
          </w:p>
        </w:tc>
        <w:tc>
          <w:tcPr>
            <w:tcW w:w="780" w:type="dxa"/>
            <w:vAlign w:val="center"/>
          </w:tcPr>
          <w:p w14:paraId="645C960A" w14:textId="77777777" w:rsidR="00CD55F1" w:rsidRDefault="00CD55F1" w:rsidP="00024DD9">
            <w:pPr>
              <w:jc w:val="center"/>
            </w:pPr>
            <w:r>
              <w:rPr>
                <w:rFonts w:ascii="Calibri" w:hAnsi="Calibri" w:cs="Calibri"/>
              </w:rPr>
              <w:t>0</w:t>
            </w:r>
          </w:p>
        </w:tc>
        <w:tc>
          <w:tcPr>
            <w:tcW w:w="687" w:type="dxa"/>
            <w:vAlign w:val="center"/>
          </w:tcPr>
          <w:p w14:paraId="4EF4E987" w14:textId="77777777" w:rsidR="00CD55F1" w:rsidRDefault="00CD55F1" w:rsidP="00024DD9">
            <w:pPr>
              <w:jc w:val="center"/>
            </w:pPr>
            <w:r>
              <w:rPr>
                <w:rFonts w:ascii="Calibri" w:hAnsi="Calibri" w:cs="Calibri"/>
              </w:rPr>
              <w:t>2</w:t>
            </w:r>
          </w:p>
        </w:tc>
        <w:tc>
          <w:tcPr>
            <w:tcW w:w="720" w:type="dxa"/>
            <w:vAlign w:val="center"/>
          </w:tcPr>
          <w:p w14:paraId="24AFCF77" w14:textId="77777777" w:rsidR="00CD55F1" w:rsidRDefault="00CD55F1" w:rsidP="00024DD9">
            <w:pPr>
              <w:jc w:val="center"/>
            </w:pPr>
            <w:r>
              <w:rPr>
                <w:rFonts w:ascii="Calibri" w:hAnsi="Calibri" w:cs="Calibri"/>
              </w:rPr>
              <w:t>0</w:t>
            </w:r>
          </w:p>
        </w:tc>
        <w:tc>
          <w:tcPr>
            <w:tcW w:w="630" w:type="dxa"/>
            <w:shd w:val="clear" w:color="auto" w:fill="D9E2F3" w:themeFill="accent1" w:themeFillTint="33"/>
            <w:vAlign w:val="center"/>
          </w:tcPr>
          <w:p w14:paraId="07B6BF88" w14:textId="77777777" w:rsidR="00CD55F1" w:rsidRDefault="00CD55F1" w:rsidP="00024DD9">
            <w:pPr>
              <w:jc w:val="center"/>
            </w:pPr>
            <w:r>
              <w:rPr>
                <w:rFonts w:ascii="Calibri" w:hAnsi="Calibri" w:cs="Calibri"/>
              </w:rPr>
              <w:t>0</w:t>
            </w:r>
          </w:p>
        </w:tc>
        <w:tc>
          <w:tcPr>
            <w:tcW w:w="990" w:type="dxa"/>
            <w:vAlign w:val="center"/>
          </w:tcPr>
          <w:p w14:paraId="08DE79D5" w14:textId="77777777" w:rsidR="00CD55F1" w:rsidRDefault="00CD55F1" w:rsidP="00024DD9">
            <w:pPr>
              <w:jc w:val="center"/>
            </w:pPr>
            <w:r>
              <w:rPr>
                <w:rFonts w:ascii="Calibri" w:hAnsi="Calibri" w:cs="Calibri"/>
              </w:rPr>
              <w:t>0</w:t>
            </w:r>
          </w:p>
        </w:tc>
      </w:tr>
      <w:tr w:rsidR="00CD55F1" w:rsidRPr="00F60A9B" w14:paraId="370834C7" w14:textId="77777777" w:rsidTr="00024DD9">
        <w:trPr>
          <w:jc w:val="center"/>
        </w:trPr>
        <w:tc>
          <w:tcPr>
            <w:tcW w:w="874" w:type="dxa"/>
            <w:tcBorders>
              <w:right w:val="single" w:sz="12" w:space="0" w:color="auto"/>
            </w:tcBorders>
          </w:tcPr>
          <w:p w14:paraId="19C7487B" w14:textId="77777777" w:rsidR="00CD55F1" w:rsidRPr="005B7BEE" w:rsidRDefault="00CD55F1" w:rsidP="00024DD9">
            <w:pPr>
              <w:rPr>
                <w:sz w:val="14"/>
                <w:szCs w:val="14"/>
              </w:rPr>
            </w:pPr>
            <w:r w:rsidRPr="005B7BEE">
              <w:rPr>
                <w:sz w:val="14"/>
                <w:szCs w:val="14"/>
              </w:rPr>
              <w:t>Improbable</w:t>
            </w:r>
          </w:p>
        </w:tc>
        <w:tc>
          <w:tcPr>
            <w:tcW w:w="780" w:type="dxa"/>
            <w:tcBorders>
              <w:left w:val="single" w:sz="12" w:space="0" w:color="auto"/>
            </w:tcBorders>
            <w:vAlign w:val="center"/>
          </w:tcPr>
          <w:p w14:paraId="0D34484A" w14:textId="77777777" w:rsidR="00CD55F1" w:rsidRPr="00F60A9B" w:rsidRDefault="00CD55F1" w:rsidP="00024DD9">
            <w:pPr>
              <w:jc w:val="center"/>
            </w:pPr>
            <w:r>
              <w:rPr>
                <w:rFonts w:ascii="Calibri" w:hAnsi="Calibri" w:cs="Calibri"/>
              </w:rPr>
              <w:t>0</w:t>
            </w:r>
          </w:p>
        </w:tc>
        <w:tc>
          <w:tcPr>
            <w:tcW w:w="565" w:type="dxa"/>
            <w:vAlign w:val="center"/>
          </w:tcPr>
          <w:p w14:paraId="29C5FBCD" w14:textId="77777777" w:rsidR="00CD55F1" w:rsidRPr="00210DD1" w:rsidRDefault="00CD55F1" w:rsidP="00024DD9">
            <w:pPr>
              <w:jc w:val="center"/>
            </w:pPr>
            <w:r>
              <w:rPr>
                <w:rFonts w:ascii="Calibri" w:hAnsi="Calibri" w:cs="Calibri"/>
              </w:rPr>
              <w:t>0</w:t>
            </w:r>
          </w:p>
        </w:tc>
        <w:tc>
          <w:tcPr>
            <w:tcW w:w="634" w:type="dxa"/>
            <w:shd w:val="clear" w:color="auto" w:fill="auto"/>
            <w:vAlign w:val="center"/>
          </w:tcPr>
          <w:p w14:paraId="2B59B4CD" w14:textId="77777777" w:rsidR="00CD55F1" w:rsidRPr="00210DD1" w:rsidRDefault="00CD55F1" w:rsidP="00024DD9">
            <w:pPr>
              <w:jc w:val="center"/>
            </w:pPr>
            <w:r>
              <w:rPr>
                <w:rFonts w:ascii="Calibri" w:hAnsi="Calibri" w:cs="Calibri"/>
              </w:rPr>
              <w:t>0</w:t>
            </w:r>
          </w:p>
        </w:tc>
        <w:tc>
          <w:tcPr>
            <w:tcW w:w="607" w:type="dxa"/>
            <w:shd w:val="clear" w:color="auto" w:fill="auto"/>
            <w:vAlign w:val="center"/>
          </w:tcPr>
          <w:p w14:paraId="2B79E155" w14:textId="77777777" w:rsidR="00CD55F1" w:rsidRPr="00210DD1" w:rsidRDefault="00CD55F1" w:rsidP="00024DD9">
            <w:pPr>
              <w:jc w:val="center"/>
            </w:pPr>
            <w:r>
              <w:rPr>
                <w:rFonts w:ascii="Calibri" w:hAnsi="Calibri" w:cs="Calibri"/>
              </w:rPr>
              <w:t>1</w:t>
            </w:r>
          </w:p>
        </w:tc>
        <w:tc>
          <w:tcPr>
            <w:tcW w:w="950" w:type="dxa"/>
            <w:shd w:val="clear" w:color="auto" w:fill="auto"/>
            <w:vAlign w:val="center"/>
          </w:tcPr>
          <w:p w14:paraId="7DC650F1" w14:textId="77777777" w:rsidR="00CD55F1" w:rsidRPr="00F60A9B" w:rsidRDefault="00CD55F1" w:rsidP="00024DD9">
            <w:pPr>
              <w:keepNext/>
              <w:jc w:val="center"/>
            </w:pPr>
            <w:r w:rsidRPr="00F60A9B">
              <w:rPr>
                <w:rFonts w:ascii="Calibri" w:hAnsi="Calibri" w:cs="Calibri"/>
              </w:rPr>
              <w:t>0</w:t>
            </w:r>
          </w:p>
        </w:tc>
        <w:tc>
          <w:tcPr>
            <w:tcW w:w="359" w:type="dxa"/>
            <w:tcBorders>
              <w:top w:val="nil"/>
              <w:left w:val="nil"/>
              <w:bottom w:val="nil"/>
              <w:right w:val="nil"/>
            </w:tcBorders>
            <w:vAlign w:val="center"/>
          </w:tcPr>
          <w:p w14:paraId="3C1C304D" w14:textId="77777777" w:rsidR="00CD55F1" w:rsidRDefault="00CD55F1" w:rsidP="00024DD9">
            <w:pPr>
              <w:keepNext/>
              <w:jc w:val="center"/>
            </w:pPr>
          </w:p>
        </w:tc>
        <w:tc>
          <w:tcPr>
            <w:tcW w:w="874" w:type="dxa"/>
            <w:vAlign w:val="center"/>
          </w:tcPr>
          <w:p w14:paraId="2075D277" w14:textId="77777777" w:rsidR="00CD55F1" w:rsidRDefault="00CD55F1" w:rsidP="00024DD9">
            <w:pPr>
              <w:keepNext/>
              <w:jc w:val="center"/>
            </w:pPr>
            <w:r w:rsidRPr="005B7BEE">
              <w:rPr>
                <w:sz w:val="14"/>
                <w:szCs w:val="14"/>
              </w:rPr>
              <w:t>Improbable</w:t>
            </w:r>
          </w:p>
        </w:tc>
        <w:tc>
          <w:tcPr>
            <w:tcW w:w="780" w:type="dxa"/>
            <w:vAlign w:val="center"/>
          </w:tcPr>
          <w:p w14:paraId="6317E68F" w14:textId="77777777" w:rsidR="00CD55F1" w:rsidRDefault="00CD55F1" w:rsidP="00024DD9">
            <w:pPr>
              <w:keepNext/>
              <w:jc w:val="center"/>
            </w:pPr>
            <w:r>
              <w:rPr>
                <w:rFonts w:ascii="Calibri" w:hAnsi="Calibri" w:cs="Calibri"/>
              </w:rPr>
              <w:t>0</w:t>
            </w:r>
          </w:p>
        </w:tc>
        <w:tc>
          <w:tcPr>
            <w:tcW w:w="687" w:type="dxa"/>
            <w:vAlign w:val="center"/>
          </w:tcPr>
          <w:p w14:paraId="26F4F928" w14:textId="77777777" w:rsidR="00CD55F1" w:rsidRDefault="00CD55F1" w:rsidP="00024DD9">
            <w:pPr>
              <w:keepNext/>
              <w:jc w:val="center"/>
            </w:pPr>
            <w:r>
              <w:rPr>
                <w:rFonts w:ascii="Calibri" w:hAnsi="Calibri" w:cs="Calibri"/>
              </w:rPr>
              <w:t>1</w:t>
            </w:r>
          </w:p>
        </w:tc>
        <w:tc>
          <w:tcPr>
            <w:tcW w:w="720" w:type="dxa"/>
            <w:vAlign w:val="center"/>
          </w:tcPr>
          <w:p w14:paraId="1F073B04" w14:textId="77777777" w:rsidR="00CD55F1" w:rsidRDefault="00CD55F1" w:rsidP="00024DD9">
            <w:pPr>
              <w:keepNext/>
              <w:jc w:val="center"/>
            </w:pPr>
            <w:r>
              <w:rPr>
                <w:rFonts w:ascii="Calibri" w:hAnsi="Calibri" w:cs="Calibri"/>
              </w:rPr>
              <w:t>0</w:t>
            </w:r>
          </w:p>
        </w:tc>
        <w:tc>
          <w:tcPr>
            <w:tcW w:w="630" w:type="dxa"/>
            <w:shd w:val="clear" w:color="auto" w:fill="auto"/>
            <w:vAlign w:val="center"/>
          </w:tcPr>
          <w:p w14:paraId="736FC6DE" w14:textId="77777777" w:rsidR="00CD55F1" w:rsidRDefault="00CD55F1" w:rsidP="00024DD9">
            <w:pPr>
              <w:keepNext/>
              <w:jc w:val="center"/>
            </w:pPr>
            <w:r>
              <w:rPr>
                <w:rFonts w:ascii="Calibri" w:hAnsi="Calibri" w:cs="Calibri"/>
              </w:rPr>
              <w:t>0</w:t>
            </w:r>
          </w:p>
        </w:tc>
        <w:tc>
          <w:tcPr>
            <w:tcW w:w="990" w:type="dxa"/>
            <w:vAlign w:val="center"/>
          </w:tcPr>
          <w:p w14:paraId="222D1841" w14:textId="77777777" w:rsidR="00CD55F1" w:rsidRDefault="00CD55F1" w:rsidP="00024DD9">
            <w:pPr>
              <w:keepNext/>
              <w:jc w:val="center"/>
            </w:pPr>
            <w:r w:rsidRPr="00F60A9B">
              <w:rPr>
                <w:rFonts w:ascii="Calibri" w:hAnsi="Calibri" w:cs="Calibri"/>
              </w:rPr>
              <w:t>0</w:t>
            </w:r>
          </w:p>
        </w:tc>
      </w:tr>
    </w:tbl>
    <w:p w14:paraId="50DD94DA" w14:textId="74728C1E" w:rsidR="00CD55F1" w:rsidRDefault="00CD55F1" w:rsidP="00CD55F1">
      <w:pPr>
        <w:pStyle w:val="Caption"/>
        <w:keepNext/>
        <w:tabs>
          <w:tab w:val="center" w:pos="4680"/>
          <w:tab w:val="right" w:pos="9360"/>
        </w:tabs>
        <w:spacing w:before="120"/>
      </w:pPr>
      <w:r>
        <w:tab/>
      </w:r>
      <w:bookmarkStart w:id="66" w:name="_Ref147833976"/>
      <w:r>
        <w:t xml:space="preserve">Equation </w:t>
      </w:r>
      <w:r>
        <w:fldChar w:fldCharType="begin"/>
      </w:r>
      <w:r>
        <w:instrText xml:space="preserve"> SEQ Equation \* ARABIC </w:instrText>
      </w:r>
      <w:r>
        <w:fldChar w:fldCharType="separate"/>
      </w:r>
      <w:r w:rsidR="003468AE">
        <w:rPr>
          <w:noProof/>
        </w:rPr>
        <w:t>18</w:t>
      </w:r>
      <w:r>
        <w:rPr>
          <w:noProof/>
        </w:rPr>
        <w:fldChar w:fldCharType="end"/>
      </w:r>
      <w:bookmarkEnd w:id="66"/>
      <w:r>
        <w:tab/>
      </w:r>
    </w:p>
    <w:p w14:paraId="5FA451E0" w14:textId="77777777" w:rsidR="00CD55F1" w:rsidRPr="00F60A9B" w:rsidRDefault="00CD55F1" w:rsidP="00AA2310">
      <w:pPr>
        <w:spacing w:after="0" w:line="240" w:lineRule="auto"/>
      </w:pPr>
    </w:p>
    <w:p w14:paraId="3DE5E0AE" w14:textId="07B7E6D3" w:rsidR="00CD55F1" w:rsidRPr="00646086" w:rsidRDefault="00CD55F1" w:rsidP="00A600C8">
      <w:pPr>
        <w:pStyle w:val="Heading2"/>
        <w:rPr>
          <w:rFonts w:eastAsia="TimesNewRomanPSMT" w:cs="TimesNewRomanPSMT"/>
          <w:b/>
          <w:color w:val="000000"/>
          <w:u w:val="single"/>
        </w:rPr>
      </w:pPr>
      <w:bookmarkStart w:id="67" w:name="_Ref151223404"/>
      <w:bookmarkStart w:id="68" w:name="_Toc156728651"/>
      <w:r w:rsidRPr="00646086">
        <w:rPr>
          <w:rFonts w:eastAsia="TimesNewRomanPSMT" w:cs="TimesNewRomanPSMT"/>
          <w:b/>
          <w:color w:val="000000"/>
          <w:u w:val="single"/>
        </w:rPr>
        <w:t>Moving Similar Risks</w:t>
      </w:r>
      <w:bookmarkEnd w:id="67"/>
      <w:bookmarkEnd w:id="68"/>
    </w:p>
    <w:p w14:paraId="36E9590A" w14:textId="514D5007" w:rsidR="00CD55F1" w:rsidRDefault="00CD55F1" w:rsidP="00CD55F1">
      <w:pPr>
        <w:rPr>
          <w:rFonts w:eastAsiaTheme="minorEastAsia"/>
        </w:rPr>
      </w:pPr>
      <w:r>
        <w:rPr>
          <w:rFonts w:eastAsiaTheme="minorEastAsia"/>
        </w:rPr>
        <w:t xml:space="preserve">The previous algebraic rule was built on the concept that we can represent the same risk in different cells of </w:t>
      </w:r>
      <w:r w:rsidRPr="00676EBF">
        <w:rPr>
          <w:rFonts w:eastAsiaTheme="minorEastAsia"/>
        </w:rPr>
        <w:fldChar w:fldCharType="begin"/>
      </w:r>
      <w:r w:rsidRPr="00676EBF">
        <w:rPr>
          <w:rFonts w:eastAsiaTheme="minorEastAsia"/>
        </w:rPr>
        <w:instrText xml:space="preserve"> REF _Ref146702767 \h </w:instrText>
      </w:r>
      <w:r w:rsidRPr="00676EBF">
        <w:rPr>
          <w:rFonts w:eastAsiaTheme="minorEastAsia"/>
        </w:rPr>
      </w:r>
      <w:r w:rsidRPr="00676EBF">
        <w:rPr>
          <w:rFonts w:eastAsiaTheme="minorEastAsia"/>
        </w:rPr>
        <w:fldChar w:fldCharType="separate"/>
      </w:r>
      <w:r w:rsidR="001E41EA" w:rsidRPr="00F60A9B">
        <w:t xml:space="preserve">Table </w:t>
      </w:r>
      <w:r w:rsidR="001E41EA">
        <w:rPr>
          <w:noProof/>
        </w:rPr>
        <w:t>6</w:t>
      </w:r>
      <w:r w:rsidRPr="00676EBF">
        <w:rPr>
          <w:rFonts w:eastAsiaTheme="minorEastAsia"/>
        </w:rPr>
        <w:fldChar w:fldCharType="end"/>
      </w:r>
      <w:r>
        <w:rPr>
          <w:rFonts w:eastAsiaTheme="minorEastAsia"/>
        </w:rPr>
        <w:t xml:space="preserve"> by moving the ‘count’ for a risk to different rows within the same severity.  This algebraic rule generalizes the concept of representing the same risk in different cells by moving the ‘count’ for a risk across a band of cells with similar risks.  </w:t>
      </w:r>
      <w:r w:rsidRPr="00F60A9B">
        <w:rPr>
          <w:rFonts w:eastAsiaTheme="minorEastAsia"/>
        </w:rPr>
        <w:t xml:space="preserve">In the following table, combinations of Severity and Probability with the same number </w:t>
      </w:r>
      <w:r>
        <w:rPr>
          <w:rFonts w:eastAsiaTheme="minorEastAsia"/>
        </w:rPr>
        <w:t xml:space="preserve">and color </w:t>
      </w:r>
      <w:r w:rsidRPr="00F60A9B">
        <w:rPr>
          <w:rFonts w:eastAsiaTheme="minorEastAsia"/>
        </w:rPr>
        <w:t>have approximately the same amount of risk:</w:t>
      </w:r>
      <w:r w:rsidR="00B80650">
        <w:rPr>
          <w:rFonts w:eastAsiaTheme="minorEastAsia"/>
        </w:rPr>
        <w:t xml:space="preserve"> </w:t>
      </w:r>
    </w:p>
    <w:p w14:paraId="1AD60AD8" w14:textId="77777777" w:rsidR="00B80650" w:rsidRPr="005A3515" w:rsidRDefault="00B80650" w:rsidP="00CD55F1">
      <w:pPr>
        <w:rPr>
          <w:rFonts w:eastAsiaTheme="minorEastAsia"/>
        </w:rPr>
      </w:pPr>
    </w:p>
    <w:tbl>
      <w:tblPr>
        <w:tblStyle w:val="TableGrid"/>
        <w:tblW w:w="0" w:type="auto"/>
        <w:jc w:val="center"/>
        <w:tblLook w:val="04A0" w:firstRow="1" w:lastRow="0" w:firstColumn="1" w:lastColumn="0" w:noHBand="0" w:noVBand="1"/>
      </w:tblPr>
      <w:tblGrid>
        <w:gridCol w:w="1333"/>
        <w:gridCol w:w="1330"/>
        <w:gridCol w:w="1117"/>
        <w:gridCol w:w="1080"/>
        <w:gridCol w:w="1080"/>
        <w:gridCol w:w="1080"/>
        <w:gridCol w:w="1350"/>
      </w:tblGrid>
      <w:tr w:rsidR="00CD55F1" w:rsidRPr="00F60A9B" w14:paraId="57730C59" w14:textId="77777777" w:rsidTr="00024DD9">
        <w:trPr>
          <w:jc w:val="center"/>
        </w:trPr>
        <w:tc>
          <w:tcPr>
            <w:tcW w:w="1333" w:type="dxa"/>
            <w:tcBorders>
              <w:top w:val="nil"/>
              <w:left w:val="nil"/>
              <w:bottom w:val="nil"/>
              <w:right w:val="nil"/>
            </w:tcBorders>
          </w:tcPr>
          <w:p w14:paraId="3109A8B4" w14:textId="77777777" w:rsidR="00CD55F1" w:rsidRPr="00F60A9B" w:rsidRDefault="00CD55F1" w:rsidP="00024DD9"/>
        </w:tc>
        <w:tc>
          <w:tcPr>
            <w:tcW w:w="1330" w:type="dxa"/>
            <w:tcBorders>
              <w:top w:val="nil"/>
              <w:left w:val="nil"/>
              <w:bottom w:val="nil"/>
              <w:right w:val="nil"/>
            </w:tcBorders>
          </w:tcPr>
          <w:p w14:paraId="5A99D396" w14:textId="77777777" w:rsidR="00CD55F1" w:rsidRPr="00F60A9B" w:rsidRDefault="00CD55F1" w:rsidP="00024DD9"/>
        </w:tc>
        <w:tc>
          <w:tcPr>
            <w:tcW w:w="5707" w:type="dxa"/>
            <w:gridSpan w:val="5"/>
            <w:tcBorders>
              <w:top w:val="nil"/>
              <w:left w:val="nil"/>
              <w:bottom w:val="nil"/>
              <w:right w:val="nil"/>
            </w:tcBorders>
          </w:tcPr>
          <w:p w14:paraId="5A57054C" w14:textId="77777777" w:rsidR="00CD55F1" w:rsidRPr="00F60A9B" w:rsidRDefault="00CD55F1" w:rsidP="00B80650">
            <w:pPr>
              <w:keepNext/>
              <w:keepLines/>
              <w:spacing w:after="60"/>
              <w:jc w:val="center"/>
            </w:pPr>
            <w:r w:rsidRPr="00F60A9B">
              <w:t xml:space="preserve">Qualitative </w:t>
            </w:r>
            <w:r w:rsidRPr="00F60A9B">
              <w:rPr>
                <w:b/>
                <w:bCs/>
              </w:rPr>
              <w:t>severity</w:t>
            </w:r>
            <w:r w:rsidRPr="00F60A9B">
              <w:t xml:space="preserve"> levels</w:t>
            </w:r>
          </w:p>
        </w:tc>
      </w:tr>
      <w:tr w:rsidR="00CD55F1" w:rsidRPr="00F60A9B" w14:paraId="12D00352" w14:textId="77777777" w:rsidTr="00024DD9">
        <w:trPr>
          <w:jc w:val="center"/>
        </w:trPr>
        <w:tc>
          <w:tcPr>
            <w:tcW w:w="1333" w:type="dxa"/>
            <w:tcBorders>
              <w:top w:val="nil"/>
              <w:left w:val="nil"/>
              <w:bottom w:val="nil"/>
              <w:right w:val="nil"/>
            </w:tcBorders>
          </w:tcPr>
          <w:p w14:paraId="73ADA711" w14:textId="77777777" w:rsidR="00CD55F1" w:rsidRPr="00F60A9B" w:rsidRDefault="00CD55F1" w:rsidP="00024DD9"/>
        </w:tc>
        <w:tc>
          <w:tcPr>
            <w:tcW w:w="1330" w:type="dxa"/>
            <w:tcBorders>
              <w:top w:val="nil"/>
              <w:left w:val="nil"/>
              <w:bottom w:val="single" w:sz="4" w:space="0" w:color="auto"/>
            </w:tcBorders>
          </w:tcPr>
          <w:p w14:paraId="67EF373A" w14:textId="77777777" w:rsidR="00CD55F1" w:rsidRPr="00F60A9B" w:rsidRDefault="00CD55F1" w:rsidP="00024DD9"/>
        </w:tc>
        <w:tc>
          <w:tcPr>
            <w:tcW w:w="1117" w:type="dxa"/>
            <w:tcBorders>
              <w:top w:val="single" w:sz="4" w:space="0" w:color="auto"/>
              <w:bottom w:val="single" w:sz="12" w:space="0" w:color="auto"/>
            </w:tcBorders>
            <w:vAlign w:val="center"/>
          </w:tcPr>
          <w:p w14:paraId="5F26963E" w14:textId="77777777" w:rsidR="00CD55F1" w:rsidRPr="00F60A9B" w:rsidRDefault="00CD55F1" w:rsidP="00024DD9">
            <w:pPr>
              <w:jc w:val="center"/>
            </w:pPr>
            <w:r w:rsidRPr="00F60A9B">
              <w:t>Negligible</w:t>
            </w:r>
          </w:p>
        </w:tc>
        <w:tc>
          <w:tcPr>
            <w:tcW w:w="1080" w:type="dxa"/>
            <w:tcBorders>
              <w:top w:val="single" w:sz="4" w:space="0" w:color="auto"/>
              <w:bottom w:val="single" w:sz="12" w:space="0" w:color="auto"/>
            </w:tcBorders>
            <w:vAlign w:val="center"/>
          </w:tcPr>
          <w:p w14:paraId="665EB11F" w14:textId="77777777" w:rsidR="00CD55F1" w:rsidRPr="00F60A9B" w:rsidRDefault="00CD55F1" w:rsidP="00024DD9">
            <w:pPr>
              <w:jc w:val="center"/>
            </w:pPr>
            <w:r w:rsidRPr="00F60A9B">
              <w:t>Minor</w:t>
            </w:r>
          </w:p>
        </w:tc>
        <w:tc>
          <w:tcPr>
            <w:tcW w:w="1080" w:type="dxa"/>
            <w:tcBorders>
              <w:top w:val="single" w:sz="4" w:space="0" w:color="auto"/>
              <w:bottom w:val="single" w:sz="12" w:space="0" w:color="auto"/>
            </w:tcBorders>
            <w:vAlign w:val="center"/>
          </w:tcPr>
          <w:p w14:paraId="59BDE1FB" w14:textId="77777777" w:rsidR="00CD55F1" w:rsidRPr="00F60A9B" w:rsidRDefault="00CD55F1" w:rsidP="00024DD9">
            <w:pPr>
              <w:jc w:val="center"/>
            </w:pPr>
            <w:r w:rsidRPr="00F60A9B">
              <w:t>Serious / Major</w:t>
            </w:r>
          </w:p>
        </w:tc>
        <w:tc>
          <w:tcPr>
            <w:tcW w:w="1080" w:type="dxa"/>
            <w:tcBorders>
              <w:top w:val="single" w:sz="4" w:space="0" w:color="auto"/>
              <w:bottom w:val="single" w:sz="12" w:space="0" w:color="auto"/>
            </w:tcBorders>
            <w:vAlign w:val="center"/>
          </w:tcPr>
          <w:p w14:paraId="64932D5A" w14:textId="77777777" w:rsidR="00CD55F1" w:rsidRPr="00F60A9B" w:rsidRDefault="00CD55F1" w:rsidP="00B80650">
            <w:pPr>
              <w:keepNext/>
              <w:keepLines/>
              <w:jc w:val="center"/>
            </w:pPr>
            <w:r w:rsidRPr="00F60A9B">
              <w:t>Critical</w:t>
            </w:r>
          </w:p>
        </w:tc>
        <w:tc>
          <w:tcPr>
            <w:tcW w:w="1350" w:type="dxa"/>
            <w:tcBorders>
              <w:top w:val="single" w:sz="4" w:space="0" w:color="auto"/>
              <w:bottom w:val="single" w:sz="12" w:space="0" w:color="auto"/>
            </w:tcBorders>
            <w:vAlign w:val="center"/>
          </w:tcPr>
          <w:p w14:paraId="7D3FC75C" w14:textId="77777777" w:rsidR="00CD55F1" w:rsidRPr="00F60A9B" w:rsidRDefault="00CD55F1" w:rsidP="00024DD9">
            <w:pPr>
              <w:jc w:val="center"/>
            </w:pPr>
            <w:r w:rsidRPr="00F60A9B">
              <w:t>Catastrophic / Fatal</w:t>
            </w:r>
          </w:p>
        </w:tc>
      </w:tr>
      <w:tr w:rsidR="00CD55F1" w:rsidRPr="00F60A9B" w14:paraId="573A500B" w14:textId="77777777" w:rsidTr="00024DD9">
        <w:trPr>
          <w:jc w:val="center"/>
        </w:trPr>
        <w:tc>
          <w:tcPr>
            <w:tcW w:w="1333" w:type="dxa"/>
            <w:vMerge w:val="restart"/>
            <w:tcBorders>
              <w:top w:val="nil"/>
              <w:left w:val="nil"/>
              <w:bottom w:val="nil"/>
            </w:tcBorders>
            <w:vAlign w:val="center"/>
          </w:tcPr>
          <w:p w14:paraId="511C0DAC" w14:textId="77777777" w:rsidR="00CD55F1" w:rsidRPr="00F60A9B" w:rsidRDefault="00CD55F1" w:rsidP="00024DD9">
            <w:pPr>
              <w:jc w:val="center"/>
            </w:pPr>
            <w:r w:rsidRPr="00F60A9B">
              <w:t>Semi-quantitative</w:t>
            </w:r>
          </w:p>
          <w:p w14:paraId="3C4551C2" w14:textId="77777777" w:rsidR="00CD55F1" w:rsidRPr="00F60A9B" w:rsidRDefault="00CD55F1" w:rsidP="00024DD9">
            <w:pPr>
              <w:jc w:val="center"/>
              <w:rPr>
                <w:b/>
                <w:bCs/>
              </w:rPr>
            </w:pPr>
            <w:r w:rsidRPr="00F60A9B">
              <w:rPr>
                <w:b/>
                <w:bCs/>
              </w:rPr>
              <w:t>probability</w:t>
            </w:r>
          </w:p>
          <w:p w14:paraId="4A5E43E3" w14:textId="77777777" w:rsidR="00CD55F1" w:rsidRPr="00F60A9B" w:rsidRDefault="00CD55F1" w:rsidP="00024DD9">
            <w:pPr>
              <w:jc w:val="center"/>
            </w:pPr>
            <w:r w:rsidRPr="00F60A9B">
              <w:t>levels</w:t>
            </w:r>
          </w:p>
        </w:tc>
        <w:tc>
          <w:tcPr>
            <w:tcW w:w="1330" w:type="dxa"/>
            <w:tcBorders>
              <w:top w:val="single" w:sz="4" w:space="0" w:color="auto"/>
              <w:right w:val="single" w:sz="12" w:space="0" w:color="auto"/>
            </w:tcBorders>
          </w:tcPr>
          <w:p w14:paraId="1D5F2F16" w14:textId="77777777" w:rsidR="00CD55F1" w:rsidRPr="00F60A9B" w:rsidRDefault="00CD55F1" w:rsidP="00024DD9">
            <w:r>
              <w:t>Expected</w:t>
            </w:r>
          </w:p>
        </w:tc>
        <w:tc>
          <w:tcPr>
            <w:tcW w:w="1117" w:type="dxa"/>
            <w:tcBorders>
              <w:top w:val="single" w:sz="12" w:space="0" w:color="auto"/>
              <w:left w:val="single" w:sz="12" w:space="0" w:color="auto"/>
            </w:tcBorders>
            <w:shd w:val="clear" w:color="auto" w:fill="B5A4FE"/>
          </w:tcPr>
          <w:p w14:paraId="679E2DBD" w14:textId="77777777" w:rsidR="00CD55F1" w:rsidRPr="00F60A9B" w:rsidRDefault="00CD55F1" w:rsidP="00024DD9">
            <w:pPr>
              <w:jc w:val="center"/>
            </w:pPr>
            <w:r>
              <w:t>7</w:t>
            </w:r>
          </w:p>
        </w:tc>
        <w:tc>
          <w:tcPr>
            <w:tcW w:w="1080" w:type="dxa"/>
            <w:tcBorders>
              <w:top w:val="single" w:sz="12" w:space="0" w:color="auto"/>
            </w:tcBorders>
            <w:shd w:val="clear" w:color="auto" w:fill="E8A5FD"/>
          </w:tcPr>
          <w:p w14:paraId="3A4DA831" w14:textId="77777777" w:rsidR="00CD55F1" w:rsidRPr="00F60A9B" w:rsidRDefault="00CD55F1" w:rsidP="00024DD9">
            <w:pPr>
              <w:jc w:val="center"/>
            </w:pPr>
            <w:r>
              <w:t>8</w:t>
            </w:r>
          </w:p>
        </w:tc>
        <w:tc>
          <w:tcPr>
            <w:tcW w:w="1080" w:type="dxa"/>
            <w:tcBorders>
              <w:top w:val="single" w:sz="12" w:space="0" w:color="auto"/>
            </w:tcBorders>
            <w:shd w:val="clear" w:color="auto" w:fill="FDA5E4"/>
          </w:tcPr>
          <w:p w14:paraId="503A354B" w14:textId="77777777" w:rsidR="00CD55F1" w:rsidRPr="00F60A9B" w:rsidRDefault="00CD55F1" w:rsidP="00024DD9">
            <w:pPr>
              <w:jc w:val="center"/>
            </w:pPr>
            <w:r>
              <w:t>9</w:t>
            </w:r>
          </w:p>
        </w:tc>
        <w:tc>
          <w:tcPr>
            <w:tcW w:w="1080" w:type="dxa"/>
            <w:tcBorders>
              <w:top w:val="single" w:sz="12" w:space="0" w:color="auto"/>
            </w:tcBorders>
            <w:shd w:val="clear" w:color="auto" w:fill="FCBAC5"/>
          </w:tcPr>
          <w:p w14:paraId="641B61C0" w14:textId="77777777" w:rsidR="00CD55F1" w:rsidRPr="00F60A9B" w:rsidRDefault="00CD55F1" w:rsidP="00024DD9">
            <w:pPr>
              <w:jc w:val="center"/>
            </w:pPr>
            <w:r>
              <w:t>10</w:t>
            </w:r>
          </w:p>
        </w:tc>
        <w:tc>
          <w:tcPr>
            <w:tcW w:w="1350" w:type="dxa"/>
            <w:tcBorders>
              <w:top w:val="single" w:sz="12" w:space="0" w:color="auto"/>
            </w:tcBorders>
            <w:shd w:val="clear" w:color="auto" w:fill="FF979E"/>
          </w:tcPr>
          <w:p w14:paraId="0981E4FC" w14:textId="77777777" w:rsidR="00CD55F1" w:rsidRPr="00F60A9B" w:rsidRDefault="00CD55F1" w:rsidP="00024DD9">
            <w:pPr>
              <w:jc w:val="center"/>
            </w:pPr>
            <w:r>
              <w:t>11</w:t>
            </w:r>
          </w:p>
        </w:tc>
      </w:tr>
      <w:tr w:rsidR="00CD55F1" w:rsidRPr="00F60A9B" w14:paraId="16AD918C" w14:textId="77777777" w:rsidTr="00024DD9">
        <w:trPr>
          <w:jc w:val="center"/>
        </w:trPr>
        <w:tc>
          <w:tcPr>
            <w:tcW w:w="1333" w:type="dxa"/>
            <w:vMerge/>
            <w:tcBorders>
              <w:left w:val="nil"/>
              <w:bottom w:val="nil"/>
            </w:tcBorders>
          </w:tcPr>
          <w:p w14:paraId="731D8E2F" w14:textId="77777777" w:rsidR="00CD55F1" w:rsidRPr="00F60A9B" w:rsidRDefault="00CD55F1" w:rsidP="00024DD9"/>
        </w:tc>
        <w:tc>
          <w:tcPr>
            <w:tcW w:w="1330" w:type="dxa"/>
            <w:tcBorders>
              <w:right w:val="single" w:sz="12" w:space="0" w:color="auto"/>
            </w:tcBorders>
          </w:tcPr>
          <w:p w14:paraId="4FE49942" w14:textId="77777777" w:rsidR="00CD55F1" w:rsidRPr="00F60A9B" w:rsidRDefault="00CD55F1" w:rsidP="00024DD9">
            <w:r>
              <w:t>Often</w:t>
            </w:r>
          </w:p>
        </w:tc>
        <w:tc>
          <w:tcPr>
            <w:tcW w:w="1117" w:type="dxa"/>
            <w:tcBorders>
              <w:left w:val="single" w:sz="12" w:space="0" w:color="auto"/>
            </w:tcBorders>
            <w:shd w:val="clear" w:color="auto" w:fill="A5C2FD"/>
          </w:tcPr>
          <w:p w14:paraId="0FD8604E" w14:textId="77777777" w:rsidR="00CD55F1" w:rsidRPr="00F60A9B" w:rsidRDefault="00CD55F1" w:rsidP="00024DD9">
            <w:pPr>
              <w:jc w:val="center"/>
            </w:pPr>
            <w:r>
              <w:t>6</w:t>
            </w:r>
          </w:p>
        </w:tc>
        <w:tc>
          <w:tcPr>
            <w:tcW w:w="1080" w:type="dxa"/>
            <w:shd w:val="clear" w:color="auto" w:fill="B5A4FE"/>
          </w:tcPr>
          <w:p w14:paraId="7AF35651" w14:textId="77777777" w:rsidR="00CD55F1" w:rsidRPr="00F60A9B" w:rsidRDefault="00CD55F1" w:rsidP="00024DD9">
            <w:pPr>
              <w:jc w:val="center"/>
            </w:pPr>
            <w:r>
              <w:t>7</w:t>
            </w:r>
          </w:p>
        </w:tc>
        <w:tc>
          <w:tcPr>
            <w:tcW w:w="1080" w:type="dxa"/>
            <w:shd w:val="clear" w:color="auto" w:fill="E8A5FD"/>
          </w:tcPr>
          <w:p w14:paraId="6443544A" w14:textId="77777777" w:rsidR="00CD55F1" w:rsidRPr="00F60A9B" w:rsidRDefault="00CD55F1" w:rsidP="00024DD9">
            <w:pPr>
              <w:jc w:val="center"/>
            </w:pPr>
            <w:r>
              <w:t>8</w:t>
            </w:r>
          </w:p>
        </w:tc>
        <w:tc>
          <w:tcPr>
            <w:tcW w:w="1080" w:type="dxa"/>
            <w:shd w:val="clear" w:color="auto" w:fill="FDA5E4"/>
          </w:tcPr>
          <w:p w14:paraId="06058642" w14:textId="77777777" w:rsidR="00CD55F1" w:rsidRPr="00F60A9B" w:rsidRDefault="00CD55F1" w:rsidP="00024DD9">
            <w:pPr>
              <w:jc w:val="center"/>
            </w:pPr>
            <w:r>
              <w:t>9</w:t>
            </w:r>
          </w:p>
        </w:tc>
        <w:tc>
          <w:tcPr>
            <w:tcW w:w="1350" w:type="dxa"/>
            <w:shd w:val="clear" w:color="auto" w:fill="FCBAC5"/>
          </w:tcPr>
          <w:p w14:paraId="1CFC509E" w14:textId="77777777" w:rsidR="00CD55F1" w:rsidRPr="00F60A9B" w:rsidRDefault="00CD55F1" w:rsidP="00024DD9">
            <w:pPr>
              <w:jc w:val="center"/>
            </w:pPr>
            <w:r>
              <w:t>10</w:t>
            </w:r>
          </w:p>
        </w:tc>
      </w:tr>
      <w:tr w:rsidR="00CD55F1" w:rsidRPr="00F60A9B" w14:paraId="67BF715A" w14:textId="77777777" w:rsidTr="00024DD9">
        <w:trPr>
          <w:jc w:val="center"/>
        </w:trPr>
        <w:tc>
          <w:tcPr>
            <w:tcW w:w="1333" w:type="dxa"/>
            <w:vMerge/>
            <w:tcBorders>
              <w:left w:val="nil"/>
              <w:bottom w:val="nil"/>
            </w:tcBorders>
          </w:tcPr>
          <w:p w14:paraId="1BB55AAA" w14:textId="77777777" w:rsidR="00CD55F1" w:rsidRPr="00F60A9B" w:rsidRDefault="00CD55F1" w:rsidP="00024DD9"/>
        </w:tc>
        <w:tc>
          <w:tcPr>
            <w:tcW w:w="1330" w:type="dxa"/>
            <w:tcBorders>
              <w:right w:val="single" w:sz="12" w:space="0" w:color="auto"/>
            </w:tcBorders>
          </w:tcPr>
          <w:p w14:paraId="1763E515" w14:textId="77777777" w:rsidR="00CD55F1" w:rsidRPr="00F60A9B" w:rsidRDefault="00CD55F1" w:rsidP="00024DD9">
            <w:r>
              <w:t>Frequent</w:t>
            </w:r>
          </w:p>
        </w:tc>
        <w:tc>
          <w:tcPr>
            <w:tcW w:w="1117" w:type="dxa"/>
            <w:tcBorders>
              <w:left w:val="single" w:sz="12" w:space="0" w:color="auto"/>
            </w:tcBorders>
            <w:shd w:val="clear" w:color="auto" w:fill="A5ECFD"/>
          </w:tcPr>
          <w:p w14:paraId="6E580861" w14:textId="77777777" w:rsidR="00CD55F1" w:rsidRPr="00F60A9B" w:rsidRDefault="00CD55F1" w:rsidP="00024DD9">
            <w:pPr>
              <w:jc w:val="center"/>
            </w:pPr>
            <w:r>
              <w:t>5</w:t>
            </w:r>
          </w:p>
        </w:tc>
        <w:tc>
          <w:tcPr>
            <w:tcW w:w="1080" w:type="dxa"/>
            <w:shd w:val="clear" w:color="auto" w:fill="A5C2FD"/>
          </w:tcPr>
          <w:p w14:paraId="42466275" w14:textId="77777777" w:rsidR="00CD55F1" w:rsidRPr="00F60A9B" w:rsidRDefault="00CD55F1" w:rsidP="00024DD9">
            <w:pPr>
              <w:jc w:val="center"/>
            </w:pPr>
            <w:r>
              <w:t>6</w:t>
            </w:r>
          </w:p>
        </w:tc>
        <w:tc>
          <w:tcPr>
            <w:tcW w:w="1080" w:type="dxa"/>
            <w:shd w:val="clear" w:color="auto" w:fill="B5A4FE"/>
          </w:tcPr>
          <w:p w14:paraId="213BE7AA" w14:textId="77777777" w:rsidR="00CD55F1" w:rsidRPr="00F60A9B" w:rsidRDefault="00CD55F1" w:rsidP="00024DD9">
            <w:pPr>
              <w:jc w:val="center"/>
            </w:pPr>
            <w:r>
              <w:t>7</w:t>
            </w:r>
          </w:p>
        </w:tc>
        <w:tc>
          <w:tcPr>
            <w:tcW w:w="1080" w:type="dxa"/>
            <w:shd w:val="clear" w:color="auto" w:fill="E8A5FD"/>
          </w:tcPr>
          <w:p w14:paraId="12333156" w14:textId="77777777" w:rsidR="00CD55F1" w:rsidRPr="00F60A9B" w:rsidRDefault="00CD55F1" w:rsidP="00024DD9">
            <w:pPr>
              <w:jc w:val="center"/>
            </w:pPr>
            <w:r>
              <w:t>8</w:t>
            </w:r>
          </w:p>
        </w:tc>
        <w:tc>
          <w:tcPr>
            <w:tcW w:w="1350" w:type="dxa"/>
            <w:shd w:val="clear" w:color="auto" w:fill="FDA5E4"/>
          </w:tcPr>
          <w:p w14:paraId="50F87C25" w14:textId="77777777" w:rsidR="00CD55F1" w:rsidRPr="00F60A9B" w:rsidRDefault="00CD55F1" w:rsidP="00024DD9">
            <w:pPr>
              <w:jc w:val="center"/>
            </w:pPr>
            <w:r>
              <w:t>9</w:t>
            </w:r>
          </w:p>
        </w:tc>
      </w:tr>
      <w:tr w:rsidR="00CD55F1" w:rsidRPr="00F60A9B" w14:paraId="6E0B8005" w14:textId="77777777" w:rsidTr="00024DD9">
        <w:trPr>
          <w:jc w:val="center"/>
        </w:trPr>
        <w:tc>
          <w:tcPr>
            <w:tcW w:w="1333" w:type="dxa"/>
            <w:vMerge/>
            <w:tcBorders>
              <w:left w:val="nil"/>
              <w:bottom w:val="nil"/>
            </w:tcBorders>
          </w:tcPr>
          <w:p w14:paraId="366C88B3" w14:textId="77777777" w:rsidR="00CD55F1" w:rsidRPr="00F60A9B" w:rsidRDefault="00CD55F1" w:rsidP="00024DD9"/>
        </w:tc>
        <w:tc>
          <w:tcPr>
            <w:tcW w:w="1330" w:type="dxa"/>
            <w:tcBorders>
              <w:right w:val="single" w:sz="12" w:space="0" w:color="auto"/>
            </w:tcBorders>
          </w:tcPr>
          <w:p w14:paraId="7CC5104B" w14:textId="77777777" w:rsidR="00CD55F1" w:rsidRPr="00F60A9B" w:rsidRDefault="00CD55F1" w:rsidP="00024DD9">
            <w:r w:rsidRPr="00F60A9B">
              <w:t>Probable</w:t>
            </w:r>
          </w:p>
        </w:tc>
        <w:tc>
          <w:tcPr>
            <w:tcW w:w="1117" w:type="dxa"/>
            <w:tcBorders>
              <w:left w:val="single" w:sz="12" w:space="0" w:color="auto"/>
            </w:tcBorders>
            <w:shd w:val="clear" w:color="auto" w:fill="A6FCC7"/>
          </w:tcPr>
          <w:p w14:paraId="2F0F0236" w14:textId="77777777" w:rsidR="00CD55F1" w:rsidRPr="00F60A9B" w:rsidRDefault="00CD55F1" w:rsidP="00024DD9">
            <w:pPr>
              <w:jc w:val="center"/>
            </w:pPr>
            <w:r w:rsidRPr="00F60A9B">
              <w:t>4</w:t>
            </w:r>
          </w:p>
        </w:tc>
        <w:tc>
          <w:tcPr>
            <w:tcW w:w="1080" w:type="dxa"/>
            <w:shd w:val="clear" w:color="auto" w:fill="A5ECFD"/>
          </w:tcPr>
          <w:p w14:paraId="6DD499EC" w14:textId="77777777" w:rsidR="00CD55F1" w:rsidRPr="00F60A9B" w:rsidRDefault="00CD55F1" w:rsidP="00024DD9">
            <w:pPr>
              <w:jc w:val="center"/>
            </w:pPr>
            <w:r w:rsidRPr="00F60A9B">
              <w:t>5</w:t>
            </w:r>
          </w:p>
        </w:tc>
        <w:tc>
          <w:tcPr>
            <w:tcW w:w="1080" w:type="dxa"/>
            <w:shd w:val="clear" w:color="auto" w:fill="A5C2FD"/>
          </w:tcPr>
          <w:p w14:paraId="1021D771" w14:textId="77777777" w:rsidR="00CD55F1" w:rsidRPr="00F60A9B" w:rsidRDefault="00CD55F1" w:rsidP="00024DD9">
            <w:pPr>
              <w:jc w:val="center"/>
            </w:pPr>
            <w:r w:rsidRPr="00F60A9B">
              <w:t>6</w:t>
            </w:r>
          </w:p>
        </w:tc>
        <w:tc>
          <w:tcPr>
            <w:tcW w:w="1080" w:type="dxa"/>
            <w:shd w:val="clear" w:color="auto" w:fill="B5A4FE"/>
          </w:tcPr>
          <w:p w14:paraId="7D52C252" w14:textId="77777777" w:rsidR="00CD55F1" w:rsidRPr="00F60A9B" w:rsidRDefault="00CD55F1" w:rsidP="00024DD9">
            <w:pPr>
              <w:jc w:val="center"/>
            </w:pPr>
            <w:r w:rsidRPr="00F60A9B">
              <w:t>7</w:t>
            </w:r>
          </w:p>
        </w:tc>
        <w:tc>
          <w:tcPr>
            <w:tcW w:w="1350" w:type="dxa"/>
            <w:shd w:val="clear" w:color="auto" w:fill="E8A5FD"/>
          </w:tcPr>
          <w:p w14:paraId="6AF5AD70" w14:textId="77777777" w:rsidR="00CD55F1" w:rsidRPr="00F60A9B" w:rsidRDefault="00CD55F1" w:rsidP="00024DD9">
            <w:pPr>
              <w:jc w:val="center"/>
            </w:pPr>
            <w:r w:rsidRPr="00F60A9B">
              <w:t>8</w:t>
            </w:r>
          </w:p>
        </w:tc>
      </w:tr>
      <w:tr w:rsidR="00CD55F1" w:rsidRPr="00F60A9B" w14:paraId="1A598526" w14:textId="77777777" w:rsidTr="00024DD9">
        <w:trPr>
          <w:jc w:val="center"/>
        </w:trPr>
        <w:tc>
          <w:tcPr>
            <w:tcW w:w="1333" w:type="dxa"/>
            <w:vMerge/>
            <w:tcBorders>
              <w:left w:val="nil"/>
              <w:bottom w:val="nil"/>
            </w:tcBorders>
          </w:tcPr>
          <w:p w14:paraId="4A3B3408" w14:textId="77777777" w:rsidR="00CD55F1" w:rsidRPr="00F60A9B" w:rsidRDefault="00CD55F1" w:rsidP="00024DD9"/>
        </w:tc>
        <w:tc>
          <w:tcPr>
            <w:tcW w:w="1330" w:type="dxa"/>
            <w:tcBorders>
              <w:right w:val="single" w:sz="12" w:space="0" w:color="auto"/>
            </w:tcBorders>
          </w:tcPr>
          <w:p w14:paraId="5C47E641" w14:textId="77777777" w:rsidR="00CD55F1" w:rsidRPr="00F60A9B" w:rsidRDefault="00CD55F1" w:rsidP="00024DD9">
            <w:r w:rsidRPr="00F60A9B">
              <w:t>Occasional</w:t>
            </w:r>
          </w:p>
        </w:tc>
        <w:tc>
          <w:tcPr>
            <w:tcW w:w="1117" w:type="dxa"/>
            <w:tcBorders>
              <w:left w:val="single" w:sz="12" w:space="0" w:color="auto"/>
            </w:tcBorders>
            <w:shd w:val="clear" w:color="auto" w:fill="E1FBA7"/>
          </w:tcPr>
          <w:p w14:paraId="4D59332A" w14:textId="77777777" w:rsidR="00CD55F1" w:rsidRPr="00F60A9B" w:rsidRDefault="00CD55F1" w:rsidP="00024DD9">
            <w:pPr>
              <w:jc w:val="center"/>
            </w:pPr>
            <w:r w:rsidRPr="00F60A9B">
              <w:t>3</w:t>
            </w:r>
          </w:p>
        </w:tc>
        <w:tc>
          <w:tcPr>
            <w:tcW w:w="1080" w:type="dxa"/>
            <w:shd w:val="clear" w:color="auto" w:fill="A6FCC7"/>
          </w:tcPr>
          <w:p w14:paraId="720CAD25" w14:textId="77777777" w:rsidR="00CD55F1" w:rsidRPr="00F60A9B" w:rsidRDefault="00CD55F1" w:rsidP="00024DD9">
            <w:pPr>
              <w:jc w:val="center"/>
            </w:pPr>
            <w:r w:rsidRPr="00F60A9B">
              <w:t>4</w:t>
            </w:r>
          </w:p>
        </w:tc>
        <w:tc>
          <w:tcPr>
            <w:tcW w:w="1080" w:type="dxa"/>
            <w:shd w:val="clear" w:color="auto" w:fill="A5ECFD"/>
          </w:tcPr>
          <w:p w14:paraId="6B5B4AF1" w14:textId="77777777" w:rsidR="00CD55F1" w:rsidRPr="00F60A9B" w:rsidRDefault="00CD55F1" w:rsidP="00024DD9">
            <w:pPr>
              <w:jc w:val="center"/>
            </w:pPr>
            <w:r w:rsidRPr="00F60A9B">
              <w:t>5</w:t>
            </w:r>
          </w:p>
        </w:tc>
        <w:tc>
          <w:tcPr>
            <w:tcW w:w="1080" w:type="dxa"/>
            <w:shd w:val="clear" w:color="auto" w:fill="A5C2FD"/>
          </w:tcPr>
          <w:p w14:paraId="2856EBF9" w14:textId="77777777" w:rsidR="00CD55F1" w:rsidRPr="00F60A9B" w:rsidRDefault="00CD55F1" w:rsidP="00024DD9">
            <w:pPr>
              <w:jc w:val="center"/>
            </w:pPr>
            <w:r w:rsidRPr="00F60A9B">
              <w:t>6</w:t>
            </w:r>
          </w:p>
        </w:tc>
        <w:tc>
          <w:tcPr>
            <w:tcW w:w="1350" w:type="dxa"/>
            <w:shd w:val="clear" w:color="auto" w:fill="B5A4FE"/>
          </w:tcPr>
          <w:p w14:paraId="29A78301" w14:textId="77777777" w:rsidR="00CD55F1" w:rsidRPr="00F60A9B" w:rsidRDefault="00CD55F1" w:rsidP="00024DD9">
            <w:pPr>
              <w:jc w:val="center"/>
            </w:pPr>
            <w:r w:rsidRPr="00F60A9B">
              <w:t>7</w:t>
            </w:r>
          </w:p>
        </w:tc>
      </w:tr>
      <w:tr w:rsidR="00CD55F1" w:rsidRPr="00F60A9B" w14:paraId="059666DB" w14:textId="77777777" w:rsidTr="00024DD9">
        <w:trPr>
          <w:jc w:val="center"/>
        </w:trPr>
        <w:tc>
          <w:tcPr>
            <w:tcW w:w="1333" w:type="dxa"/>
            <w:vMerge/>
            <w:tcBorders>
              <w:left w:val="nil"/>
              <w:bottom w:val="nil"/>
            </w:tcBorders>
          </w:tcPr>
          <w:p w14:paraId="7755B6BA" w14:textId="77777777" w:rsidR="00CD55F1" w:rsidRPr="00F60A9B" w:rsidRDefault="00CD55F1" w:rsidP="00024DD9"/>
        </w:tc>
        <w:tc>
          <w:tcPr>
            <w:tcW w:w="1330" w:type="dxa"/>
            <w:tcBorders>
              <w:right w:val="single" w:sz="12" w:space="0" w:color="auto"/>
            </w:tcBorders>
          </w:tcPr>
          <w:p w14:paraId="2E4FF90E" w14:textId="77777777" w:rsidR="00CD55F1" w:rsidRPr="00F60A9B" w:rsidRDefault="00CD55F1" w:rsidP="00024DD9">
            <w:r w:rsidRPr="00F60A9B">
              <w:t>Remote</w:t>
            </w:r>
          </w:p>
        </w:tc>
        <w:tc>
          <w:tcPr>
            <w:tcW w:w="1117" w:type="dxa"/>
            <w:tcBorders>
              <w:left w:val="single" w:sz="12" w:space="0" w:color="auto"/>
            </w:tcBorders>
            <w:shd w:val="clear" w:color="auto" w:fill="FCE5A6"/>
          </w:tcPr>
          <w:p w14:paraId="4D124EC0" w14:textId="77777777" w:rsidR="00CD55F1" w:rsidRPr="00F60A9B" w:rsidRDefault="00CD55F1" w:rsidP="00024DD9">
            <w:pPr>
              <w:jc w:val="center"/>
            </w:pPr>
            <w:r w:rsidRPr="00F60A9B">
              <w:t>2</w:t>
            </w:r>
          </w:p>
        </w:tc>
        <w:tc>
          <w:tcPr>
            <w:tcW w:w="1080" w:type="dxa"/>
            <w:shd w:val="clear" w:color="auto" w:fill="E1FBA7"/>
          </w:tcPr>
          <w:p w14:paraId="5263EC39" w14:textId="77777777" w:rsidR="00CD55F1" w:rsidRPr="00F60A9B" w:rsidRDefault="00CD55F1" w:rsidP="00024DD9">
            <w:pPr>
              <w:jc w:val="center"/>
            </w:pPr>
            <w:r w:rsidRPr="00F60A9B">
              <w:t>3</w:t>
            </w:r>
          </w:p>
        </w:tc>
        <w:tc>
          <w:tcPr>
            <w:tcW w:w="1080" w:type="dxa"/>
            <w:shd w:val="clear" w:color="auto" w:fill="A6FCC7"/>
          </w:tcPr>
          <w:p w14:paraId="5E6A23B1" w14:textId="77777777" w:rsidR="00CD55F1" w:rsidRPr="00F60A9B" w:rsidRDefault="00CD55F1" w:rsidP="00024DD9">
            <w:pPr>
              <w:jc w:val="center"/>
            </w:pPr>
            <w:r w:rsidRPr="00F60A9B">
              <w:t>4</w:t>
            </w:r>
          </w:p>
        </w:tc>
        <w:tc>
          <w:tcPr>
            <w:tcW w:w="1080" w:type="dxa"/>
            <w:shd w:val="clear" w:color="auto" w:fill="A5ECFD"/>
          </w:tcPr>
          <w:p w14:paraId="28E8271A" w14:textId="77777777" w:rsidR="00CD55F1" w:rsidRPr="00F60A9B" w:rsidRDefault="00CD55F1" w:rsidP="00024DD9">
            <w:pPr>
              <w:jc w:val="center"/>
            </w:pPr>
            <w:r w:rsidRPr="00F60A9B">
              <w:t>5</w:t>
            </w:r>
          </w:p>
        </w:tc>
        <w:tc>
          <w:tcPr>
            <w:tcW w:w="1350" w:type="dxa"/>
            <w:shd w:val="clear" w:color="auto" w:fill="A5C2FD"/>
          </w:tcPr>
          <w:p w14:paraId="6D30D633" w14:textId="77777777" w:rsidR="00CD55F1" w:rsidRPr="00F60A9B" w:rsidRDefault="00CD55F1" w:rsidP="00024DD9">
            <w:pPr>
              <w:jc w:val="center"/>
            </w:pPr>
            <w:r w:rsidRPr="00F60A9B">
              <w:t>6</w:t>
            </w:r>
          </w:p>
        </w:tc>
      </w:tr>
      <w:tr w:rsidR="00CD55F1" w:rsidRPr="00F60A9B" w14:paraId="2FD0E292" w14:textId="77777777" w:rsidTr="00024DD9">
        <w:trPr>
          <w:jc w:val="center"/>
        </w:trPr>
        <w:tc>
          <w:tcPr>
            <w:tcW w:w="1333" w:type="dxa"/>
            <w:vMerge/>
            <w:tcBorders>
              <w:left w:val="nil"/>
              <w:bottom w:val="nil"/>
            </w:tcBorders>
          </w:tcPr>
          <w:p w14:paraId="75F48AA4" w14:textId="77777777" w:rsidR="00CD55F1" w:rsidRPr="00F60A9B" w:rsidRDefault="00CD55F1" w:rsidP="00024DD9">
            <w:pPr>
              <w:rPr>
                <w:rFonts w:eastAsiaTheme="minorEastAsia"/>
              </w:rPr>
            </w:pPr>
          </w:p>
        </w:tc>
        <w:tc>
          <w:tcPr>
            <w:tcW w:w="1330" w:type="dxa"/>
            <w:tcBorders>
              <w:right w:val="single" w:sz="12" w:space="0" w:color="auto"/>
            </w:tcBorders>
          </w:tcPr>
          <w:p w14:paraId="4177A06D" w14:textId="77777777" w:rsidR="00CD55F1" w:rsidRPr="00F60A9B" w:rsidRDefault="00CD55F1" w:rsidP="00024DD9">
            <w:pPr>
              <w:rPr>
                <w:rFonts w:eastAsiaTheme="minorEastAsia"/>
              </w:rPr>
            </w:pPr>
            <w:r w:rsidRPr="00F60A9B">
              <w:rPr>
                <w:rFonts w:eastAsiaTheme="minorEastAsia"/>
              </w:rPr>
              <w:t>Improbable</w:t>
            </w:r>
          </w:p>
        </w:tc>
        <w:tc>
          <w:tcPr>
            <w:tcW w:w="1117" w:type="dxa"/>
            <w:tcBorders>
              <w:left w:val="single" w:sz="12" w:space="0" w:color="auto"/>
            </w:tcBorders>
            <w:shd w:val="clear" w:color="auto" w:fill="F6AC6E"/>
          </w:tcPr>
          <w:p w14:paraId="25525056" w14:textId="77777777" w:rsidR="00CD55F1" w:rsidRPr="00F60A9B" w:rsidRDefault="00CD55F1" w:rsidP="00024DD9">
            <w:pPr>
              <w:jc w:val="center"/>
              <w:rPr>
                <w:rFonts w:eastAsiaTheme="minorEastAsia"/>
              </w:rPr>
            </w:pPr>
            <w:r w:rsidRPr="00F60A9B">
              <w:rPr>
                <w:rFonts w:eastAsiaTheme="minorEastAsia"/>
              </w:rPr>
              <w:t>1</w:t>
            </w:r>
          </w:p>
        </w:tc>
        <w:tc>
          <w:tcPr>
            <w:tcW w:w="1080" w:type="dxa"/>
            <w:shd w:val="clear" w:color="auto" w:fill="FCE5A6"/>
          </w:tcPr>
          <w:p w14:paraId="61E0CBCE" w14:textId="77777777" w:rsidR="00CD55F1" w:rsidRPr="00F60A9B" w:rsidRDefault="00CD55F1" w:rsidP="00024DD9">
            <w:pPr>
              <w:jc w:val="center"/>
              <w:rPr>
                <w:rFonts w:eastAsiaTheme="minorEastAsia"/>
              </w:rPr>
            </w:pPr>
            <w:r w:rsidRPr="00F60A9B">
              <w:rPr>
                <w:rFonts w:eastAsiaTheme="minorEastAsia"/>
              </w:rPr>
              <w:t>2</w:t>
            </w:r>
          </w:p>
        </w:tc>
        <w:tc>
          <w:tcPr>
            <w:tcW w:w="1080" w:type="dxa"/>
            <w:shd w:val="clear" w:color="auto" w:fill="E1FBA7"/>
          </w:tcPr>
          <w:p w14:paraId="07F79281" w14:textId="77777777" w:rsidR="00CD55F1" w:rsidRPr="00F60A9B" w:rsidRDefault="00CD55F1" w:rsidP="00024DD9">
            <w:pPr>
              <w:jc w:val="center"/>
              <w:rPr>
                <w:rFonts w:eastAsiaTheme="minorEastAsia"/>
              </w:rPr>
            </w:pPr>
            <w:r w:rsidRPr="00F60A9B">
              <w:rPr>
                <w:rFonts w:eastAsiaTheme="minorEastAsia"/>
              </w:rPr>
              <w:t>3</w:t>
            </w:r>
          </w:p>
        </w:tc>
        <w:tc>
          <w:tcPr>
            <w:tcW w:w="1080" w:type="dxa"/>
            <w:shd w:val="clear" w:color="auto" w:fill="A6FCC7"/>
          </w:tcPr>
          <w:p w14:paraId="3FBC0B39" w14:textId="77777777" w:rsidR="00CD55F1" w:rsidRPr="00F60A9B" w:rsidRDefault="00CD55F1" w:rsidP="00024DD9">
            <w:pPr>
              <w:jc w:val="center"/>
              <w:rPr>
                <w:rFonts w:eastAsiaTheme="minorEastAsia"/>
              </w:rPr>
            </w:pPr>
            <w:r w:rsidRPr="00F60A9B">
              <w:rPr>
                <w:rFonts w:eastAsiaTheme="minorEastAsia"/>
              </w:rPr>
              <w:t>4</w:t>
            </w:r>
          </w:p>
        </w:tc>
        <w:tc>
          <w:tcPr>
            <w:tcW w:w="1350" w:type="dxa"/>
            <w:shd w:val="clear" w:color="auto" w:fill="A5ECFD"/>
          </w:tcPr>
          <w:p w14:paraId="2C075191" w14:textId="77777777" w:rsidR="00CD55F1" w:rsidRPr="00F60A9B" w:rsidRDefault="00CD55F1" w:rsidP="00024DD9">
            <w:pPr>
              <w:keepNext/>
              <w:jc w:val="center"/>
              <w:rPr>
                <w:rFonts w:eastAsiaTheme="minorEastAsia"/>
              </w:rPr>
            </w:pPr>
            <w:r w:rsidRPr="00F60A9B">
              <w:rPr>
                <w:rFonts w:eastAsiaTheme="minorEastAsia"/>
              </w:rPr>
              <w:t>5</w:t>
            </w:r>
          </w:p>
        </w:tc>
      </w:tr>
    </w:tbl>
    <w:p w14:paraId="7B90CC09" w14:textId="77638D94" w:rsidR="00CD55F1" w:rsidRPr="00F60A9B" w:rsidRDefault="00CD55F1" w:rsidP="00CD55F1">
      <w:pPr>
        <w:pStyle w:val="Caption"/>
        <w:keepNext/>
        <w:spacing w:before="120"/>
        <w:jc w:val="center"/>
        <w:rPr>
          <w:color w:val="auto"/>
        </w:rPr>
      </w:pPr>
      <w:bookmarkStart w:id="69" w:name="_Ref147771147"/>
      <w:r w:rsidRPr="00F60A9B">
        <w:rPr>
          <w:color w:val="auto"/>
        </w:rPr>
        <w:t xml:space="preserve">Table </w:t>
      </w:r>
      <w:r w:rsidRPr="00F60A9B">
        <w:rPr>
          <w:color w:val="auto"/>
        </w:rPr>
        <w:fldChar w:fldCharType="begin"/>
      </w:r>
      <w:r w:rsidRPr="00F60A9B">
        <w:rPr>
          <w:color w:val="auto"/>
        </w:rPr>
        <w:instrText xml:space="preserve"> SEQ Table \* ARABIC </w:instrText>
      </w:r>
      <w:r w:rsidRPr="00F60A9B">
        <w:rPr>
          <w:color w:val="auto"/>
        </w:rPr>
        <w:fldChar w:fldCharType="separate"/>
      </w:r>
      <w:r w:rsidR="001E41EA">
        <w:rPr>
          <w:noProof/>
          <w:color w:val="auto"/>
        </w:rPr>
        <w:t>9</w:t>
      </w:r>
      <w:r w:rsidRPr="00F60A9B">
        <w:rPr>
          <w:noProof/>
          <w:color w:val="auto"/>
        </w:rPr>
        <w:fldChar w:fldCharType="end"/>
      </w:r>
      <w:bookmarkEnd w:id="69"/>
      <w:r w:rsidRPr="00F60A9B">
        <w:rPr>
          <w:color w:val="auto"/>
        </w:rPr>
        <w:t xml:space="preserve"> </w:t>
      </w:r>
      <w:r>
        <w:rPr>
          <w:color w:val="auto"/>
        </w:rPr>
        <w:t>–</w:t>
      </w:r>
      <w:r w:rsidRPr="00F60A9B">
        <w:rPr>
          <w:color w:val="auto"/>
        </w:rPr>
        <w:t xml:space="preserve"> </w:t>
      </w:r>
      <w:r>
        <w:rPr>
          <w:color w:val="auto"/>
        </w:rPr>
        <w:t xml:space="preserve">Bands of </w:t>
      </w:r>
      <w:r w:rsidRPr="00F60A9B">
        <w:rPr>
          <w:color w:val="auto"/>
        </w:rPr>
        <w:t>Similar Risk</w:t>
      </w:r>
    </w:p>
    <w:p w14:paraId="7CF05CAB" w14:textId="308C579D" w:rsidR="00CD55F1" w:rsidRPr="001F6DC8" w:rsidRDefault="00F06301" w:rsidP="00CD55F1">
      <w:pPr>
        <w:pStyle w:val="ListParagraph"/>
        <w:ind w:left="0"/>
        <w:contextualSpacing w:val="0"/>
        <w:rPr>
          <w:rFonts w:eastAsiaTheme="minorEastAsia"/>
        </w:rPr>
      </w:pPr>
      <w:r w:rsidRPr="005B0617">
        <w:rPr>
          <w:rFonts w:eastAsia="Times New Roman"/>
        </w:rPr>
        <w:t xml:space="preserve">For example, a ‘Remote - Serious/Major’ risk is in a cell of </w:t>
      </w:r>
      <w:r w:rsidRPr="005B0617">
        <w:rPr>
          <w:rFonts w:eastAsia="Times New Roman"/>
        </w:rPr>
        <w:fldChar w:fldCharType="begin"/>
      </w:r>
      <w:r w:rsidRPr="005B0617">
        <w:rPr>
          <w:rFonts w:eastAsia="Times New Roman"/>
        </w:rPr>
        <w:instrText xml:space="preserve"> REF _Ref147771147 \h </w:instrText>
      </w:r>
      <w:r>
        <w:instrText xml:space="preserve"> \* MERGEFORMAT </w:instrText>
      </w:r>
      <w:r w:rsidRPr="005B0617">
        <w:rPr>
          <w:rFonts w:eastAsia="Times New Roman"/>
        </w:rPr>
      </w:r>
      <w:r w:rsidRPr="005B0617">
        <w:rPr>
          <w:rFonts w:eastAsia="Times New Roman"/>
        </w:rPr>
        <w:fldChar w:fldCharType="separate"/>
      </w:r>
      <w:r w:rsidRPr="00F60A9B">
        <w:t xml:space="preserve">Table </w:t>
      </w:r>
      <w:r>
        <w:t>9</w:t>
      </w:r>
      <w:r w:rsidRPr="005B0617">
        <w:rPr>
          <w:rFonts w:eastAsia="Times New Roman"/>
        </w:rPr>
        <w:fldChar w:fldCharType="end"/>
      </w:r>
      <w:r w:rsidRPr="005B0617">
        <w:rPr>
          <w:rFonts w:eastAsia="Times New Roman"/>
        </w:rPr>
        <w:t xml:space="preserve"> with a number ‘4’.  This means we can move the ‘count’ for this risk to another cell within band number ‘</w:t>
      </w:r>
      <w:r w:rsidR="00F86B40">
        <w:rPr>
          <w:rFonts w:eastAsia="Times New Roman"/>
        </w:rPr>
        <w:t>4</w:t>
      </w:r>
      <w:r w:rsidRPr="005B0617">
        <w:rPr>
          <w:rFonts w:eastAsia="Times New Roman"/>
        </w:rPr>
        <w:t>’, like ‘Occasional – Minor’ or ‘Improbable – Critical’.</w:t>
      </w:r>
    </w:p>
    <w:p w14:paraId="24CBBF2F" w14:textId="04C5668E" w:rsidR="00796FFB" w:rsidRPr="001F6DC8" w:rsidRDefault="00A65557" w:rsidP="0071578E">
      <w:pPr>
        <w:ind w:left="1368" w:hanging="1368"/>
        <w:rPr>
          <w:rFonts w:eastAsiaTheme="minorEastAsia"/>
        </w:rPr>
      </w:pPr>
      <w:r w:rsidRPr="001F6DC8">
        <w:rPr>
          <w:rFonts w:eastAsiaTheme="minorEastAsia"/>
        </w:rPr>
        <w:t>NOTE</w:t>
      </w:r>
      <w:bookmarkStart w:id="70" w:name="_Ref151365084"/>
      <w:r w:rsidR="0085350B">
        <w:rPr>
          <w:rStyle w:val="FootnoteReference"/>
          <w:rFonts w:eastAsiaTheme="minorEastAsia"/>
        </w:rPr>
        <w:footnoteReference w:id="31"/>
      </w:r>
      <w:bookmarkEnd w:id="70"/>
      <w:r w:rsidRPr="001F6DC8">
        <w:rPr>
          <w:rFonts w:eastAsiaTheme="minorEastAsia"/>
        </w:rPr>
        <w:t xml:space="preserve">:  </w:t>
      </w:r>
      <w:r w:rsidR="0071578E">
        <w:rPr>
          <w:rFonts w:eastAsiaTheme="minorEastAsia"/>
        </w:rPr>
        <w:t xml:space="preserve">    </w:t>
      </w:r>
      <w:r w:rsidR="0071578E" w:rsidRPr="0071578E">
        <w:rPr>
          <w:rFonts w:eastAsiaTheme="minorEastAsia"/>
          <w:sz w:val="10"/>
          <w:szCs w:val="10"/>
        </w:rPr>
        <w:t xml:space="preserve"> </w:t>
      </w:r>
      <w:r w:rsidR="0071578E">
        <w:rPr>
          <w:rFonts w:eastAsiaTheme="minorEastAsia"/>
        </w:rPr>
        <w:t>a)</w:t>
      </w:r>
      <w:r w:rsidR="0071578E">
        <w:rPr>
          <w:rFonts w:eastAsiaTheme="minorEastAsia"/>
        </w:rPr>
        <w:tab/>
      </w:r>
      <w:r w:rsidR="00A332FE" w:rsidRPr="001F6DC8">
        <w:rPr>
          <w:rFonts w:eastAsiaTheme="minorEastAsia"/>
        </w:rPr>
        <w:t xml:space="preserve">The first, and most important </w:t>
      </w:r>
      <w:r w:rsidR="00403881">
        <w:rPr>
          <w:rFonts w:eastAsiaTheme="minorEastAsia"/>
        </w:rPr>
        <w:t>consideration</w:t>
      </w:r>
      <w:r w:rsidR="00A332FE" w:rsidRPr="001F6DC8">
        <w:rPr>
          <w:rFonts w:eastAsiaTheme="minorEastAsia"/>
        </w:rPr>
        <w:t xml:space="preserve"> to ensure </w:t>
      </w:r>
      <w:r w:rsidR="0036794A">
        <w:rPr>
          <w:rFonts w:eastAsiaTheme="minorEastAsia"/>
        </w:rPr>
        <w:fldChar w:fldCharType="begin"/>
      </w:r>
      <w:r w:rsidR="0036794A">
        <w:rPr>
          <w:rFonts w:eastAsiaTheme="minorEastAsia"/>
        </w:rPr>
        <w:instrText xml:space="preserve"> REF _Ref151223404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Moving Similar Risks</w:t>
      </w:r>
      <w:r w:rsidR="0036794A">
        <w:rPr>
          <w:rFonts w:eastAsiaTheme="minorEastAsia"/>
        </w:rPr>
        <w:fldChar w:fldCharType="end"/>
      </w:r>
      <w:r w:rsidR="00796FFB" w:rsidRPr="001F6DC8">
        <w:rPr>
          <w:rFonts w:eastAsiaTheme="minorEastAsia"/>
        </w:rPr>
        <w:t xml:space="preserve"> </w:t>
      </w:r>
      <w:r w:rsidR="00A332FE" w:rsidRPr="001F6DC8">
        <w:rPr>
          <w:rFonts w:eastAsiaTheme="minorEastAsia"/>
        </w:rPr>
        <w:t xml:space="preserve">never </w:t>
      </w:r>
      <w:r w:rsidR="00A332FE" w:rsidRPr="001F6DC8">
        <w:t>changes a false equation to a true one</w:t>
      </w:r>
      <w:r w:rsidR="00A332FE" w:rsidRPr="001F6DC8">
        <w:rPr>
          <w:rFonts w:eastAsiaTheme="minorEastAsia"/>
        </w:rPr>
        <w:t xml:space="preserve"> </w:t>
      </w:r>
      <w:r w:rsidR="00796FFB" w:rsidRPr="001F6DC8">
        <w:rPr>
          <w:rFonts w:eastAsiaTheme="minorEastAsia"/>
        </w:rPr>
        <w:t xml:space="preserve">is </w:t>
      </w:r>
      <w:r w:rsidR="00A332FE" w:rsidRPr="001F6DC8">
        <w:rPr>
          <w:rFonts w:eastAsiaTheme="minorEastAsia"/>
        </w:rPr>
        <w:t xml:space="preserve">to construct risk metrics so </w:t>
      </w:r>
      <w:r w:rsidR="00796FFB" w:rsidRPr="001F6DC8">
        <w:rPr>
          <w:rFonts w:eastAsiaTheme="minorEastAsia"/>
        </w:rPr>
        <w:t xml:space="preserve">changes </w:t>
      </w:r>
      <w:r w:rsidR="00A332FE" w:rsidRPr="001F6DC8">
        <w:rPr>
          <w:rFonts w:eastAsiaTheme="minorEastAsia"/>
        </w:rPr>
        <w:t xml:space="preserve">in </w:t>
      </w:r>
      <w:r w:rsidR="00796FFB" w:rsidRPr="001F6DC8">
        <w:rPr>
          <w:rFonts w:eastAsiaTheme="minorEastAsia"/>
        </w:rPr>
        <w:t>the level of probability and severity have roughly the same impact on patient risk.  While the probability and severity tables in ISO/TR 24971 satisfy this assumption</w:t>
      </w:r>
      <w:r w:rsidR="006D15FA" w:rsidRPr="001F6DC8">
        <w:rPr>
          <w:rFonts w:eastAsiaTheme="minorEastAsia"/>
        </w:rPr>
        <w:t xml:space="preserve"> for most medical treatments</w:t>
      </w:r>
      <w:r w:rsidR="00796FFB" w:rsidRPr="001F6DC8">
        <w:rPr>
          <w:rFonts w:eastAsiaTheme="minorEastAsia"/>
        </w:rPr>
        <w:t xml:space="preserve">, if you create your own severity and/or probability tables </w:t>
      </w:r>
      <w:r w:rsidR="00796FFB" w:rsidRPr="001F6DC8">
        <w:rPr>
          <w:rFonts w:eastAsiaTheme="minorEastAsia"/>
          <w:i/>
          <w:iCs/>
        </w:rPr>
        <w:t>and</w:t>
      </w:r>
      <w:r w:rsidR="00796FFB" w:rsidRPr="001F6DC8">
        <w:rPr>
          <w:rFonts w:eastAsiaTheme="minorEastAsia"/>
        </w:rPr>
        <w:t xml:space="preserve"> if you want to use the ‘risk algebra’ of </w:t>
      </w:r>
      <w:r w:rsidR="0036794A">
        <w:rPr>
          <w:rFonts w:eastAsiaTheme="minorEastAsia"/>
        </w:rPr>
        <w:fldChar w:fldCharType="begin"/>
      </w:r>
      <w:r w:rsidR="0036794A">
        <w:rPr>
          <w:rFonts w:eastAsiaTheme="minorEastAsia"/>
        </w:rPr>
        <w:instrText xml:space="preserve"> REF _Ref151223404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Moving Similar Risks</w:t>
      </w:r>
      <w:r w:rsidR="0036794A">
        <w:rPr>
          <w:rFonts w:eastAsiaTheme="minorEastAsia"/>
        </w:rPr>
        <w:fldChar w:fldCharType="end"/>
      </w:r>
      <w:r w:rsidR="00796FFB" w:rsidRPr="001F6DC8">
        <w:rPr>
          <w:rFonts w:eastAsiaTheme="minorEastAsia"/>
        </w:rPr>
        <w:t xml:space="preserve"> to simplify </w:t>
      </w:r>
      <w:r w:rsidR="00796FFB" w:rsidRPr="001F6DC8">
        <w:fldChar w:fldCharType="begin"/>
      </w:r>
      <w:r w:rsidR="00796FFB" w:rsidRPr="001F6DC8">
        <w:instrText xml:space="preserve"> REF _Ref147639186 \h  \* MERGEFORMAT </w:instrText>
      </w:r>
      <w:r w:rsidR="00796FFB" w:rsidRPr="001F6DC8">
        <w:fldChar w:fldCharType="separate"/>
      </w:r>
      <w:r w:rsidR="001E41EA">
        <w:t xml:space="preserve">Equation </w:t>
      </w:r>
      <w:r w:rsidR="001E41EA">
        <w:rPr>
          <w:noProof/>
        </w:rPr>
        <w:t>9</w:t>
      </w:r>
      <w:r w:rsidR="00796FFB" w:rsidRPr="001F6DC8">
        <w:fldChar w:fldCharType="end"/>
      </w:r>
      <w:r w:rsidR="00796FFB" w:rsidRPr="001F6DC8">
        <w:rPr>
          <w:rFonts w:eastAsiaTheme="minorEastAsia"/>
        </w:rPr>
        <w:t xml:space="preserve">, then it is critical that the tables be constructed so this fundamental assumption is met; namely, that changes </w:t>
      </w:r>
      <w:r w:rsidR="00A332FE" w:rsidRPr="001F6DC8">
        <w:rPr>
          <w:rFonts w:eastAsiaTheme="minorEastAsia"/>
        </w:rPr>
        <w:t xml:space="preserve">in </w:t>
      </w:r>
      <w:r w:rsidR="00796FFB" w:rsidRPr="001F6DC8">
        <w:rPr>
          <w:rFonts w:eastAsiaTheme="minorEastAsia"/>
        </w:rPr>
        <w:t xml:space="preserve">the level of probability and severity have roughly the same impact on patient risk. </w:t>
      </w:r>
    </w:p>
    <w:p w14:paraId="734DBCE1" w14:textId="7DF5ACA1" w:rsidR="00D63619" w:rsidRPr="001F6DC8" w:rsidRDefault="001F6DC8">
      <w:pPr>
        <w:pStyle w:val="ListParagraph"/>
        <w:numPr>
          <w:ilvl w:val="0"/>
          <w:numId w:val="41"/>
        </w:numPr>
        <w:spacing w:before="180" w:after="0"/>
        <w:ind w:left="1350"/>
        <w:contextualSpacing w:val="0"/>
        <w:rPr>
          <w:rFonts w:eastAsiaTheme="minorEastAsia"/>
        </w:rPr>
      </w:pPr>
      <w:r>
        <w:rPr>
          <w:rFonts w:eastAsiaTheme="minorEastAsia"/>
        </w:rPr>
        <w:t xml:space="preserve">The second </w:t>
      </w:r>
      <w:r w:rsidR="00403881">
        <w:rPr>
          <w:rFonts w:eastAsiaTheme="minorEastAsia"/>
        </w:rPr>
        <w:t xml:space="preserve">consideration </w:t>
      </w:r>
      <w:r>
        <w:rPr>
          <w:rFonts w:eastAsiaTheme="minorEastAsia"/>
        </w:rPr>
        <w:t xml:space="preserve">is based on </w:t>
      </w:r>
      <w:r w:rsidR="00D63619" w:rsidRPr="001F6DC8">
        <w:rPr>
          <w:rFonts w:eastAsiaTheme="minorEastAsia"/>
        </w:rPr>
        <w:t xml:space="preserve">two core </w:t>
      </w:r>
      <w:r w:rsidR="00367249" w:rsidRPr="001F6DC8">
        <w:rPr>
          <w:rFonts w:eastAsiaTheme="minorEastAsia"/>
        </w:rPr>
        <w:t>characteristics that matter when moving between severity categories</w:t>
      </w:r>
      <w:r w:rsidR="00D63619" w:rsidRPr="001F6DC8">
        <w:rPr>
          <w:rFonts w:eastAsiaTheme="minorEastAsia"/>
        </w:rPr>
        <w:t xml:space="preserve">: </w:t>
      </w:r>
    </w:p>
    <w:p w14:paraId="6459C535" w14:textId="5250C104" w:rsidR="00367249" w:rsidRPr="001F6DC8" w:rsidRDefault="00367249">
      <w:pPr>
        <w:pStyle w:val="ListParagraph"/>
        <w:numPr>
          <w:ilvl w:val="0"/>
          <w:numId w:val="37"/>
        </w:numPr>
        <w:spacing w:after="0"/>
        <w:ind w:left="1714"/>
        <w:contextualSpacing w:val="0"/>
        <w:rPr>
          <w:rFonts w:eastAsiaTheme="minorEastAsia"/>
        </w:rPr>
      </w:pPr>
      <w:r w:rsidRPr="001F6DC8">
        <w:rPr>
          <w:rFonts w:eastAsiaTheme="minorEastAsia"/>
        </w:rPr>
        <w:t xml:space="preserve">Changes in severity category cause non-linear changes in patient risk, and </w:t>
      </w:r>
    </w:p>
    <w:p w14:paraId="4C2ECA13" w14:textId="107E3C04" w:rsidR="00D63619" w:rsidRPr="001F6DC8" w:rsidRDefault="00367249">
      <w:pPr>
        <w:pStyle w:val="ListParagraph"/>
        <w:numPr>
          <w:ilvl w:val="0"/>
          <w:numId w:val="37"/>
        </w:numPr>
        <w:rPr>
          <w:rFonts w:eastAsiaTheme="minorEastAsia"/>
        </w:rPr>
      </w:pPr>
      <w:r w:rsidRPr="001F6DC8">
        <w:rPr>
          <w:rFonts w:eastAsiaTheme="minorEastAsia"/>
        </w:rPr>
        <w:t>Severity changes increase monotonically from ‘Negligible’ to ‘Catastrophic/Fatal’</w:t>
      </w:r>
      <w:r w:rsidR="00D63619" w:rsidRPr="001F6DC8">
        <w:rPr>
          <w:rFonts w:eastAsiaTheme="minorEastAsia"/>
        </w:rPr>
        <w:t xml:space="preserve">.  </w:t>
      </w:r>
    </w:p>
    <w:p w14:paraId="4BA9EE73" w14:textId="0529C4D1" w:rsidR="006803CC" w:rsidRPr="001F6DC8" w:rsidRDefault="00364012" w:rsidP="006D15FA">
      <w:pPr>
        <w:ind w:left="1350"/>
        <w:rPr>
          <w:rFonts w:eastAsiaTheme="minorEastAsia"/>
        </w:rPr>
      </w:pPr>
      <w:r w:rsidRPr="001F6DC8">
        <w:rPr>
          <w:rFonts w:eastAsiaTheme="minorEastAsia"/>
        </w:rPr>
        <w:t xml:space="preserve">Because of these two core characteristics, when using the ‘Move Similar Risks’ rule: </w:t>
      </w:r>
    </w:p>
    <w:p w14:paraId="1BE3F2BF" w14:textId="774917AE" w:rsidR="00364012" w:rsidRPr="001F6DC8" w:rsidRDefault="006D15FA">
      <w:pPr>
        <w:pStyle w:val="ListParagraph"/>
        <w:numPr>
          <w:ilvl w:val="0"/>
          <w:numId w:val="36"/>
        </w:numPr>
        <w:rPr>
          <w:rFonts w:eastAsiaTheme="minorEastAsia"/>
        </w:rPr>
      </w:pPr>
      <w:r w:rsidRPr="001F6DC8">
        <w:rPr>
          <w:rFonts w:eastAsiaTheme="minorEastAsia"/>
        </w:rPr>
        <w:t xml:space="preserve">Avoid under-stating the risk by moving (like the above example) ‘Minor’ risks to ‘Catastrophic/Fatal’ risks.  Instead, over-state the risk by moving </w:t>
      </w:r>
      <w:r w:rsidR="00364012" w:rsidRPr="001F6DC8">
        <w:rPr>
          <w:rFonts w:eastAsiaTheme="minorEastAsia"/>
        </w:rPr>
        <w:t xml:space="preserve">risks from higher severities to lower severities </w:t>
      </w:r>
      <w:r w:rsidR="00E40B0E" w:rsidRPr="001F6DC8">
        <w:rPr>
          <w:rFonts w:eastAsiaTheme="minorEastAsia"/>
        </w:rPr>
        <w:t xml:space="preserve">without changing </w:t>
      </w:r>
      <w:r w:rsidR="00364012" w:rsidRPr="001F6DC8">
        <w:rPr>
          <w:rFonts w:eastAsiaTheme="minorEastAsia"/>
        </w:rPr>
        <w:t>the number of risks</w:t>
      </w:r>
      <w:r w:rsidRPr="001F6DC8">
        <w:rPr>
          <w:rFonts w:eastAsiaTheme="minorEastAsia"/>
        </w:rPr>
        <w:t xml:space="preserve">.  </w:t>
      </w:r>
      <w:r w:rsidR="00364012" w:rsidRPr="001F6DC8">
        <w:rPr>
          <w:rFonts w:eastAsiaTheme="minorEastAsia"/>
        </w:rPr>
        <w:t xml:space="preserve">  </w:t>
      </w:r>
      <w:r w:rsidRPr="001F6DC8">
        <w:rPr>
          <w:rFonts w:eastAsiaTheme="minorEastAsia"/>
        </w:rPr>
        <w:t xml:space="preserve">For example, moving </w:t>
      </w:r>
      <m:oMath>
        <m:r>
          <w:rPr>
            <w:rFonts w:ascii="Cambria Math" w:eastAsiaTheme="minorEastAsia" w:hAnsi="Cambria Math"/>
          </w:rPr>
          <m:t>n</m:t>
        </m:r>
      </m:oMath>
      <w:r w:rsidRPr="001F6DC8">
        <w:rPr>
          <w:rFonts w:eastAsiaTheme="minorEastAsia"/>
        </w:rPr>
        <w:t xml:space="preserve"> ‘Catastrophic/Fatal’ risks to </w:t>
      </w:r>
      <m:oMath>
        <m:r>
          <w:rPr>
            <w:rFonts w:ascii="Cambria Math" w:eastAsiaTheme="minorEastAsia" w:hAnsi="Cambria Math"/>
          </w:rPr>
          <m:t>n</m:t>
        </m:r>
      </m:oMath>
      <w:r w:rsidRPr="001F6DC8">
        <w:rPr>
          <w:rFonts w:eastAsiaTheme="minorEastAsia"/>
        </w:rPr>
        <w:t xml:space="preserve"> ‘Critical’ risks </w:t>
      </w:r>
      <w:proofErr w:type="gramStart"/>
      <w:r w:rsidRPr="001F6DC8">
        <w:rPr>
          <w:rFonts w:eastAsiaTheme="minorEastAsia"/>
        </w:rPr>
        <w:t>is</w:t>
      </w:r>
      <w:proofErr w:type="gramEnd"/>
      <w:r w:rsidRPr="001F6DC8">
        <w:rPr>
          <w:rFonts w:eastAsiaTheme="minorEastAsia"/>
        </w:rPr>
        <w:t xml:space="preserve"> conservative. </w:t>
      </w:r>
    </w:p>
    <w:p w14:paraId="6A54957F" w14:textId="60EAA0C0" w:rsidR="00B3676D" w:rsidRPr="001F6DC8" w:rsidRDefault="00B3676D" w:rsidP="00B3676D">
      <w:pPr>
        <w:ind w:left="1350"/>
        <w:rPr>
          <w:rFonts w:eastAsiaTheme="minorEastAsia"/>
        </w:rPr>
      </w:pPr>
      <w:r w:rsidRPr="001F6DC8">
        <w:rPr>
          <w:rFonts w:eastAsiaTheme="minorEastAsia"/>
        </w:rPr>
        <w:lastRenderedPageBreak/>
        <w:t xml:space="preserve">Because the risk metrics </w:t>
      </w:r>
      <w:proofErr w:type="spellStart"/>
      <w:r w:rsidRPr="001F6DC8">
        <w:rPr>
          <w:rFonts w:eastAsiaTheme="minorEastAsia"/>
        </w:rPr>
        <w:t>can not</w:t>
      </w:r>
      <w:proofErr w:type="spellEnd"/>
      <w:r w:rsidRPr="001F6DC8">
        <w:rPr>
          <w:rFonts w:eastAsiaTheme="minorEastAsia"/>
        </w:rPr>
        <w:t xml:space="preserve"> be constructed so changes in the level of probability and severity have exactly the same impact on patient risk for all combinations of probability and severity, </w:t>
      </w:r>
    </w:p>
    <w:p w14:paraId="0934703A" w14:textId="198A5110" w:rsidR="006D15FA" w:rsidRPr="001F6DC8" w:rsidRDefault="006D15FA">
      <w:pPr>
        <w:pStyle w:val="ListParagraph"/>
        <w:numPr>
          <w:ilvl w:val="0"/>
          <w:numId w:val="36"/>
        </w:numPr>
        <w:rPr>
          <w:rFonts w:eastAsiaTheme="minorEastAsia"/>
        </w:rPr>
      </w:pPr>
      <w:r w:rsidRPr="001F6DC8">
        <w:rPr>
          <w:rFonts w:eastAsiaTheme="minorEastAsia"/>
        </w:rPr>
        <w:t xml:space="preserve">Move as few risks as necessary to simplify the equation, but no more, and </w:t>
      </w:r>
    </w:p>
    <w:p w14:paraId="4A606463" w14:textId="08899990" w:rsidR="006D15FA" w:rsidRPr="001F6DC8" w:rsidRDefault="006D15FA">
      <w:pPr>
        <w:pStyle w:val="ListParagraph"/>
        <w:numPr>
          <w:ilvl w:val="0"/>
          <w:numId w:val="36"/>
        </w:numPr>
        <w:ind w:left="1714"/>
        <w:contextualSpacing w:val="0"/>
        <w:rPr>
          <w:rFonts w:eastAsiaTheme="minorEastAsia"/>
        </w:rPr>
      </w:pPr>
      <w:r w:rsidRPr="001F6DC8">
        <w:rPr>
          <w:rFonts w:eastAsiaTheme="minorEastAsia"/>
        </w:rPr>
        <w:t xml:space="preserve">Move the risks down as few severities as necessary to simplify the equation. </w:t>
      </w:r>
    </w:p>
    <w:p w14:paraId="2F760DDA" w14:textId="77777777" w:rsidR="00A65557" w:rsidRPr="001F6DC8" w:rsidRDefault="00A65557" w:rsidP="00CD55F1">
      <w:pPr>
        <w:rPr>
          <w:rFonts w:eastAsiaTheme="minorEastAsia"/>
        </w:rPr>
      </w:pPr>
    </w:p>
    <w:p w14:paraId="2C1FFF70" w14:textId="004262B8" w:rsidR="00CD55F1" w:rsidRDefault="00CD55F1" w:rsidP="00CD55F1">
      <w:pPr>
        <w:rPr>
          <w:rFonts w:eastAsiaTheme="minorEastAsia"/>
        </w:rPr>
      </w:pPr>
      <w:r w:rsidRPr="001F6DC8">
        <w:rPr>
          <w:rFonts w:eastAsiaTheme="minorEastAsia"/>
        </w:rPr>
        <w:t xml:space="preserve">By applying the ‘risk algebra’ of </w:t>
      </w:r>
      <w:r w:rsidR="0036794A">
        <w:rPr>
          <w:rFonts w:eastAsiaTheme="minorEastAsia"/>
        </w:rPr>
        <w:fldChar w:fldCharType="begin"/>
      </w:r>
      <w:r w:rsidR="0036794A">
        <w:rPr>
          <w:rFonts w:eastAsiaTheme="minorEastAsia"/>
        </w:rPr>
        <w:instrText xml:space="preserve"> REF _Ref151223404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Moving Similar Risks</w:t>
      </w:r>
      <w:r w:rsidR="0036794A">
        <w:rPr>
          <w:rFonts w:eastAsiaTheme="minorEastAsia"/>
        </w:rPr>
        <w:fldChar w:fldCharType="end"/>
      </w:r>
      <w:r w:rsidRPr="001F6DC8">
        <w:rPr>
          <w:rFonts w:eastAsiaTheme="minorEastAsia"/>
        </w:rPr>
        <w:t xml:space="preserve"> to </w:t>
      </w:r>
      <w:r w:rsidRPr="001F6DC8">
        <w:rPr>
          <w:rFonts w:eastAsiaTheme="minorEastAsia"/>
        </w:rPr>
        <w:fldChar w:fldCharType="begin"/>
      </w:r>
      <w:r w:rsidRPr="001F6DC8">
        <w:rPr>
          <w:rFonts w:eastAsiaTheme="minorEastAsia"/>
        </w:rPr>
        <w:instrText xml:space="preserve"> REF _Ref147833976 \h </w:instrText>
      </w:r>
      <w:r w:rsidR="001F6DC8">
        <w:rPr>
          <w:rFonts w:eastAsiaTheme="minorEastAsia"/>
        </w:rPr>
        <w:instrText xml:space="preserve"> \* MERGEFORMAT </w:instrText>
      </w:r>
      <w:r w:rsidRPr="001F6DC8">
        <w:rPr>
          <w:rFonts w:eastAsiaTheme="minorEastAsia"/>
        </w:rPr>
      </w:r>
      <w:r w:rsidRPr="001F6DC8">
        <w:rPr>
          <w:rFonts w:eastAsiaTheme="minorEastAsia"/>
        </w:rPr>
        <w:fldChar w:fldCharType="separate"/>
      </w:r>
      <w:r w:rsidR="001E41EA">
        <w:t xml:space="preserve">Equation </w:t>
      </w:r>
      <w:r w:rsidR="001E41EA">
        <w:rPr>
          <w:noProof/>
        </w:rPr>
        <w:t>18</w:t>
      </w:r>
      <w:r w:rsidRPr="001F6DC8">
        <w:rPr>
          <w:rFonts w:eastAsiaTheme="minorEastAsia"/>
        </w:rPr>
        <w:fldChar w:fldCharType="end"/>
      </w:r>
      <w:r w:rsidRPr="001F6DC8">
        <w:rPr>
          <w:rFonts w:eastAsiaTheme="minorEastAsia"/>
        </w:rPr>
        <w:t>, we can note that we can move the Negligible/Freq</w:t>
      </w:r>
      <w:r w:rsidRPr="00F60A9B">
        <w:rPr>
          <w:rFonts w:eastAsiaTheme="minorEastAsia"/>
        </w:rPr>
        <w:t xml:space="preserve">uent cell </w:t>
      </w:r>
      <w:r>
        <w:rPr>
          <w:rFonts w:eastAsiaTheme="minorEastAsia"/>
        </w:rPr>
        <w:t xml:space="preserve">on the left-hand side of the equation, along the #5 ‘risk band’, to </w:t>
      </w:r>
      <w:r w:rsidRPr="00F60A9B">
        <w:rPr>
          <w:rFonts w:eastAsiaTheme="minorEastAsia"/>
        </w:rPr>
        <w:t>the Minor/Probable cell</w:t>
      </w:r>
      <w:r>
        <w:rPr>
          <w:rFonts w:eastAsiaTheme="minorEastAsia"/>
        </w:rPr>
        <w:t xml:space="preserve">, as is done in the following equation: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7A43EF66" w14:textId="77777777" w:rsidTr="00024DD9">
        <w:trPr>
          <w:tblHeader/>
          <w:jc w:val="center"/>
        </w:trPr>
        <w:tc>
          <w:tcPr>
            <w:tcW w:w="884" w:type="dxa"/>
            <w:tcBorders>
              <w:top w:val="nil"/>
              <w:left w:val="nil"/>
              <w:bottom w:val="single" w:sz="4" w:space="0" w:color="auto"/>
            </w:tcBorders>
            <w:vAlign w:val="center"/>
          </w:tcPr>
          <w:p w14:paraId="62973424"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5DB83BB8"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7FD7D83C"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168F6033"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156A354F"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268BD4B1" w14:textId="77777777" w:rsidR="00CD55F1" w:rsidRPr="005B7BEE" w:rsidRDefault="00CD55F1" w:rsidP="00024DD9">
            <w:pPr>
              <w:jc w:val="center"/>
              <w:rPr>
                <w:sz w:val="14"/>
                <w:szCs w:val="14"/>
              </w:rPr>
            </w:pPr>
            <w:r w:rsidRPr="005B7BEE">
              <w:rPr>
                <w:sz w:val="14"/>
                <w:szCs w:val="14"/>
              </w:rPr>
              <w:t xml:space="preserve">Catastrophic </w:t>
            </w:r>
          </w:p>
          <w:p w14:paraId="5D6B5E98"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7B18D451"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0296253C"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51F215F"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26502AA8"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6C814426"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36204CD5"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103057EE" w14:textId="77777777" w:rsidR="00CD55F1" w:rsidRPr="005B7BEE" w:rsidRDefault="00CD55F1" w:rsidP="00024DD9">
            <w:pPr>
              <w:jc w:val="center"/>
              <w:rPr>
                <w:sz w:val="14"/>
                <w:szCs w:val="14"/>
              </w:rPr>
            </w:pPr>
            <w:r w:rsidRPr="005B7BEE">
              <w:rPr>
                <w:sz w:val="14"/>
                <w:szCs w:val="14"/>
              </w:rPr>
              <w:t xml:space="preserve">Catastrophic </w:t>
            </w:r>
          </w:p>
          <w:p w14:paraId="29AA030E"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76E79CE4" w14:textId="77777777" w:rsidTr="00024DD9">
        <w:trPr>
          <w:jc w:val="center"/>
        </w:trPr>
        <w:tc>
          <w:tcPr>
            <w:tcW w:w="884" w:type="dxa"/>
            <w:tcBorders>
              <w:top w:val="single" w:sz="4" w:space="0" w:color="auto"/>
              <w:right w:val="single" w:sz="12" w:space="0" w:color="auto"/>
            </w:tcBorders>
          </w:tcPr>
          <w:p w14:paraId="1B44088E"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1C08E3AA" w14:textId="77777777" w:rsidR="00CD55F1" w:rsidRPr="00F60A9B" w:rsidRDefault="00CD55F1" w:rsidP="00024DD9">
            <w:pPr>
              <w:jc w:val="center"/>
            </w:pPr>
            <w:r>
              <w:t>0</w:t>
            </w:r>
          </w:p>
        </w:tc>
        <w:tc>
          <w:tcPr>
            <w:tcW w:w="668" w:type="dxa"/>
            <w:tcBorders>
              <w:top w:val="single" w:sz="12" w:space="0" w:color="auto"/>
            </w:tcBorders>
            <w:vAlign w:val="center"/>
          </w:tcPr>
          <w:p w14:paraId="1C12AD74" w14:textId="77777777" w:rsidR="00CD55F1" w:rsidRPr="00210DD1" w:rsidRDefault="00CD55F1" w:rsidP="00024DD9">
            <w:pPr>
              <w:jc w:val="center"/>
            </w:pPr>
            <w:r>
              <w:t>0</w:t>
            </w:r>
          </w:p>
        </w:tc>
        <w:tc>
          <w:tcPr>
            <w:tcW w:w="680" w:type="dxa"/>
            <w:tcBorders>
              <w:top w:val="single" w:sz="12" w:space="0" w:color="auto"/>
            </w:tcBorders>
            <w:vAlign w:val="center"/>
          </w:tcPr>
          <w:p w14:paraId="1394F391" w14:textId="77777777" w:rsidR="00CD55F1" w:rsidRPr="00210DD1" w:rsidRDefault="00CD55F1" w:rsidP="00024DD9">
            <w:pPr>
              <w:jc w:val="center"/>
            </w:pPr>
            <w:r>
              <w:t>0</w:t>
            </w:r>
          </w:p>
        </w:tc>
        <w:tc>
          <w:tcPr>
            <w:tcW w:w="628" w:type="dxa"/>
            <w:tcBorders>
              <w:top w:val="single" w:sz="12" w:space="0" w:color="auto"/>
            </w:tcBorders>
            <w:vAlign w:val="center"/>
          </w:tcPr>
          <w:p w14:paraId="5450AC89" w14:textId="77777777" w:rsidR="00CD55F1" w:rsidRPr="00210DD1" w:rsidRDefault="00CD55F1" w:rsidP="00024DD9">
            <w:pPr>
              <w:jc w:val="center"/>
            </w:pPr>
            <w:r>
              <w:t>0</w:t>
            </w:r>
          </w:p>
        </w:tc>
        <w:tc>
          <w:tcPr>
            <w:tcW w:w="939" w:type="dxa"/>
            <w:tcBorders>
              <w:top w:val="single" w:sz="12" w:space="0" w:color="auto"/>
            </w:tcBorders>
            <w:vAlign w:val="center"/>
          </w:tcPr>
          <w:p w14:paraId="35F7D9B7" w14:textId="77777777" w:rsidR="00CD55F1" w:rsidRPr="00F60A9B" w:rsidRDefault="00CD55F1" w:rsidP="00024DD9">
            <w:pPr>
              <w:jc w:val="center"/>
            </w:pPr>
            <w:r>
              <w:t>0</w:t>
            </w:r>
          </w:p>
        </w:tc>
        <w:tc>
          <w:tcPr>
            <w:tcW w:w="287" w:type="dxa"/>
            <w:tcBorders>
              <w:top w:val="nil"/>
              <w:left w:val="nil"/>
              <w:bottom w:val="nil"/>
              <w:right w:val="nil"/>
            </w:tcBorders>
            <w:vAlign w:val="center"/>
          </w:tcPr>
          <w:p w14:paraId="00680213" w14:textId="77777777" w:rsidR="00CD55F1" w:rsidRDefault="00CD55F1" w:rsidP="00024DD9">
            <w:pPr>
              <w:jc w:val="center"/>
            </w:pPr>
          </w:p>
        </w:tc>
        <w:tc>
          <w:tcPr>
            <w:tcW w:w="883" w:type="dxa"/>
            <w:tcBorders>
              <w:top w:val="single" w:sz="12" w:space="0" w:color="auto"/>
            </w:tcBorders>
            <w:vAlign w:val="center"/>
          </w:tcPr>
          <w:p w14:paraId="3124360C"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553A251B" w14:textId="77777777" w:rsidR="00CD55F1" w:rsidRDefault="00CD55F1" w:rsidP="00024DD9">
            <w:pPr>
              <w:jc w:val="center"/>
            </w:pPr>
            <w:r>
              <w:t>0</w:t>
            </w:r>
          </w:p>
        </w:tc>
        <w:tc>
          <w:tcPr>
            <w:tcW w:w="666" w:type="dxa"/>
            <w:tcBorders>
              <w:top w:val="single" w:sz="12" w:space="0" w:color="auto"/>
            </w:tcBorders>
            <w:vAlign w:val="center"/>
          </w:tcPr>
          <w:p w14:paraId="32AE4E42" w14:textId="77777777" w:rsidR="00CD55F1" w:rsidRDefault="00CD55F1" w:rsidP="00024DD9">
            <w:pPr>
              <w:jc w:val="center"/>
            </w:pPr>
            <w:r>
              <w:t>0</w:t>
            </w:r>
          </w:p>
        </w:tc>
        <w:tc>
          <w:tcPr>
            <w:tcW w:w="698" w:type="dxa"/>
            <w:tcBorders>
              <w:top w:val="single" w:sz="12" w:space="0" w:color="auto"/>
            </w:tcBorders>
            <w:vAlign w:val="center"/>
          </w:tcPr>
          <w:p w14:paraId="63FCFE76" w14:textId="77777777" w:rsidR="00CD55F1" w:rsidRDefault="00CD55F1" w:rsidP="00024DD9">
            <w:pPr>
              <w:jc w:val="center"/>
            </w:pPr>
            <w:r>
              <w:t>0</w:t>
            </w:r>
          </w:p>
        </w:tc>
        <w:tc>
          <w:tcPr>
            <w:tcW w:w="612" w:type="dxa"/>
            <w:tcBorders>
              <w:top w:val="single" w:sz="12" w:space="0" w:color="auto"/>
            </w:tcBorders>
            <w:vAlign w:val="center"/>
          </w:tcPr>
          <w:p w14:paraId="7BBACF74" w14:textId="77777777" w:rsidR="00CD55F1" w:rsidRDefault="00CD55F1" w:rsidP="00024DD9">
            <w:pPr>
              <w:jc w:val="center"/>
            </w:pPr>
            <w:r>
              <w:t>0</w:t>
            </w:r>
          </w:p>
        </w:tc>
        <w:tc>
          <w:tcPr>
            <w:tcW w:w="939" w:type="dxa"/>
            <w:tcBorders>
              <w:top w:val="single" w:sz="12" w:space="0" w:color="auto"/>
            </w:tcBorders>
            <w:vAlign w:val="center"/>
          </w:tcPr>
          <w:p w14:paraId="48B58622" w14:textId="77777777" w:rsidR="00CD55F1" w:rsidRDefault="00CD55F1" w:rsidP="00024DD9">
            <w:pPr>
              <w:jc w:val="center"/>
            </w:pPr>
            <w:r>
              <w:t>0</w:t>
            </w:r>
          </w:p>
        </w:tc>
      </w:tr>
      <w:tr w:rsidR="00CD55F1" w:rsidRPr="00F60A9B" w14:paraId="11335642" w14:textId="77777777" w:rsidTr="00024DD9">
        <w:trPr>
          <w:jc w:val="center"/>
        </w:trPr>
        <w:tc>
          <w:tcPr>
            <w:tcW w:w="884" w:type="dxa"/>
            <w:tcBorders>
              <w:right w:val="single" w:sz="12" w:space="0" w:color="auto"/>
            </w:tcBorders>
          </w:tcPr>
          <w:p w14:paraId="2E7ACF2A"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vAlign w:val="center"/>
          </w:tcPr>
          <w:p w14:paraId="386A4D4F" w14:textId="77777777" w:rsidR="00CD55F1" w:rsidRDefault="00CD55F1" w:rsidP="00024DD9">
            <w:pPr>
              <w:jc w:val="center"/>
            </w:pPr>
            <w:r>
              <w:t>0</w:t>
            </w:r>
          </w:p>
        </w:tc>
        <w:tc>
          <w:tcPr>
            <w:tcW w:w="668" w:type="dxa"/>
            <w:vAlign w:val="center"/>
          </w:tcPr>
          <w:p w14:paraId="61249B60" w14:textId="77777777" w:rsidR="00CD55F1" w:rsidRPr="00210DD1" w:rsidRDefault="00CD55F1" w:rsidP="00024DD9">
            <w:pPr>
              <w:jc w:val="center"/>
            </w:pPr>
            <w:r>
              <w:t>0</w:t>
            </w:r>
          </w:p>
        </w:tc>
        <w:tc>
          <w:tcPr>
            <w:tcW w:w="680" w:type="dxa"/>
            <w:vAlign w:val="center"/>
          </w:tcPr>
          <w:p w14:paraId="54699D3F" w14:textId="77777777" w:rsidR="00CD55F1" w:rsidRPr="00210DD1" w:rsidRDefault="00CD55F1" w:rsidP="00024DD9">
            <w:pPr>
              <w:jc w:val="center"/>
            </w:pPr>
            <w:r>
              <w:t>0</w:t>
            </w:r>
          </w:p>
        </w:tc>
        <w:tc>
          <w:tcPr>
            <w:tcW w:w="628" w:type="dxa"/>
            <w:vAlign w:val="center"/>
          </w:tcPr>
          <w:p w14:paraId="72C25EE3" w14:textId="77777777" w:rsidR="00CD55F1" w:rsidRPr="00210DD1" w:rsidRDefault="00CD55F1" w:rsidP="00024DD9">
            <w:pPr>
              <w:jc w:val="center"/>
            </w:pPr>
            <w:r>
              <w:t>0</w:t>
            </w:r>
          </w:p>
        </w:tc>
        <w:tc>
          <w:tcPr>
            <w:tcW w:w="939" w:type="dxa"/>
            <w:vAlign w:val="center"/>
          </w:tcPr>
          <w:p w14:paraId="25BF24F9" w14:textId="77777777" w:rsidR="00CD55F1" w:rsidRDefault="00CD55F1" w:rsidP="00024DD9">
            <w:pPr>
              <w:jc w:val="center"/>
            </w:pPr>
            <w:r>
              <w:t>0</w:t>
            </w:r>
          </w:p>
        </w:tc>
        <w:tc>
          <w:tcPr>
            <w:tcW w:w="287" w:type="dxa"/>
            <w:tcBorders>
              <w:top w:val="nil"/>
              <w:left w:val="nil"/>
              <w:bottom w:val="nil"/>
              <w:right w:val="nil"/>
            </w:tcBorders>
            <w:vAlign w:val="center"/>
          </w:tcPr>
          <w:p w14:paraId="30FA3DB3" w14:textId="77777777" w:rsidR="00CD55F1" w:rsidRDefault="00CD55F1" w:rsidP="00024DD9">
            <w:pPr>
              <w:jc w:val="center"/>
            </w:pPr>
          </w:p>
        </w:tc>
        <w:tc>
          <w:tcPr>
            <w:tcW w:w="883" w:type="dxa"/>
            <w:vAlign w:val="center"/>
          </w:tcPr>
          <w:p w14:paraId="0B1DBC52" w14:textId="77777777" w:rsidR="00CD55F1" w:rsidRPr="005B7BEE" w:rsidRDefault="00CD55F1" w:rsidP="00024DD9">
            <w:pPr>
              <w:jc w:val="center"/>
              <w:rPr>
                <w:sz w:val="14"/>
                <w:szCs w:val="14"/>
              </w:rPr>
            </w:pPr>
            <w:r>
              <w:rPr>
                <w:sz w:val="14"/>
                <w:szCs w:val="14"/>
              </w:rPr>
              <w:t>Often</w:t>
            </w:r>
          </w:p>
        </w:tc>
        <w:tc>
          <w:tcPr>
            <w:tcW w:w="783" w:type="dxa"/>
            <w:vAlign w:val="center"/>
          </w:tcPr>
          <w:p w14:paraId="0ECE436C" w14:textId="77777777" w:rsidR="00CD55F1" w:rsidRDefault="00CD55F1" w:rsidP="00024DD9">
            <w:pPr>
              <w:jc w:val="center"/>
            </w:pPr>
            <w:r>
              <w:t>0</w:t>
            </w:r>
          </w:p>
        </w:tc>
        <w:tc>
          <w:tcPr>
            <w:tcW w:w="666" w:type="dxa"/>
            <w:vAlign w:val="center"/>
          </w:tcPr>
          <w:p w14:paraId="19FD5177" w14:textId="77777777" w:rsidR="00CD55F1" w:rsidRPr="00210DD1" w:rsidRDefault="00CD55F1" w:rsidP="00024DD9">
            <w:pPr>
              <w:jc w:val="center"/>
            </w:pPr>
            <w:r>
              <w:t>0</w:t>
            </w:r>
          </w:p>
        </w:tc>
        <w:tc>
          <w:tcPr>
            <w:tcW w:w="698" w:type="dxa"/>
            <w:vAlign w:val="center"/>
          </w:tcPr>
          <w:p w14:paraId="262B03CB" w14:textId="77777777" w:rsidR="00CD55F1" w:rsidRPr="00210DD1" w:rsidRDefault="00CD55F1" w:rsidP="00024DD9">
            <w:pPr>
              <w:jc w:val="center"/>
            </w:pPr>
            <w:r>
              <w:t>0</w:t>
            </w:r>
          </w:p>
        </w:tc>
        <w:tc>
          <w:tcPr>
            <w:tcW w:w="612" w:type="dxa"/>
            <w:vAlign w:val="center"/>
          </w:tcPr>
          <w:p w14:paraId="5B3D5A1C" w14:textId="77777777" w:rsidR="00CD55F1" w:rsidRPr="00210DD1" w:rsidRDefault="00CD55F1" w:rsidP="00024DD9">
            <w:pPr>
              <w:jc w:val="center"/>
            </w:pPr>
            <w:r>
              <w:t>0</w:t>
            </w:r>
          </w:p>
        </w:tc>
        <w:tc>
          <w:tcPr>
            <w:tcW w:w="939" w:type="dxa"/>
            <w:vAlign w:val="center"/>
          </w:tcPr>
          <w:p w14:paraId="5BB6DC6E" w14:textId="77777777" w:rsidR="00CD55F1" w:rsidRDefault="00CD55F1" w:rsidP="00024DD9">
            <w:pPr>
              <w:jc w:val="center"/>
            </w:pPr>
            <w:r>
              <w:t>0</w:t>
            </w:r>
          </w:p>
        </w:tc>
      </w:tr>
      <w:tr w:rsidR="00CD55F1" w:rsidRPr="00F60A9B" w14:paraId="323B1BDE" w14:textId="77777777" w:rsidTr="00024DD9">
        <w:trPr>
          <w:jc w:val="center"/>
        </w:trPr>
        <w:tc>
          <w:tcPr>
            <w:tcW w:w="884" w:type="dxa"/>
            <w:tcBorders>
              <w:right w:val="single" w:sz="12" w:space="0" w:color="auto"/>
            </w:tcBorders>
          </w:tcPr>
          <w:p w14:paraId="7980E3D6"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D9E2F3" w:themeFill="accent1" w:themeFillTint="33"/>
            <w:vAlign w:val="center"/>
          </w:tcPr>
          <w:p w14:paraId="60B17BFB" w14:textId="77777777" w:rsidR="00CD55F1" w:rsidRDefault="00CD55F1" w:rsidP="00024DD9">
            <w:pPr>
              <w:jc w:val="center"/>
            </w:pPr>
            <w:r>
              <w:t>1-1=0</w:t>
            </w:r>
          </w:p>
        </w:tc>
        <w:tc>
          <w:tcPr>
            <w:tcW w:w="668" w:type="dxa"/>
            <w:shd w:val="clear" w:color="auto" w:fill="auto"/>
            <w:vAlign w:val="center"/>
          </w:tcPr>
          <w:p w14:paraId="13EE341D"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451ED8A" w14:textId="77777777" w:rsidR="00CD55F1" w:rsidRPr="00210DD1" w:rsidRDefault="00CD55F1" w:rsidP="00024DD9">
            <w:pPr>
              <w:jc w:val="center"/>
            </w:pPr>
            <w:r w:rsidRPr="00F60A9B">
              <w:rPr>
                <w:rFonts w:ascii="Calibri" w:hAnsi="Calibri" w:cs="Calibri"/>
              </w:rPr>
              <w:t>3</w:t>
            </w:r>
          </w:p>
        </w:tc>
        <w:tc>
          <w:tcPr>
            <w:tcW w:w="628" w:type="dxa"/>
            <w:shd w:val="clear" w:color="auto" w:fill="auto"/>
            <w:vAlign w:val="center"/>
          </w:tcPr>
          <w:p w14:paraId="46129908"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52858FD6"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68EBECF7" w14:textId="77777777" w:rsidR="00CD55F1" w:rsidRDefault="00CD55F1" w:rsidP="00024DD9">
            <w:pPr>
              <w:jc w:val="center"/>
            </w:pPr>
          </w:p>
        </w:tc>
        <w:tc>
          <w:tcPr>
            <w:tcW w:w="883" w:type="dxa"/>
            <w:shd w:val="clear" w:color="auto" w:fill="auto"/>
            <w:vAlign w:val="center"/>
          </w:tcPr>
          <w:p w14:paraId="3DEEB2F8"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0954BBE0" w14:textId="77777777" w:rsidR="00CD55F1" w:rsidRDefault="00CD55F1" w:rsidP="00024DD9">
            <w:pPr>
              <w:jc w:val="center"/>
            </w:pPr>
            <w:r>
              <w:rPr>
                <w:rFonts w:ascii="Calibri" w:hAnsi="Calibri" w:cs="Calibri"/>
              </w:rPr>
              <w:t>0</w:t>
            </w:r>
          </w:p>
        </w:tc>
        <w:tc>
          <w:tcPr>
            <w:tcW w:w="666" w:type="dxa"/>
            <w:vAlign w:val="center"/>
          </w:tcPr>
          <w:p w14:paraId="12B82372" w14:textId="77777777" w:rsidR="00CD55F1" w:rsidRPr="00210DD1" w:rsidRDefault="00CD55F1" w:rsidP="00024DD9">
            <w:pPr>
              <w:jc w:val="center"/>
            </w:pPr>
            <w:r>
              <w:rPr>
                <w:rFonts w:ascii="Calibri" w:hAnsi="Calibri" w:cs="Calibri"/>
              </w:rPr>
              <w:t>3</w:t>
            </w:r>
          </w:p>
        </w:tc>
        <w:tc>
          <w:tcPr>
            <w:tcW w:w="698" w:type="dxa"/>
            <w:vAlign w:val="center"/>
          </w:tcPr>
          <w:p w14:paraId="3D348031" w14:textId="77777777" w:rsidR="00CD55F1" w:rsidRPr="00210DD1" w:rsidRDefault="00CD55F1" w:rsidP="00024DD9">
            <w:pPr>
              <w:jc w:val="center"/>
            </w:pPr>
            <w:r w:rsidRPr="00F60A9B">
              <w:rPr>
                <w:rFonts w:ascii="Calibri" w:hAnsi="Calibri" w:cs="Calibri"/>
              </w:rPr>
              <w:t>0</w:t>
            </w:r>
          </w:p>
        </w:tc>
        <w:tc>
          <w:tcPr>
            <w:tcW w:w="612" w:type="dxa"/>
            <w:vAlign w:val="center"/>
          </w:tcPr>
          <w:p w14:paraId="22269EFC" w14:textId="77777777" w:rsidR="00CD55F1" w:rsidRPr="00210DD1" w:rsidRDefault="00CD55F1" w:rsidP="00024DD9">
            <w:pPr>
              <w:jc w:val="center"/>
            </w:pPr>
            <w:r w:rsidRPr="00F60A9B">
              <w:rPr>
                <w:rFonts w:ascii="Calibri" w:hAnsi="Calibri" w:cs="Calibri"/>
              </w:rPr>
              <w:t>0</w:t>
            </w:r>
          </w:p>
        </w:tc>
        <w:tc>
          <w:tcPr>
            <w:tcW w:w="939" w:type="dxa"/>
            <w:vAlign w:val="center"/>
          </w:tcPr>
          <w:p w14:paraId="3EADF274" w14:textId="77777777" w:rsidR="00CD55F1" w:rsidRDefault="00CD55F1" w:rsidP="00024DD9">
            <w:pPr>
              <w:jc w:val="center"/>
            </w:pPr>
            <w:r w:rsidRPr="00F60A9B">
              <w:rPr>
                <w:rFonts w:ascii="Calibri" w:hAnsi="Calibri" w:cs="Calibri"/>
              </w:rPr>
              <w:t>0</w:t>
            </w:r>
          </w:p>
        </w:tc>
      </w:tr>
      <w:tr w:rsidR="00CD55F1" w:rsidRPr="00F60A9B" w14:paraId="3F44543A" w14:textId="77777777" w:rsidTr="00024DD9">
        <w:trPr>
          <w:jc w:val="center"/>
        </w:trPr>
        <w:tc>
          <w:tcPr>
            <w:tcW w:w="884" w:type="dxa"/>
            <w:tcBorders>
              <w:right w:val="single" w:sz="12" w:space="0" w:color="auto"/>
            </w:tcBorders>
          </w:tcPr>
          <w:p w14:paraId="20A8D151"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0772D6B6" w14:textId="77777777" w:rsidR="00CD55F1" w:rsidRPr="00F60A9B" w:rsidRDefault="00CD55F1" w:rsidP="00024DD9">
            <w:pPr>
              <w:jc w:val="center"/>
            </w:pPr>
            <w:r>
              <w:t>0</w:t>
            </w:r>
          </w:p>
        </w:tc>
        <w:tc>
          <w:tcPr>
            <w:tcW w:w="668" w:type="dxa"/>
            <w:shd w:val="clear" w:color="auto" w:fill="D9E2F3" w:themeFill="accent1" w:themeFillTint="33"/>
            <w:vAlign w:val="center"/>
          </w:tcPr>
          <w:p w14:paraId="5BA3C621" w14:textId="77777777" w:rsidR="00CD55F1" w:rsidRPr="00210DD1" w:rsidRDefault="00CD55F1" w:rsidP="00024DD9">
            <w:pPr>
              <w:jc w:val="center"/>
            </w:pPr>
            <w:r>
              <w:rPr>
                <w:rFonts w:ascii="Calibri" w:hAnsi="Calibri" w:cs="Calibri"/>
              </w:rPr>
              <w:t>0+ 1 = 1</w:t>
            </w:r>
          </w:p>
        </w:tc>
        <w:tc>
          <w:tcPr>
            <w:tcW w:w="680" w:type="dxa"/>
            <w:shd w:val="clear" w:color="auto" w:fill="auto"/>
            <w:vAlign w:val="center"/>
          </w:tcPr>
          <w:p w14:paraId="34F4BACD" w14:textId="77777777" w:rsidR="00CD55F1" w:rsidRPr="00210DD1" w:rsidRDefault="00CD55F1" w:rsidP="00024DD9">
            <w:pPr>
              <w:jc w:val="center"/>
            </w:pPr>
            <w:r>
              <w:rPr>
                <w:rFonts w:ascii="Calibri" w:hAnsi="Calibri" w:cs="Calibri"/>
              </w:rPr>
              <w:t>2</w:t>
            </w:r>
          </w:p>
        </w:tc>
        <w:tc>
          <w:tcPr>
            <w:tcW w:w="628" w:type="dxa"/>
            <w:shd w:val="clear" w:color="auto" w:fill="auto"/>
            <w:vAlign w:val="center"/>
          </w:tcPr>
          <w:p w14:paraId="2BAF2A02"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79EB58E7" w14:textId="77777777" w:rsidR="00CD55F1" w:rsidRPr="00F60A9B" w:rsidRDefault="00CD55F1" w:rsidP="00024DD9">
            <w:pPr>
              <w:jc w:val="center"/>
            </w:pPr>
            <w:r w:rsidRPr="00F60A9B">
              <w:rPr>
                <w:rFonts w:ascii="Calibri" w:hAnsi="Calibri" w:cs="Calibri"/>
              </w:rPr>
              <w:t>1</w:t>
            </w:r>
          </w:p>
        </w:tc>
        <w:tc>
          <w:tcPr>
            <w:tcW w:w="287" w:type="dxa"/>
            <w:tcBorders>
              <w:top w:val="nil"/>
              <w:left w:val="nil"/>
              <w:bottom w:val="nil"/>
              <w:right w:val="nil"/>
            </w:tcBorders>
            <w:shd w:val="clear" w:color="auto" w:fill="auto"/>
            <w:tcMar>
              <w:left w:w="58" w:type="dxa"/>
              <w:right w:w="115" w:type="dxa"/>
            </w:tcMar>
            <w:vAlign w:val="center"/>
          </w:tcPr>
          <w:p w14:paraId="54BE8F60"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2D8F40A6" w14:textId="77777777" w:rsidR="00CD55F1" w:rsidRDefault="00CD55F1" w:rsidP="00024DD9">
            <w:pPr>
              <w:jc w:val="center"/>
            </w:pPr>
            <w:r w:rsidRPr="005B7BEE">
              <w:rPr>
                <w:sz w:val="14"/>
                <w:szCs w:val="14"/>
              </w:rPr>
              <w:t>Probable</w:t>
            </w:r>
          </w:p>
        </w:tc>
        <w:tc>
          <w:tcPr>
            <w:tcW w:w="783" w:type="dxa"/>
            <w:shd w:val="clear" w:color="auto" w:fill="auto"/>
            <w:vAlign w:val="center"/>
          </w:tcPr>
          <w:p w14:paraId="6BAFF3EC" w14:textId="77777777" w:rsidR="00CD55F1" w:rsidRDefault="00CD55F1" w:rsidP="00024DD9">
            <w:pPr>
              <w:jc w:val="center"/>
            </w:pPr>
            <w:r>
              <w:rPr>
                <w:rFonts w:ascii="Calibri" w:hAnsi="Calibri" w:cs="Calibri"/>
              </w:rPr>
              <w:t>1</w:t>
            </w:r>
          </w:p>
        </w:tc>
        <w:tc>
          <w:tcPr>
            <w:tcW w:w="666" w:type="dxa"/>
            <w:shd w:val="clear" w:color="auto" w:fill="auto"/>
            <w:vAlign w:val="center"/>
          </w:tcPr>
          <w:p w14:paraId="582D99D9" w14:textId="77777777" w:rsidR="00CD55F1" w:rsidRDefault="00CD55F1" w:rsidP="00024DD9">
            <w:pPr>
              <w:jc w:val="center"/>
            </w:pPr>
            <w:r>
              <w:rPr>
                <w:rFonts w:ascii="Calibri" w:hAnsi="Calibri" w:cs="Calibri"/>
              </w:rPr>
              <w:t>2</w:t>
            </w:r>
          </w:p>
        </w:tc>
        <w:tc>
          <w:tcPr>
            <w:tcW w:w="698" w:type="dxa"/>
            <w:vAlign w:val="center"/>
          </w:tcPr>
          <w:p w14:paraId="6873F013" w14:textId="77777777" w:rsidR="00CD55F1" w:rsidRDefault="00CD55F1" w:rsidP="00024DD9">
            <w:pPr>
              <w:jc w:val="center"/>
            </w:pPr>
            <w:r>
              <w:rPr>
                <w:rFonts w:ascii="Calibri" w:hAnsi="Calibri" w:cs="Calibri"/>
              </w:rPr>
              <w:t>0</w:t>
            </w:r>
          </w:p>
        </w:tc>
        <w:tc>
          <w:tcPr>
            <w:tcW w:w="612" w:type="dxa"/>
            <w:vAlign w:val="center"/>
          </w:tcPr>
          <w:p w14:paraId="42CDE55D" w14:textId="77777777" w:rsidR="00CD55F1" w:rsidRDefault="00CD55F1" w:rsidP="00024DD9">
            <w:pPr>
              <w:jc w:val="center"/>
            </w:pPr>
            <w:r w:rsidRPr="00F60A9B">
              <w:rPr>
                <w:rFonts w:ascii="Calibri" w:hAnsi="Calibri" w:cs="Calibri"/>
              </w:rPr>
              <w:t>1</w:t>
            </w:r>
          </w:p>
        </w:tc>
        <w:tc>
          <w:tcPr>
            <w:tcW w:w="939" w:type="dxa"/>
            <w:vAlign w:val="center"/>
          </w:tcPr>
          <w:p w14:paraId="6FE5002B" w14:textId="77777777" w:rsidR="00CD55F1" w:rsidRDefault="00CD55F1" w:rsidP="00024DD9">
            <w:pPr>
              <w:jc w:val="center"/>
            </w:pPr>
            <w:r w:rsidRPr="00F60A9B">
              <w:rPr>
                <w:rFonts w:ascii="Calibri" w:hAnsi="Calibri" w:cs="Calibri"/>
              </w:rPr>
              <w:t>0</w:t>
            </w:r>
          </w:p>
        </w:tc>
      </w:tr>
      <w:tr w:rsidR="00CD55F1" w:rsidRPr="00F60A9B" w14:paraId="2D18885A" w14:textId="77777777" w:rsidTr="00024DD9">
        <w:trPr>
          <w:jc w:val="center"/>
        </w:trPr>
        <w:tc>
          <w:tcPr>
            <w:tcW w:w="884" w:type="dxa"/>
            <w:tcBorders>
              <w:right w:val="single" w:sz="12" w:space="0" w:color="auto"/>
            </w:tcBorders>
          </w:tcPr>
          <w:p w14:paraId="3B601069"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6F624FBA"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29998CA1"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02B4D249"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6DF3ED2B" w14:textId="77777777" w:rsidR="00CD55F1" w:rsidRPr="00210DD1" w:rsidRDefault="00CD55F1" w:rsidP="00024DD9">
            <w:pPr>
              <w:jc w:val="center"/>
            </w:pPr>
            <w:r>
              <w:t>2</w:t>
            </w:r>
          </w:p>
        </w:tc>
        <w:tc>
          <w:tcPr>
            <w:tcW w:w="939" w:type="dxa"/>
            <w:shd w:val="clear" w:color="auto" w:fill="auto"/>
            <w:vAlign w:val="center"/>
          </w:tcPr>
          <w:p w14:paraId="41DE82BC" w14:textId="77777777" w:rsidR="00CD55F1" w:rsidRPr="00F60A9B"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104A374C" w14:textId="77777777" w:rsidR="00CD55F1" w:rsidRDefault="00CD55F1" w:rsidP="00024DD9">
            <w:pPr>
              <w:jc w:val="center"/>
            </w:pPr>
          </w:p>
        </w:tc>
        <w:tc>
          <w:tcPr>
            <w:tcW w:w="883" w:type="dxa"/>
            <w:shd w:val="clear" w:color="auto" w:fill="auto"/>
            <w:vAlign w:val="center"/>
          </w:tcPr>
          <w:p w14:paraId="0A381FA7" w14:textId="77777777" w:rsidR="00CD55F1" w:rsidRDefault="00CD55F1" w:rsidP="00024DD9">
            <w:pPr>
              <w:jc w:val="center"/>
            </w:pPr>
            <w:r w:rsidRPr="005B7BEE">
              <w:rPr>
                <w:sz w:val="14"/>
                <w:szCs w:val="14"/>
              </w:rPr>
              <w:t>Occasional</w:t>
            </w:r>
          </w:p>
        </w:tc>
        <w:tc>
          <w:tcPr>
            <w:tcW w:w="783" w:type="dxa"/>
            <w:shd w:val="clear" w:color="auto" w:fill="auto"/>
            <w:vAlign w:val="center"/>
          </w:tcPr>
          <w:p w14:paraId="2622F042" w14:textId="77777777" w:rsidR="00CD55F1" w:rsidRDefault="00CD55F1" w:rsidP="00024DD9">
            <w:pPr>
              <w:jc w:val="center"/>
            </w:pPr>
            <w:r>
              <w:rPr>
                <w:rFonts w:ascii="Calibri" w:hAnsi="Calibri" w:cs="Calibri"/>
              </w:rPr>
              <w:t>1</w:t>
            </w:r>
          </w:p>
        </w:tc>
        <w:tc>
          <w:tcPr>
            <w:tcW w:w="666" w:type="dxa"/>
            <w:shd w:val="clear" w:color="auto" w:fill="auto"/>
            <w:vAlign w:val="center"/>
          </w:tcPr>
          <w:p w14:paraId="2567DC5C" w14:textId="77777777" w:rsidR="00CD55F1" w:rsidRDefault="00CD55F1" w:rsidP="00024DD9">
            <w:pPr>
              <w:jc w:val="center"/>
            </w:pPr>
            <w:r>
              <w:rPr>
                <w:rFonts w:ascii="Calibri" w:hAnsi="Calibri" w:cs="Calibri"/>
              </w:rPr>
              <w:t>0</w:t>
            </w:r>
          </w:p>
        </w:tc>
        <w:tc>
          <w:tcPr>
            <w:tcW w:w="698" w:type="dxa"/>
            <w:vAlign w:val="center"/>
          </w:tcPr>
          <w:p w14:paraId="1C7D7ABC" w14:textId="77777777" w:rsidR="00CD55F1" w:rsidRDefault="00CD55F1" w:rsidP="00024DD9">
            <w:pPr>
              <w:jc w:val="center"/>
            </w:pPr>
            <w:r>
              <w:rPr>
                <w:rFonts w:ascii="Calibri" w:hAnsi="Calibri" w:cs="Calibri"/>
              </w:rPr>
              <w:t>0</w:t>
            </w:r>
          </w:p>
        </w:tc>
        <w:tc>
          <w:tcPr>
            <w:tcW w:w="612" w:type="dxa"/>
            <w:vAlign w:val="center"/>
          </w:tcPr>
          <w:p w14:paraId="14DA3273" w14:textId="77777777" w:rsidR="00CD55F1" w:rsidRDefault="00CD55F1" w:rsidP="00024DD9">
            <w:pPr>
              <w:jc w:val="center"/>
            </w:pPr>
            <w:r>
              <w:rPr>
                <w:rFonts w:ascii="Calibri" w:hAnsi="Calibri" w:cs="Calibri"/>
              </w:rPr>
              <w:t>0</w:t>
            </w:r>
          </w:p>
        </w:tc>
        <w:tc>
          <w:tcPr>
            <w:tcW w:w="939" w:type="dxa"/>
            <w:vAlign w:val="center"/>
          </w:tcPr>
          <w:p w14:paraId="11CE2971" w14:textId="77777777" w:rsidR="00CD55F1" w:rsidRDefault="00CD55F1" w:rsidP="00024DD9">
            <w:pPr>
              <w:jc w:val="center"/>
            </w:pPr>
            <w:r w:rsidRPr="00F60A9B">
              <w:rPr>
                <w:rFonts w:ascii="Calibri" w:hAnsi="Calibri" w:cs="Calibri"/>
              </w:rPr>
              <w:t>1</w:t>
            </w:r>
          </w:p>
        </w:tc>
      </w:tr>
      <w:tr w:rsidR="00CD55F1" w:rsidRPr="00F60A9B" w14:paraId="5C3903B7" w14:textId="77777777" w:rsidTr="00024DD9">
        <w:trPr>
          <w:jc w:val="center"/>
        </w:trPr>
        <w:tc>
          <w:tcPr>
            <w:tcW w:w="884" w:type="dxa"/>
            <w:tcBorders>
              <w:right w:val="single" w:sz="12" w:space="0" w:color="auto"/>
            </w:tcBorders>
          </w:tcPr>
          <w:p w14:paraId="2133B64B"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57E52DAB" w14:textId="77777777" w:rsidR="00CD55F1" w:rsidRPr="00F60A9B" w:rsidRDefault="00CD55F1" w:rsidP="00024DD9">
            <w:pPr>
              <w:jc w:val="center"/>
            </w:pPr>
            <w:r>
              <w:rPr>
                <w:rFonts w:ascii="Calibri" w:hAnsi="Calibri" w:cs="Calibri"/>
              </w:rPr>
              <w:t>3</w:t>
            </w:r>
          </w:p>
        </w:tc>
        <w:tc>
          <w:tcPr>
            <w:tcW w:w="668" w:type="dxa"/>
            <w:vAlign w:val="center"/>
          </w:tcPr>
          <w:p w14:paraId="0E15CB78"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52B85F8"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1BF70F5"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485D3634"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3AF54281" w14:textId="77777777" w:rsidR="00CD55F1" w:rsidRDefault="00CD55F1" w:rsidP="00024DD9">
            <w:pPr>
              <w:jc w:val="center"/>
            </w:pPr>
          </w:p>
        </w:tc>
        <w:tc>
          <w:tcPr>
            <w:tcW w:w="883" w:type="dxa"/>
            <w:shd w:val="clear" w:color="auto" w:fill="auto"/>
            <w:vAlign w:val="center"/>
          </w:tcPr>
          <w:p w14:paraId="6E0531FE" w14:textId="77777777" w:rsidR="00CD55F1" w:rsidRDefault="00CD55F1" w:rsidP="00024DD9">
            <w:pPr>
              <w:jc w:val="center"/>
            </w:pPr>
            <w:r w:rsidRPr="005B7BEE">
              <w:rPr>
                <w:sz w:val="14"/>
                <w:szCs w:val="14"/>
              </w:rPr>
              <w:t>Remote</w:t>
            </w:r>
          </w:p>
        </w:tc>
        <w:tc>
          <w:tcPr>
            <w:tcW w:w="783" w:type="dxa"/>
            <w:shd w:val="clear" w:color="auto" w:fill="auto"/>
            <w:vAlign w:val="center"/>
          </w:tcPr>
          <w:p w14:paraId="585BC306" w14:textId="77777777" w:rsidR="00CD55F1" w:rsidRDefault="00CD55F1" w:rsidP="00024DD9">
            <w:pPr>
              <w:jc w:val="center"/>
            </w:pPr>
            <w:r>
              <w:rPr>
                <w:rFonts w:ascii="Calibri" w:hAnsi="Calibri" w:cs="Calibri"/>
              </w:rPr>
              <w:t>0</w:t>
            </w:r>
          </w:p>
        </w:tc>
        <w:tc>
          <w:tcPr>
            <w:tcW w:w="666" w:type="dxa"/>
            <w:shd w:val="clear" w:color="auto" w:fill="auto"/>
            <w:vAlign w:val="center"/>
          </w:tcPr>
          <w:p w14:paraId="5355B0CB" w14:textId="77777777" w:rsidR="00CD55F1" w:rsidRDefault="00CD55F1" w:rsidP="00024DD9">
            <w:pPr>
              <w:jc w:val="center"/>
            </w:pPr>
            <w:r>
              <w:rPr>
                <w:rFonts w:ascii="Calibri" w:hAnsi="Calibri" w:cs="Calibri"/>
              </w:rPr>
              <w:t>2</w:t>
            </w:r>
          </w:p>
        </w:tc>
        <w:tc>
          <w:tcPr>
            <w:tcW w:w="698" w:type="dxa"/>
            <w:shd w:val="clear" w:color="auto" w:fill="auto"/>
            <w:vAlign w:val="center"/>
          </w:tcPr>
          <w:p w14:paraId="196C4001" w14:textId="77777777" w:rsidR="00CD55F1" w:rsidRDefault="00CD55F1" w:rsidP="00024DD9">
            <w:pPr>
              <w:jc w:val="center"/>
            </w:pPr>
            <w:r>
              <w:rPr>
                <w:rFonts w:ascii="Calibri" w:hAnsi="Calibri" w:cs="Calibri"/>
              </w:rPr>
              <w:t>0</w:t>
            </w:r>
          </w:p>
        </w:tc>
        <w:tc>
          <w:tcPr>
            <w:tcW w:w="612" w:type="dxa"/>
            <w:shd w:val="clear" w:color="auto" w:fill="auto"/>
            <w:vAlign w:val="center"/>
          </w:tcPr>
          <w:p w14:paraId="68E01B30" w14:textId="77777777" w:rsidR="00CD55F1" w:rsidRDefault="00CD55F1" w:rsidP="00024DD9">
            <w:pPr>
              <w:jc w:val="center"/>
            </w:pPr>
            <w:r>
              <w:rPr>
                <w:rFonts w:ascii="Calibri" w:hAnsi="Calibri" w:cs="Calibri"/>
              </w:rPr>
              <w:t>0</w:t>
            </w:r>
          </w:p>
        </w:tc>
        <w:tc>
          <w:tcPr>
            <w:tcW w:w="939" w:type="dxa"/>
            <w:shd w:val="clear" w:color="auto" w:fill="auto"/>
            <w:vAlign w:val="center"/>
          </w:tcPr>
          <w:p w14:paraId="787FDC72" w14:textId="77777777" w:rsidR="00CD55F1" w:rsidRDefault="00CD55F1" w:rsidP="00024DD9">
            <w:pPr>
              <w:jc w:val="center"/>
            </w:pPr>
            <w:r>
              <w:rPr>
                <w:rFonts w:ascii="Calibri" w:hAnsi="Calibri" w:cs="Calibri"/>
              </w:rPr>
              <w:t>0</w:t>
            </w:r>
          </w:p>
        </w:tc>
      </w:tr>
      <w:tr w:rsidR="00CD55F1" w:rsidRPr="00F60A9B" w14:paraId="0692F1CD" w14:textId="77777777" w:rsidTr="00024DD9">
        <w:trPr>
          <w:jc w:val="center"/>
        </w:trPr>
        <w:tc>
          <w:tcPr>
            <w:tcW w:w="884" w:type="dxa"/>
            <w:tcBorders>
              <w:right w:val="single" w:sz="12" w:space="0" w:color="auto"/>
            </w:tcBorders>
          </w:tcPr>
          <w:p w14:paraId="12505887"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2F60ECBD" w14:textId="77777777" w:rsidR="00CD55F1" w:rsidRPr="00F60A9B" w:rsidRDefault="00CD55F1" w:rsidP="00024DD9">
            <w:pPr>
              <w:jc w:val="center"/>
            </w:pPr>
            <w:r>
              <w:rPr>
                <w:rFonts w:ascii="Calibri" w:hAnsi="Calibri" w:cs="Calibri"/>
              </w:rPr>
              <w:t>0</w:t>
            </w:r>
          </w:p>
        </w:tc>
        <w:tc>
          <w:tcPr>
            <w:tcW w:w="668" w:type="dxa"/>
            <w:vAlign w:val="center"/>
          </w:tcPr>
          <w:p w14:paraId="3466E341"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A291139"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486A507"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7C75D7E7"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4FE8BB5E" w14:textId="77777777" w:rsidR="00CD55F1" w:rsidRDefault="00CD55F1" w:rsidP="00024DD9">
            <w:pPr>
              <w:keepNext/>
              <w:jc w:val="center"/>
            </w:pPr>
          </w:p>
        </w:tc>
        <w:tc>
          <w:tcPr>
            <w:tcW w:w="883" w:type="dxa"/>
            <w:vAlign w:val="center"/>
          </w:tcPr>
          <w:p w14:paraId="2E68E821" w14:textId="77777777" w:rsidR="00CD55F1" w:rsidRDefault="00CD55F1" w:rsidP="00024DD9">
            <w:pPr>
              <w:keepNext/>
              <w:jc w:val="center"/>
            </w:pPr>
            <w:r w:rsidRPr="005B7BEE">
              <w:rPr>
                <w:sz w:val="14"/>
                <w:szCs w:val="14"/>
              </w:rPr>
              <w:t>Improbable</w:t>
            </w:r>
          </w:p>
        </w:tc>
        <w:tc>
          <w:tcPr>
            <w:tcW w:w="783" w:type="dxa"/>
            <w:vAlign w:val="center"/>
          </w:tcPr>
          <w:p w14:paraId="099E11CF" w14:textId="77777777" w:rsidR="00CD55F1" w:rsidRDefault="00CD55F1" w:rsidP="00024DD9">
            <w:pPr>
              <w:keepNext/>
              <w:jc w:val="center"/>
            </w:pPr>
            <w:r>
              <w:rPr>
                <w:rFonts w:ascii="Calibri" w:hAnsi="Calibri" w:cs="Calibri"/>
              </w:rPr>
              <w:t>0</w:t>
            </w:r>
          </w:p>
        </w:tc>
        <w:tc>
          <w:tcPr>
            <w:tcW w:w="666" w:type="dxa"/>
            <w:vAlign w:val="center"/>
          </w:tcPr>
          <w:p w14:paraId="101DE12F" w14:textId="77777777" w:rsidR="00CD55F1" w:rsidRDefault="00CD55F1" w:rsidP="00024DD9">
            <w:pPr>
              <w:keepNext/>
              <w:jc w:val="center"/>
            </w:pPr>
            <w:r>
              <w:rPr>
                <w:rFonts w:ascii="Calibri" w:hAnsi="Calibri" w:cs="Calibri"/>
              </w:rPr>
              <w:t>1</w:t>
            </w:r>
          </w:p>
        </w:tc>
        <w:tc>
          <w:tcPr>
            <w:tcW w:w="698" w:type="dxa"/>
            <w:vAlign w:val="center"/>
          </w:tcPr>
          <w:p w14:paraId="65547747"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7470C943" w14:textId="77777777" w:rsidR="00CD55F1" w:rsidRDefault="00CD55F1" w:rsidP="00024DD9">
            <w:pPr>
              <w:keepNext/>
              <w:jc w:val="center"/>
            </w:pPr>
            <w:r>
              <w:rPr>
                <w:rFonts w:ascii="Calibri" w:hAnsi="Calibri" w:cs="Calibri"/>
              </w:rPr>
              <w:t>0</w:t>
            </w:r>
          </w:p>
        </w:tc>
        <w:tc>
          <w:tcPr>
            <w:tcW w:w="939" w:type="dxa"/>
            <w:vAlign w:val="center"/>
          </w:tcPr>
          <w:p w14:paraId="25E613D1" w14:textId="77777777" w:rsidR="00CD55F1" w:rsidRDefault="00CD55F1" w:rsidP="00024DD9">
            <w:pPr>
              <w:keepNext/>
              <w:jc w:val="center"/>
            </w:pPr>
            <w:r w:rsidRPr="00F60A9B">
              <w:rPr>
                <w:rFonts w:ascii="Calibri" w:hAnsi="Calibri" w:cs="Calibri"/>
              </w:rPr>
              <w:t>0</w:t>
            </w:r>
          </w:p>
        </w:tc>
      </w:tr>
    </w:tbl>
    <w:p w14:paraId="4E52F3C7" w14:textId="63256117" w:rsidR="00CD55F1" w:rsidRDefault="00CD55F1" w:rsidP="00CD55F1">
      <w:pPr>
        <w:spacing w:before="160"/>
      </w:pPr>
      <w:r>
        <w:t xml:space="preserve">This change enables us to use </w:t>
      </w:r>
      <w:r w:rsidR="0036794A">
        <w:fldChar w:fldCharType="begin"/>
      </w:r>
      <w:r w:rsidR="0036794A">
        <w:instrText xml:space="preserve"> REF _Ref151218484 \h </w:instrText>
      </w:r>
      <w:r w:rsidR="0036794A">
        <w:fldChar w:fldCharType="separate"/>
      </w:r>
      <w:r w:rsidR="0036794A" w:rsidRPr="00646086">
        <w:rPr>
          <w:rFonts w:eastAsia="TimesNewRomanPSMT" w:cs="TimesNewRomanPSMT"/>
          <w:b/>
          <w:color w:val="000000"/>
          <w:u w:val="single"/>
        </w:rPr>
        <w:t>Removing Identical Risks</w:t>
      </w:r>
      <w:r w:rsidR="0036794A">
        <w:fldChar w:fldCharType="end"/>
      </w:r>
      <w:r>
        <w:t xml:space="preserve"> on the previous equation, as follows: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7FB76530" w14:textId="77777777" w:rsidTr="00024DD9">
        <w:trPr>
          <w:tblHeader/>
          <w:jc w:val="center"/>
        </w:trPr>
        <w:tc>
          <w:tcPr>
            <w:tcW w:w="884" w:type="dxa"/>
            <w:tcBorders>
              <w:top w:val="nil"/>
              <w:left w:val="nil"/>
              <w:bottom w:val="single" w:sz="4" w:space="0" w:color="auto"/>
            </w:tcBorders>
            <w:vAlign w:val="center"/>
          </w:tcPr>
          <w:p w14:paraId="5F5EFCDF"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5A17E036"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6101525B"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0AC145A1"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3398D96D"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09D9FD52" w14:textId="77777777" w:rsidR="00CD55F1" w:rsidRPr="005B7BEE" w:rsidRDefault="00CD55F1" w:rsidP="00024DD9">
            <w:pPr>
              <w:jc w:val="center"/>
              <w:rPr>
                <w:sz w:val="14"/>
                <w:szCs w:val="14"/>
              </w:rPr>
            </w:pPr>
            <w:r w:rsidRPr="005B7BEE">
              <w:rPr>
                <w:sz w:val="14"/>
                <w:szCs w:val="14"/>
              </w:rPr>
              <w:t xml:space="preserve">Catastrophic </w:t>
            </w:r>
          </w:p>
          <w:p w14:paraId="0AD7FAA6"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1AB76D33"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09E50E87"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336B1215"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2DA17C95"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27352883"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3D5FEEE6"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245CC812" w14:textId="77777777" w:rsidR="00CD55F1" w:rsidRPr="005B7BEE" w:rsidRDefault="00CD55F1" w:rsidP="00024DD9">
            <w:pPr>
              <w:jc w:val="center"/>
              <w:rPr>
                <w:sz w:val="14"/>
                <w:szCs w:val="14"/>
              </w:rPr>
            </w:pPr>
            <w:r w:rsidRPr="005B7BEE">
              <w:rPr>
                <w:sz w:val="14"/>
                <w:szCs w:val="14"/>
              </w:rPr>
              <w:t xml:space="preserve">Catastrophic </w:t>
            </w:r>
          </w:p>
          <w:p w14:paraId="16741E34"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452632DA" w14:textId="77777777" w:rsidTr="00024DD9">
        <w:trPr>
          <w:jc w:val="center"/>
        </w:trPr>
        <w:tc>
          <w:tcPr>
            <w:tcW w:w="884" w:type="dxa"/>
            <w:tcBorders>
              <w:top w:val="single" w:sz="4" w:space="0" w:color="auto"/>
              <w:right w:val="single" w:sz="12" w:space="0" w:color="auto"/>
            </w:tcBorders>
          </w:tcPr>
          <w:p w14:paraId="39B1DA66"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77144D8C" w14:textId="77777777" w:rsidR="00CD55F1" w:rsidRPr="00F60A9B" w:rsidRDefault="00CD55F1" w:rsidP="00024DD9">
            <w:pPr>
              <w:jc w:val="center"/>
            </w:pPr>
            <w:r>
              <w:t>0</w:t>
            </w:r>
          </w:p>
        </w:tc>
        <w:tc>
          <w:tcPr>
            <w:tcW w:w="668" w:type="dxa"/>
            <w:tcBorders>
              <w:top w:val="single" w:sz="12" w:space="0" w:color="auto"/>
            </w:tcBorders>
            <w:vAlign w:val="center"/>
          </w:tcPr>
          <w:p w14:paraId="60EFF389" w14:textId="77777777" w:rsidR="00CD55F1" w:rsidRPr="00210DD1" w:rsidRDefault="00CD55F1" w:rsidP="00024DD9">
            <w:pPr>
              <w:jc w:val="center"/>
            </w:pPr>
            <w:r>
              <w:t>0</w:t>
            </w:r>
          </w:p>
        </w:tc>
        <w:tc>
          <w:tcPr>
            <w:tcW w:w="680" w:type="dxa"/>
            <w:tcBorders>
              <w:top w:val="single" w:sz="12" w:space="0" w:color="auto"/>
            </w:tcBorders>
            <w:vAlign w:val="center"/>
          </w:tcPr>
          <w:p w14:paraId="705EBC63" w14:textId="77777777" w:rsidR="00CD55F1" w:rsidRPr="00210DD1" w:rsidRDefault="00CD55F1" w:rsidP="00024DD9">
            <w:pPr>
              <w:jc w:val="center"/>
            </w:pPr>
            <w:r>
              <w:t>0</w:t>
            </w:r>
          </w:p>
        </w:tc>
        <w:tc>
          <w:tcPr>
            <w:tcW w:w="628" w:type="dxa"/>
            <w:tcBorders>
              <w:top w:val="single" w:sz="12" w:space="0" w:color="auto"/>
            </w:tcBorders>
            <w:vAlign w:val="center"/>
          </w:tcPr>
          <w:p w14:paraId="7D6E1833" w14:textId="77777777" w:rsidR="00CD55F1" w:rsidRPr="00210DD1" w:rsidRDefault="00CD55F1" w:rsidP="00024DD9">
            <w:pPr>
              <w:jc w:val="center"/>
            </w:pPr>
            <w:r>
              <w:t>0</w:t>
            </w:r>
          </w:p>
        </w:tc>
        <w:tc>
          <w:tcPr>
            <w:tcW w:w="939" w:type="dxa"/>
            <w:tcBorders>
              <w:top w:val="single" w:sz="12" w:space="0" w:color="auto"/>
            </w:tcBorders>
            <w:vAlign w:val="center"/>
          </w:tcPr>
          <w:p w14:paraId="03A34EA6" w14:textId="77777777" w:rsidR="00CD55F1" w:rsidRPr="00F60A9B" w:rsidRDefault="00CD55F1" w:rsidP="00024DD9">
            <w:pPr>
              <w:jc w:val="center"/>
            </w:pPr>
            <w:r>
              <w:t>0</w:t>
            </w:r>
          </w:p>
        </w:tc>
        <w:tc>
          <w:tcPr>
            <w:tcW w:w="287" w:type="dxa"/>
            <w:tcBorders>
              <w:top w:val="nil"/>
              <w:left w:val="nil"/>
              <w:bottom w:val="nil"/>
              <w:right w:val="nil"/>
            </w:tcBorders>
            <w:vAlign w:val="center"/>
          </w:tcPr>
          <w:p w14:paraId="2B0CDBFF" w14:textId="77777777" w:rsidR="00CD55F1" w:rsidRDefault="00CD55F1" w:rsidP="00024DD9">
            <w:pPr>
              <w:jc w:val="center"/>
            </w:pPr>
          </w:p>
        </w:tc>
        <w:tc>
          <w:tcPr>
            <w:tcW w:w="883" w:type="dxa"/>
            <w:tcBorders>
              <w:top w:val="single" w:sz="12" w:space="0" w:color="auto"/>
            </w:tcBorders>
            <w:vAlign w:val="center"/>
          </w:tcPr>
          <w:p w14:paraId="27608720"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3D2CA706" w14:textId="77777777" w:rsidR="00CD55F1" w:rsidRDefault="00CD55F1" w:rsidP="00024DD9">
            <w:pPr>
              <w:jc w:val="center"/>
            </w:pPr>
            <w:r>
              <w:t>0</w:t>
            </w:r>
          </w:p>
        </w:tc>
        <w:tc>
          <w:tcPr>
            <w:tcW w:w="666" w:type="dxa"/>
            <w:tcBorders>
              <w:top w:val="single" w:sz="12" w:space="0" w:color="auto"/>
            </w:tcBorders>
            <w:vAlign w:val="center"/>
          </w:tcPr>
          <w:p w14:paraId="75106732" w14:textId="77777777" w:rsidR="00CD55F1" w:rsidRDefault="00CD55F1" w:rsidP="00024DD9">
            <w:pPr>
              <w:jc w:val="center"/>
            </w:pPr>
            <w:r>
              <w:t>0</w:t>
            </w:r>
          </w:p>
        </w:tc>
        <w:tc>
          <w:tcPr>
            <w:tcW w:w="698" w:type="dxa"/>
            <w:tcBorders>
              <w:top w:val="single" w:sz="12" w:space="0" w:color="auto"/>
            </w:tcBorders>
            <w:vAlign w:val="center"/>
          </w:tcPr>
          <w:p w14:paraId="1153D716" w14:textId="77777777" w:rsidR="00CD55F1" w:rsidRDefault="00CD55F1" w:rsidP="00024DD9">
            <w:pPr>
              <w:jc w:val="center"/>
            </w:pPr>
            <w:r>
              <w:t>0</w:t>
            </w:r>
          </w:p>
        </w:tc>
        <w:tc>
          <w:tcPr>
            <w:tcW w:w="612" w:type="dxa"/>
            <w:tcBorders>
              <w:top w:val="single" w:sz="12" w:space="0" w:color="auto"/>
            </w:tcBorders>
            <w:vAlign w:val="center"/>
          </w:tcPr>
          <w:p w14:paraId="586F2C73" w14:textId="77777777" w:rsidR="00CD55F1" w:rsidRDefault="00CD55F1" w:rsidP="00024DD9">
            <w:pPr>
              <w:jc w:val="center"/>
            </w:pPr>
            <w:r>
              <w:t>0</w:t>
            </w:r>
          </w:p>
        </w:tc>
        <w:tc>
          <w:tcPr>
            <w:tcW w:w="939" w:type="dxa"/>
            <w:tcBorders>
              <w:top w:val="single" w:sz="12" w:space="0" w:color="auto"/>
            </w:tcBorders>
            <w:vAlign w:val="center"/>
          </w:tcPr>
          <w:p w14:paraId="3C09203A" w14:textId="77777777" w:rsidR="00CD55F1" w:rsidRDefault="00CD55F1" w:rsidP="00024DD9">
            <w:pPr>
              <w:jc w:val="center"/>
            </w:pPr>
            <w:r>
              <w:t>0</w:t>
            </w:r>
          </w:p>
        </w:tc>
      </w:tr>
      <w:tr w:rsidR="00CD55F1" w:rsidRPr="00F60A9B" w14:paraId="5A32C88F" w14:textId="77777777" w:rsidTr="00024DD9">
        <w:trPr>
          <w:jc w:val="center"/>
        </w:trPr>
        <w:tc>
          <w:tcPr>
            <w:tcW w:w="884" w:type="dxa"/>
            <w:tcBorders>
              <w:right w:val="single" w:sz="12" w:space="0" w:color="auto"/>
            </w:tcBorders>
          </w:tcPr>
          <w:p w14:paraId="6579B09B"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08791B3B" w14:textId="77777777" w:rsidR="00CD55F1" w:rsidRDefault="00CD55F1" w:rsidP="00024DD9">
            <w:pPr>
              <w:jc w:val="center"/>
            </w:pPr>
            <w:r>
              <w:t>0</w:t>
            </w:r>
          </w:p>
        </w:tc>
        <w:tc>
          <w:tcPr>
            <w:tcW w:w="668" w:type="dxa"/>
            <w:shd w:val="clear" w:color="auto" w:fill="auto"/>
            <w:vAlign w:val="center"/>
          </w:tcPr>
          <w:p w14:paraId="29164FA5" w14:textId="77777777" w:rsidR="00CD55F1" w:rsidRPr="00210DD1" w:rsidRDefault="00CD55F1" w:rsidP="00024DD9">
            <w:pPr>
              <w:jc w:val="center"/>
            </w:pPr>
            <w:r>
              <w:t>0</w:t>
            </w:r>
          </w:p>
        </w:tc>
        <w:tc>
          <w:tcPr>
            <w:tcW w:w="680" w:type="dxa"/>
            <w:vAlign w:val="center"/>
          </w:tcPr>
          <w:p w14:paraId="57FA4308" w14:textId="77777777" w:rsidR="00CD55F1" w:rsidRPr="00210DD1" w:rsidRDefault="00CD55F1" w:rsidP="00024DD9">
            <w:pPr>
              <w:jc w:val="center"/>
            </w:pPr>
            <w:r>
              <w:t>0</w:t>
            </w:r>
          </w:p>
        </w:tc>
        <w:tc>
          <w:tcPr>
            <w:tcW w:w="628" w:type="dxa"/>
            <w:vAlign w:val="center"/>
          </w:tcPr>
          <w:p w14:paraId="36EA7ECC" w14:textId="77777777" w:rsidR="00CD55F1" w:rsidRPr="00210DD1" w:rsidRDefault="00CD55F1" w:rsidP="00024DD9">
            <w:pPr>
              <w:jc w:val="center"/>
            </w:pPr>
            <w:r>
              <w:t>0</w:t>
            </w:r>
          </w:p>
        </w:tc>
        <w:tc>
          <w:tcPr>
            <w:tcW w:w="939" w:type="dxa"/>
            <w:vAlign w:val="center"/>
          </w:tcPr>
          <w:p w14:paraId="5D0F195F" w14:textId="77777777" w:rsidR="00CD55F1" w:rsidRDefault="00CD55F1" w:rsidP="00024DD9">
            <w:pPr>
              <w:jc w:val="center"/>
            </w:pPr>
            <w:r>
              <w:t>0</w:t>
            </w:r>
          </w:p>
        </w:tc>
        <w:tc>
          <w:tcPr>
            <w:tcW w:w="287" w:type="dxa"/>
            <w:tcBorders>
              <w:top w:val="nil"/>
              <w:left w:val="nil"/>
              <w:bottom w:val="nil"/>
              <w:right w:val="nil"/>
            </w:tcBorders>
            <w:vAlign w:val="center"/>
          </w:tcPr>
          <w:p w14:paraId="274D335F" w14:textId="77777777" w:rsidR="00CD55F1" w:rsidRDefault="00CD55F1" w:rsidP="00024DD9">
            <w:pPr>
              <w:jc w:val="center"/>
            </w:pPr>
          </w:p>
        </w:tc>
        <w:tc>
          <w:tcPr>
            <w:tcW w:w="883" w:type="dxa"/>
            <w:vAlign w:val="center"/>
          </w:tcPr>
          <w:p w14:paraId="57B87F87" w14:textId="77777777" w:rsidR="00CD55F1" w:rsidRPr="005B7BEE" w:rsidRDefault="00CD55F1" w:rsidP="00024DD9">
            <w:pPr>
              <w:jc w:val="center"/>
              <w:rPr>
                <w:sz w:val="14"/>
                <w:szCs w:val="14"/>
              </w:rPr>
            </w:pPr>
            <w:r>
              <w:rPr>
                <w:sz w:val="14"/>
                <w:szCs w:val="14"/>
              </w:rPr>
              <w:t>Often</w:t>
            </w:r>
          </w:p>
        </w:tc>
        <w:tc>
          <w:tcPr>
            <w:tcW w:w="783" w:type="dxa"/>
            <w:vAlign w:val="center"/>
          </w:tcPr>
          <w:p w14:paraId="5C014AD6" w14:textId="77777777" w:rsidR="00CD55F1" w:rsidRDefault="00CD55F1" w:rsidP="00024DD9">
            <w:pPr>
              <w:jc w:val="center"/>
            </w:pPr>
            <w:r>
              <w:t>0</w:t>
            </w:r>
          </w:p>
        </w:tc>
        <w:tc>
          <w:tcPr>
            <w:tcW w:w="666" w:type="dxa"/>
            <w:vAlign w:val="center"/>
          </w:tcPr>
          <w:p w14:paraId="38A0EA0E" w14:textId="77777777" w:rsidR="00CD55F1" w:rsidRPr="00210DD1" w:rsidRDefault="00CD55F1" w:rsidP="00024DD9">
            <w:pPr>
              <w:jc w:val="center"/>
            </w:pPr>
            <w:r>
              <w:t>0</w:t>
            </w:r>
          </w:p>
        </w:tc>
        <w:tc>
          <w:tcPr>
            <w:tcW w:w="698" w:type="dxa"/>
            <w:vAlign w:val="center"/>
          </w:tcPr>
          <w:p w14:paraId="103FEDA9" w14:textId="77777777" w:rsidR="00CD55F1" w:rsidRPr="00210DD1" w:rsidRDefault="00CD55F1" w:rsidP="00024DD9">
            <w:pPr>
              <w:jc w:val="center"/>
            </w:pPr>
            <w:r>
              <w:t>0</w:t>
            </w:r>
          </w:p>
        </w:tc>
        <w:tc>
          <w:tcPr>
            <w:tcW w:w="612" w:type="dxa"/>
            <w:vAlign w:val="center"/>
          </w:tcPr>
          <w:p w14:paraId="7F8D2650" w14:textId="77777777" w:rsidR="00CD55F1" w:rsidRPr="00210DD1" w:rsidRDefault="00CD55F1" w:rsidP="00024DD9">
            <w:pPr>
              <w:jc w:val="center"/>
            </w:pPr>
            <w:r>
              <w:t>0</w:t>
            </w:r>
          </w:p>
        </w:tc>
        <w:tc>
          <w:tcPr>
            <w:tcW w:w="939" w:type="dxa"/>
            <w:vAlign w:val="center"/>
          </w:tcPr>
          <w:p w14:paraId="6503B48F" w14:textId="77777777" w:rsidR="00CD55F1" w:rsidRDefault="00CD55F1" w:rsidP="00024DD9">
            <w:pPr>
              <w:jc w:val="center"/>
            </w:pPr>
            <w:r>
              <w:t>0</w:t>
            </w:r>
          </w:p>
        </w:tc>
      </w:tr>
      <w:tr w:rsidR="00CD55F1" w:rsidRPr="00F60A9B" w14:paraId="399D2968" w14:textId="77777777" w:rsidTr="00024DD9">
        <w:trPr>
          <w:jc w:val="center"/>
        </w:trPr>
        <w:tc>
          <w:tcPr>
            <w:tcW w:w="884" w:type="dxa"/>
            <w:tcBorders>
              <w:right w:val="single" w:sz="12" w:space="0" w:color="auto"/>
            </w:tcBorders>
          </w:tcPr>
          <w:p w14:paraId="69450464"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17C6667E" w14:textId="77777777" w:rsidR="00CD55F1" w:rsidRDefault="00CD55F1" w:rsidP="00024DD9">
            <w:pPr>
              <w:jc w:val="center"/>
            </w:pPr>
            <w:r>
              <w:t>0</w:t>
            </w:r>
          </w:p>
        </w:tc>
        <w:tc>
          <w:tcPr>
            <w:tcW w:w="668" w:type="dxa"/>
            <w:shd w:val="clear" w:color="auto" w:fill="auto"/>
            <w:vAlign w:val="center"/>
          </w:tcPr>
          <w:p w14:paraId="3156B469"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653E24E" w14:textId="77777777" w:rsidR="00CD55F1" w:rsidRPr="00210DD1" w:rsidRDefault="00CD55F1" w:rsidP="00024DD9">
            <w:pPr>
              <w:jc w:val="center"/>
            </w:pPr>
            <w:r w:rsidRPr="00F60A9B">
              <w:rPr>
                <w:rFonts w:ascii="Calibri" w:hAnsi="Calibri" w:cs="Calibri"/>
              </w:rPr>
              <w:t>3</w:t>
            </w:r>
          </w:p>
        </w:tc>
        <w:tc>
          <w:tcPr>
            <w:tcW w:w="628" w:type="dxa"/>
            <w:shd w:val="clear" w:color="auto" w:fill="auto"/>
            <w:vAlign w:val="center"/>
          </w:tcPr>
          <w:p w14:paraId="3B1DB316"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7D6C2A48"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399EFD73" w14:textId="77777777" w:rsidR="00CD55F1" w:rsidRDefault="00CD55F1" w:rsidP="00024DD9">
            <w:pPr>
              <w:jc w:val="center"/>
            </w:pPr>
          </w:p>
        </w:tc>
        <w:tc>
          <w:tcPr>
            <w:tcW w:w="883" w:type="dxa"/>
            <w:shd w:val="clear" w:color="auto" w:fill="auto"/>
            <w:vAlign w:val="center"/>
          </w:tcPr>
          <w:p w14:paraId="236DF0D5"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4BBCDCDE" w14:textId="77777777" w:rsidR="00CD55F1" w:rsidRDefault="00CD55F1" w:rsidP="00024DD9">
            <w:pPr>
              <w:jc w:val="center"/>
            </w:pPr>
            <w:r>
              <w:rPr>
                <w:rFonts w:ascii="Calibri" w:hAnsi="Calibri" w:cs="Calibri"/>
              </w:rPr>
              <w:t>0</w:t>
            </w:r>
          </w:p>
        </w:tc>
        <w:tc>
          <w:tcPr>
            <w:tcW w:w="666" w:type="dxa"/>
            <w:vAlign w:val="center"/>
          </w:tcPr>
          <w:p w14:paraId="2772010C" w14:textId="77777777" w:rsidR="00CD55F1" w:rsidRPr="00210DD1" w:rsidRDefault="00CD55F1" w:rsidP="00024DD9">
            <w:pPr>
              <w:jc w:val="center"/>
            </w:pPr>
            <w:r>
              <w:rPr>
                <w:rFonts w:ascii="Calibri" w:hAnsi="Calibri" w:cs="Calibri"/>
              </w:rPr>
              <w:t>3</w:t>
            </w:r>
          </w:p>
        </w:tc>
        <w:tc>
          <w:tcPr>
            <w:tcW w:w="698" w:type="dxa"/>
            <w:vAlign w:val="center"/>
          </w:tcPr>
          <w:p w14:paraId="5B9EFF60" w14:textId="77777777" w:rsidR="00CD55F1" w:rsidRPr="00210DD1" w:rsidRDefault="00CD55F1" w:rsidP="00024DD9">
            <w:pPr>
              <w:jc w:val="center"/>
            </w:pPr>
            <w:r w:rsidRPr="00F60A9B">
              <w:rPr>
                <w:rFonts w:ascii="Calibri" w:hAnsi="Calibri" w:cs="Calibri"/>
              </w:rPr>
              <w:t>0</w:t>
            </w:r>
          </w:p>
        </w:tc>
        <w:tc>
          <w:tcPr>
            <w:tcW w:w="612" w:type="dxa"/>
            <w:vAlign w:val="center"/>
          </w:tcPr>
          <w:p w14:paraId="7DB7F3CB" w14:textId="77777777" w:rsidR="00CD55F1" w:rsidRPr="00210DD1" w:rsidRDefault="00CD55F1" w:rsidP="00024DD9">
            <w:pPr>
              <w:jc w:val="center"/>
            </w:pPr>
            <w:r w:rsidRPr="00F60A9B">
              <w:rPr>
                <w:rFonts w:ascii="Calibri" w:hAnsi="Calibri" w:cs="Calibri"/>
              </w:rPr>
              <w:t>0</w:t>
            </w:r>
          </w:p>
        </w:tc>
        <w:tc>
          <w:tcPr>
            <w:tcW w:w="939" w:type="dxa"/>
            <w:vAlign w:val="center"/>
          </w:tcPr>
          <w:p w14:paraId="15109E7F" w14:textId="77777777" w:rsidR="00CD55F1" w:rsidRDefault="00CD55F1" w:rsidP="00024DD9">
            <w:pPr>
              <w:jc w:val="center"/>
            </w:pPr>
            <w:r w:rsidRPr="00F60A9B">
              <w:rPr>
                <w:rFonts w:ascii="Calibri" w:hAnsi="Calibri" w:cs="Calibri"/>
              </w:rPr>
              <w:t>0</w:t>
            </w:r>
          </w:p>
        </w:tc>
      </w:tr>
      <w:tr w:rsidR="00CD55F1" w:rsidRPr="00F60A9B" w14:paraId="64534A8A" w14:textId="77777777" w:rsidTr="00024DD9">
        <w:trPr>
          <w:jc w:val="center"/>
        </w:trPr>
        <w:tc>
          <w:tcPr>
            <w:tcW w:w="884" w:type="dxa"/>
            <w:tcBorders>
              <w:right w:val="single" w:sz="12" w:space="0" w:color="auto"/>
            </w:tcBorders>
          </w:tcPr>
          <w:p w14:paraId="5D4A4841"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05C2DEC7" w14:textId="77777777" w:rsidR="00CD55F1" w:rsidRPr="00F60A9B" w:rsidRDefault="00CD55F1" w:rsidP="00024DD9">
            <w:pPr>
              <w:jc w:val="center"/>
            </w:pPr>
            <w:r>
              <w:t>0</w:t>
            </w:r>
          </w:p>
        </w:tc>
        <w:tc>
          <w:tcPr>
            <w:tcW w:w="668" w:type="dxa"/>
            <w:shd w:val="clear" w:color="auto" w:fill="D9E2F3" w:themeFill="accent1" w:themeFillTint="33"/>
            <w:vAlign w:val="center"/>
          </w:tcPr>
          <w:p w14:paraId="1FE920C2" w14:textId="77777777" w:rsidR="00CD55F1" w:rsidRPr="00210DD1" w:rsidRDefault="00CD55F1" w:rsidP="00024DD9">
            <w:pPr>
              <w:jc w:val="center"/>
            </w:pPr>
            <w:r>
              <w:rPr>
                <w:rFonts w:ascii="Calibri" w:hAnsi="Calibri" w:cs="Calibri"/>
              </w:rPr>
              <w:t>1-1 = 0</w:t>
            </w:r>
          </w:p>
        </w:tc>
        <w:tc>
          <w:tcPr>
            <w:tcW w:w="680" w:type="dxa"/>
            <w:shd w:val="clear" w:color="auto" w:fill="auto"/>
            <w:vAlign w:val="center"/>
          </w:tcPr>
          <w:p w14:paraId="4D9A6940" w14:textId="77777777" w:rsidR="00CD55F1" w:rsidRPr="00210DD1" w:rsidRDefault="00CD55F1" w:rsidP="00024DD9">
            <w:pPr>
              <w:jc w:val="center"/>
            </w:pPr>
            <w:r>
              <w:rPr>
                <w:rFonts w:ascii="Calibri" w:hAnsi="Calibri" w:cs="Calibri"/>
              </w:rPr>
              <w:t>2</w:t>
            </w:r>
          </w:p>
        </w:tc>
        <w:tc>
          <w:tcPr>
            <w:tcW w:w="628" w:type="dxa"/>
            <w:shd w:val="clear" w:color="auto" w:fill="auto"/>
            <w:vAlign w:val="center"/>
          </w:tcPr>
          <w:p w14:paraId="37C48D9F"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0A79F0A5" w14:textId="77777777" w:rsidR="00CD55F1" w:rsidRPr="00F60A9B" w:rsidRDefault="00CD55F1" w:rsidP="00024DD9">
            <w:pPr>
              <w:jc w:val="center"/>
            </w:pPr>
            <w:r w:rsidRPr="00F60A9B">
              <w:rPr>
                <w:rFonts w:ascii="Calibri" w:hAnsi="Calibri" w:cs="Calibri"/>
              </w:rPr>
              <w:t>1</w:t>
            </w:r>
          </w:p>
        </w:tc>
        <w:tc>
          <w:tcPr>
            <w:tcW w:w="287" w:type="dxa"/>
            <w:tcBorders>
              <w:top w:val="nil"/>
              <w:left w:val="nil"/>
              <w:bottom w:val="nil"/>
              <w:right w:val="nil"/>
            </w:tcBorders>
            <w:shd w:val="clear" w:color="auto" w:fill="auto"/>
            <w:tcMar>
              <w:left w:w="58" w:type="dxa"/>
              <w:right w:w="115" w:type="dxa"/>
            </w:tcMar>
            <w:vAlign w:val="center"/>
          </w:tcPr>
          <w:p w14:paraId="0311A24B"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568BBB23" w14:textId="77777777" w:rsidR="00CD55F1" w:rsidRDefault="00CD55F1" w:rsidP="00024DD9">
            <w:pPr>
              <w:jc w:val="center"/>
            </w:pPr>
            <w:r w:rsidRPr="005B7BEE">
              <w:rPr>
                <w:sz w:val="14"/>
                <w:szCs w:val="14"/>
              </w:rPr>
              <w:t>Probable</w:t>
            </w:r>
          </w:p>
        </w:tc>
        <w:tc>
          <w:tcPr>
            <w:tcW w:w="783" w:type="dxa"/>
            <w:shd w:val="clear" w:color="auto" w:fill="auto"/>
            <w:vAlign w:val="center"/>
          </w:tcPr>
          <w:p w14:paraId="499707C8" w14:textId="77777777" w:rsidR="00CD55F1" w:rsidRDefault="00CD55F1" w:rsidP="00024DD9">
            <w:pPr>
              <w:jc w:val="center"/>
            </w:pPr>
            <w:r>
              <w:rPr>
                <w:rFonts w:ascii="Calibri" w:hAnsi="Calibri" w:cs="Calibri"/>
              </w:rPr>
              <w:t>1</w:t>
            </w:r>
          </w:p>
        </w:tc>
        <w:tc>
          <w:tcPr>
            <w:tcW w:w="666" w:type="dxa"/>
            <w:shd w:val="clear" w:color="auto" w:fill="D9E2F3" w:themeFill="accent1" w:themeFillTint="33"/>
            <w:vAlign w:val="center"/>
          </w:tcPr>
          <w:p w14:paraId="42125ADF" w14:textId="77777777" w:rsidR="00CD55F1" w:rsidRDefault="00CD55F1" w:rsidP="00024DD9">
            <w:pPr>
              <w:jc w:val="center"/>
            </w:pPr>
            <w:r>
              <w:rPr>
                <w:rFonts w:ascii="Calibri" w:hAnsi="Calibri" w:cs="Calibri"/>
              </w:rPr>
              <w:t>2-1 = 1</w:t>
            </w:r>
          </w:p>
        </w:tc>
        <w:tc>
          <w:tcPr>
            <w:tcW w:w="698" w:type="dxa"/>
            <w:vAlign w:val="center"/>
          </w:tcPr>
          <w:p w14:paraId="55350756" w14:textId="77777777" w:rsidR="00CD55F1" w:rsidRDefault="00CD55F1" w:rsidP="00024DD9">
            <w:pPr>
              <w:jc w:val="center"/>
            </w:pPr>
            <w:r>
              <w:rPr>
                <w:rFonts w:ascii="Calibri" w:hAnsi="Calibri" w:cs="Calibri"/>
              </w:rPr>
              <w:t>0</w:t>
            </w:r>
          </w:p>
        </w:tc>
        <w:tc>
          <w:tcPr>
            <w:tcW w:w="612" w:type="dxa"/>
            <w:vAlign w:val="center"/>
          </w:tcPr>
          <w:p w14:paraId="6E673E6A" w14:textId="77777777" w:rsidR="00CD55F1" w:rsidRDefault="00CD55F1" w:rsidP="00024DD9">
            <w:pPr>
              <w:jc w:val="center"/>
            </w:pPr>
            <w:r w:rsidRPr="00F60A9B">
              <w:rPr>
                <w:rFonts w:ascii="Calibri" w:hAnsi="Calibri" w:cs="Calibri"/>
              </w:rPr>
              <w:t>1</w:t>
            </w:r>
          </w:p>
        </w:tc>
        <w:tc>
          <w:tcPr>
            <w:tcW w:w="939" w:type="dxa"/>
            <w:vAlign w:val="center"/>
          </w:tcPr>
          <w:p w14:paraId="09D24FFD" w14:textId="77777777" w:rsidR="00CD55F1" w:rsidRDefault="00CD55F1" w:rsidP="00024DD9">
            <w:pPr>
              <w:jc w:val="center"/>
            </w:pPr>
            <w:r w:rsidRPr="00F60A9B">
              <w:rPr>
                <w:rFonts w:ascii="Calibri" w:hAnsi="Calibri" w:cs="Calibri"/>
              </w:rPr>
              <w:t>0</w:t>
            </w:r>
          </w:p>
        </w:tc>
      </w:tr>
      <w:tr w:rsidR="00CD55F1" w:rsidRPr="00F60A9B" w14:paraId="522C3EE1" w14:textId="77777777" w:rsidTr="00024DD9">
        <w:trPr>
          <w:jc w:val="center"/>
        </w:trPr>
        <w:tc>
          <w:tcPr>
            <w:tcW w:w="884" w:type="dxa"/>
            <w:tcBorders>
              <w:right w:val="single" w:sz="12" w:space="0" w:color="auto"/>
            </w:tcBorders>
          </w:tcPr>
          <w:p w14:paraId="6A5F81B9"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6D007E21"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46F3B5B8"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0E8F25E5"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4AD71B3" w14:textId="77777777" w:rsidR="00CD55F1" w:rsidRPr="00210DD1" w:rsidRDefault="00CD55F1" w:rsidP="00024DD9">
            <w:pPr>
              <w:jc w:val="center"/>
            </w:pPr>
            <w:r>
              <w:t>2</w:t>
            </w:r>
          </w:p>
        </w:tc>
        <w:tc>
          <w:tcPr>
            <w:tcW w:w="939" w:type="dxa"/>
            <w:shd w:val="clear" w:color="auto" w:fill="auto"/>
            <w:vAlign w:val="center"/>
          </w:tcPr>
          <w:p w14:paraId="2CEF99A6" w14:textId="77777777" w:rsidR="00CD55F1" w:rsidRPr="00F60A9B"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7EE642ED" w14:textId="77777777" w:rsidR="00CD55F1" w:rsidRDefault="00CD55F1" w:rsidP="00024DD9">
            <w:pPr>
              <w:jc w:val="center"/>
            </w:pPr>
          </w:p>
        </w:tc>
        <w:tc>
          <w:tcPr>
            <w:tcW w:w="883" w:type="dxa"/>
            <w:shd w:val="clear" w:color="auto" w:fill="auto"/>
            <w:vAlign w:val="center"/>
          </w:tcPr>
          <w:p w14:paraId="62A28531" w14:textId="77777777" w:rsidR="00CD55F1" w:rsidRDefault="00CD55F1" w:rsidP="00024DD9">
            <w:pPr>
              <w:jc w:val="center"/>
            </w:pPr>
            <w:r w:rsidRPr="005B7BEE">
              <w:rPr>
                <w:sz w:val="14"/>
                <w:szCs w:val="14"/>
              </w:rPr>
              <w:t>Occasional</w:t>
            </w:r>
          </w:p>
        </w:tc>
        <w:tc>
          <w:tcPr>
            <w:tcW w:w="783" w:type="dxa"/>
            <w:shd w:val="clear" w:color="auto" w:fill="auto"/>
            <w:vAlign w:val="center"/>
          </w:tcPr>
          <w:p w14:paraId="0FDC95D3" w14:textId="77777777" w:rsidR="00CD55F1" w:rsidRDefault="00CD55F1" w:rsidP="00024DD9">
            <w:pPr>
              <w:jc w:val="center"/>
            </w:pPr>
            <w:r>
              <w:rPr>
                <w:rFonts w:ascii="Calibri" w:hAnsi="Calibri" w:cs="Calibri"/>
              </w:rPr>
              <w:t>1</w:t>
            </w:r>
          </w:p>
        </w:tc>
        <w:tc>
          <w:tcPr>
            <w:tcW w:w="666" w:type="dxa"/>
            <w:shd w:val="clear" w:color="auto" w:fill="auto"/>
            <w:vAlign w:val="center"/>
          </w:tcPr>
          <w:p w14:paraId="1C6C7E25" w14:textId="77777777" w:rsidR="00CD55F1" w:rsidRDefault="00CD55F1" w:rsidP="00024DD9">
            <w:pPr>
              <w:jc w:val="center"/>
            </w:pPr>
            <w:r>
              <w:rPr>
                <w:rFonts w:ascii="Calibri" w:hAnsi="Calibri" w:cs="Calibri"/>
              </w:rPr>
              <w:t>0</w:t>
            </w:r>
          </w:p>
        </w:tc>
        <w:tc>
          <w:tcPr>
            <w:tcW w:w="698" w:type="dxa"/>
            <w:vAlign w:val="center"/>
          </w:tcPr>
          <w:p w14:paraId="093017A7" w14:textId="77777777" w:rsidR="00CD55F1" w:rsidRDefault="00CD55F1" w:rsidP="00024DD9">
            <w:pPr>
              <w:jc w:val="center"/>
            </w:pPr>
            <w:r>
              <w:rPr>
                <w:rFonts w:ascii="Calibri" w:hAnsi="Calibri" w:cs="Calibri"/>
              </w:rPr>
              <w:t>0</w:t>
            </w:r>
          </w:p>
        </w:tc>
        <w:tc>
          <w:tcPr>
            <w:tcW w:w="612" w:type="dxa"/>
            <w:vAlign w:val="center"/>
          </w:tcPr>
          <w:p w14:paraId="15081CB7" w14:textId="77777777" w:rsidR="00CD55F1" w:rsidRDefault="00CD55F1" w:rsidP="00024DD9">
            <w:pPr>
              <w:jc w:val="center"/>
            </w:pPr>
            <w:r>
              <w:rPr>
                <w:rFonts w:ascii="Calibri" w:hAnsi="Calibri" w:cs="Calibri"/>
              </w:rPr>
              <w:t>0</w:t>
            </w:r>
          </w:p>
        </w:tc>
        <w:tc>
          <w:tcPr>
            <w:tcW w:w="939" w:type="dxa"/>
            <w:vAlign w:val="center"/>
          </w:tcPr>
          <w:p w14:paraId="7342510C" w14:textId="77777777" w:rsidR="00CD55F1" w:rsidRDefault="00CD55F1" w:rsidP="00024DD9">
            <w:pPr>
              <w:jc w:val="center"/>
            </w:pPr>
            <w:r w:rsidRPr="00F60A9B">
              <w:rPr>
                <w:rFonts w:ascii="Calibri" w:hAnsi="Calibri" w:cs="Calibri"/>
              </w:rPr>
              <w:t>1</w:t>
            </w:r>
          </w:p>
        </w:tc>
      </w:tr>
      <w:tr w:rsidR="00CD55F1" w:rsidRPr="00F60A9B" w14:paraId="7459926B" w14:textId="77777777" w:rsidTr="00024DD9">
        <w:trPr>
          <w:jc w:val="center"/>
        </w:trPr>
        <w:tc>
          <w:tcPr>
            <w:tcW w:w="884" w:type="dxa"/>
            <w:tcBorders>
              <w:right w:val="single" w:sz="12" w:space="0" w:color="auto"/>
            </w:tcBorders>
          </w:tcPr>
          <w:p w14:paraId="067531F5"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590A2CEA" w14:textId="77777777" w:rsidR="00CD55F1" w:rsidRPr="00F60A9B" w:rsidRDefault="00CD55F1" w:rsidP="00024DD9">
            <w:pPr>
              <w:jc w:val="center"/>
            </w:pPr>
            <w:r>
              <w:rPr>
                <w:rFonts w:ascii="Calibri" w:hAnsi="Calibri" w:cs="Calibri"/>
              </w:rPr>
              <w:t>3</w:t>
            </w:r>
          </w:p>
        </w:tc>
        <w:tc>
          <w:tcPr>
            <w:tcW w:w="668" w:type="dxa"/>
            <w:vAlign w:val="center"/>
          </w:tcPr>
          <w:p w14:paraId="7669ED9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58CC98DD"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C113C6A"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7C477816"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5CD6CC11" w14:textId="77777777" w:rsidR="00CD55F1" w:rsidRDefault="00CD55F1" w:rsidP="00024DD9">
            <w:pPr>
              <w:jc w:val="center"/>
            </w:pPr>
          </w:p>
        </w:tc>
        <w:tc>
          <w:tcPr>
            <w:tcW w:w="883" w:type="dxa"/>
            <w:shd w:val="clear" w:color="auto" w:fill="auto"/>
            <w:vAlign w:val="center"/>
          </w:tcPr>
          <w:p w14:paraId="375F8D8E" w14:textId="77777777" w:rsidR="00CD55F1" w:rsidRDefault="00CD55F1" w:rsidP="00024DD9">
            <w:pPr>
              <w:jc w:val="center"/>
            </w:pPr>
            <w:r w:rsidRPr="005B7BEE">
              <w:rPr>
                <w:sz w:val="14"/>
                <w:szCs w:val="14"/>
              </w:rPr>
              <w:t>Remote</w:t>
            </w:r>
          </w:p>
        </w:tc>
        <w:tc>
          <w:tcPr>
            <w:tcW w:w="783" w:type="dxa"/>
            <w:shd w:val="clear" w:color="auto" w:fill="auto"/>
            <w:vAlign w:val="center"/>
          </w:tcPr>
          <w:p w14:paraId="67C65135" w14:textId="77777777" w:rsidR="00CD55F1" w:rsidRDefault="00CD55F1" w:rsidP="00024DD9">
            <w:pPr>
              <w:jc w:val="center"/>
            </w:pPr>
            <w:r>
              <w:rPr>
                <w:rFonts w:ascii="Calibri" w:hAnsi="Calibri" w:cs="Calibri"/>
              </w:rPr>
              <w:t>0</w:t>
            </w:r>
          </w:p>
        </w:tc>
        <w:tc>
          <w:tcPr>
            <w:tcW w:w="666" w:type="dxa"/>
            <w:shd w:val="clear" w:color="auto" w:fill="auto"/>
            <w:vAlign w:val="center"/>
          </w:tcPr>
          <w:p w14:paraId="3E26492D" w14:textId="77777777" w:rsidR="00CD55F1" w:rsidRDefault="00CD55F1" w:rsidP="00024DD9">
            <w:pPr>
              <w:jc w:val="center"/>
            </w:pPr>
            <w:r>
              <w:rPr>
                <w:rFonts w:ascii="Calibri" w:hAnsi="Calibri" w:cs="Calibri"/>
              </w:rPr>
              <w:t>2</w:t>
            </w:r>
          </w:p>
        </w:tc>
        <w:tc>
          <w:tcPr>
            <w:tcW w:w="698" w:type="dxa"/>
            <w:shd w:val="clear" w:color="auto" w:fill="auto"/>
            <w:vAlign w:val="center"/>
          </w:tcPr>
          <w:p w14:paraId="5DD224E7" w14:textId="77777777" w:rsidR="00CD55F1" w:rsidRDefault="00CD55F1" w:rsidP="00024DD9">
            <w:pPr>
              <w:jc w:val="center"/>
            </w:pPr>
            <w:r>
              <w:rPr>
                <w:rFonts w:ascii="Calibri" w:hAnsi="Calibri" w:cs="Calibri"/>
              </w:rPr>
              <w:t>0</w:t>
            </w:r>
          </w:p>
        </w:tc>
        <w:tc>
          <w:tcPr>
            <w:tcW w:w="612" w:type="dxa"/>
            <w:shd w:val="clear" w:color="auto" w:fill="auto"/>
            <w:vAlign w:val="center"/>
          </w:tcPr>
          <w:p w14:paraId="61DE9EC9" w14:textId="77777777" w:rsidR="00CD55F1" w:rsidRDefault="00CD55F1" w:rsidP="00024DD9">
            <w:pPr>
              <w:jc w:val="center"/>
            </w:pPr>
            <w:r>
              <w:rPr>
                <w:rFonts w:ascii="Calibri" w:hAnsi="Calibri" w:cs="Calibri"/>
              </w:rPr>
              <w:t>0</w:t>
            </w:r>
          </w:p>
        </w:tc>
        <w:tc>
          <w:tcPr>
            <w:tcW w:w="939" w:type="dxa"/>
            <w:shd w:val="clear" w:color="auto" w:fill="auto"/>
            <w:vAlign w:val="center"/>
          </w:tcPr>
          <w:p w14:paraId="347E824D" w14:textId="77777777" w:rsidR="00CD55F1" w:rsidRDefault="00CD55F1" w:rsidP="00024DD9">
            <w:pPr>
              <w:jc w:val="center"/>
            </w:pPr>
            <w:r>
              <w:rPr>
                <w:rFonts w:ascii="Calibri" w:hAnsi="Calibri" w:cs="Calibri"/>
              </w:rPr>
              <w:t>0</w:t>
            </w:r>
          </w:p>
        </w:tc>
      </w:tr>
      <w:tr w:rsidR="00CD55F1" w:rsidRPr="00F60A9B" w14:paraId="2E2C8200" w14:textId="77777777" w:rsidTr="00024DD9">
        <w:trPr>
          <w:jc w:val="center"/>
        </w:trPr>
        <w:tc>
          <w:tcPr>
            <w:tcW w:w="884" w:type="dxa"/>
            <w:tcBorders>
              <w:right w:val="single" w:sz="12" w:space="0" w:color="auto"/>
            </w:tcBorders>
          </w:tcPr>
          <w:p w14:paraId="2B5319E5"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2E1525F5" w14:textId="77777777" w:rsidR="00CD55F1" w:rsidRPr="00F60A9B" w:rsidRDefault="00CD55F1" w:rsidP="00024DD9">
            <w:pPr>
              <w:jc w:val="center"/>
            </w:pPr>
            <w:r>
              <w:rPr>
                <w:rFonts w:ascii="Calibri" w:hAnsi="Calibri" w:cs="Calibri"/>
              </w:rPr>
              <w:t>0</w:t>
            </w:r>
          </w:p>
        </w:tc>
        <w:tc>
          <w:tcPr>
            <w:tcW w:w="668" w:type="dxa"/>
            <w:vAlign w:val="center"/>
          </w:tcPr>
          <w:p w14:paraId="7C5DF195"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B09C93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178B546"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0ECEE8B1"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32C192DD" w14:textId="77777777" w:rsidR="00CD55F1" w:rsidRDefault="00CD55F1" w:rsidP="00024DD9">
            <w:pPr>
              <w:keepNext/>
              <w:jc w:val="center"/>
            </w:pPr>
          </w:p>
        </w:tc>
        <w:tc>
          <w:tcPr>
            <w:tcW w:w="883" w:type="dxa"/>
            <w:vAlign w:val="center"/>
          </w:tcPr>
          <w:p w14:paraId="472BEEFB" w14:textId="77777777" w:rsidR="00CD55F1" w:rsidRDefault="00CD55F1" w:rsidP="00024DD9">
            <w:pPr>
              <w:keepNext/>
              <w:jc w:val="center"/>
            </w:pPr>
            <w:r w:rsidRPr="005B7BEE">
              <w:rPr>
                <w:sz w:val="14"/>
                <w:szCs w:val="14"/>
              </w:rPr>
              <w:t>Improbable</w:t>
            </w:r>
          </w:p>
        </w:tc>
        <w:tc>
          <w:tcPr>
            <w:tcW w:w="783" w:type="dxa"/>
            <w:vAlign w:val="center"/>
          </w:tcPr>
          <w:p w14:paraId="7B7BE856" w14:textId="77777777" w:rsidR="00CD55F1" w:rsidRDefault="00CD55F1" w:rsidP="00024DD9">
            <w:pPr>
              <w:keepNext/>
              <w:jc w:val="center"/>
            </w:pPr>
            <w:r>
              <w:rPr>
                <w:rFonts w:ascii="Calibri" w:hAnsi="Calibri" w:cs="Calibri"/>
              </w:rPr>
              <w:t>0</w:t>
            </w:r>
          </w:p>
        </w:tc>
        <w:tc>
          <w:tcPr>
            <w:tcW w:w="666" w:type="dxa"/>
            <w:vAlign w:val="center"/>
          </w:tcPr>
          <w:p w14:paraId="5B8D28F8" w14:textId="77777777" w:rsidR="00CD55F1" w:rsidRDefault="00CD55F1" w:rsidP="00024DD9">
            <w:pPr>
              <w:keepNext/>
              <w:jc w:val="center"/>
            </w:pPr>
            <w:r>
              <w:rPr>
                <w:rFonts w:ascii="Calibri" w:hAnsi="Calibri" w:cs="Calibri"/>
              </w:rPr>
              <w:t>1</w:t>
            </w:r>
          </w:p>
        </w:tc>
        <w:tc>
          <w:tcPr>
            <w:tcW w:w="698" w:type="dxa"/>
            <w:vAlign w:val="center"/>
          </w:tcPr>
          <w:p w14:paraId="5169AA81"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5DBEECBB" w14:textId="77777777" w:rsidR="00CD55F1" w:rsidRDefault="00CD55F1" w:rsidP="00024DD9">
            <w:pPr>
              <w:keepNext/>
              <w:jc w:val="center"/>
            </w:pPr>
            <w:r>
              <w:rPr>
                <w:rFonts w:ascii="Calibri" w:hAnsi="Calibri" w:cs="Calibri"/>
              </w:rPr>
              <w:t>0</w:t>
            </w:r>
          </w:p>
        </w:tc>
        <w:tc>
          <w:tcPr>
            <w:tcW w:w="939" w:type="dxa"/>
            <w:vAlign w:val="center"/>
          </w:tcPr>
          <w:p w14:paraId="008CA1EC" w14:textId="77777777" w:rsidR="00CD55F1" w:rsidRDefault="00CD55F1" w:rsidP="00024DD9">
            <w:pPr>
              <w:keepNext/>
              <w:jc w:val="center"/>
            </w:pPr>
            <w:r w:rsidRPr="00F60A9B">
              <w:rPr>
                <w:rFonts w:ascii="Calibri" w:hAnsi="Calibri" w:cs="Calibri"/>
              </w:rPr>
              <w:t>0</w:t>
            </w:r>
          </w:p>
        </w:tc>
      </w:tr>
    </w:tbl>
    <w:p w14:paraId="7C83F45E" w14:textId="55FBD09D" w:rsidR="00CD55F1" w:rsidRDefault="00CD55F1" w:rsidP="00CD55F1">
      <w:pPr>
        <w:pStyle w:val="Caption"/>
        <w:keepNext/>
        <w:tabs>
          <w:tab w:val="center" w:pos="4680"/>
          <w:tab w:val="right" w:pos="9360"/>
        </w:tabs>
        <w:spacing w:before="120"/>
        <w:jc w:val="center"/>
      </w:pPr>
      <w:bookmarkStart w:id="71" w:name="_Ref147835105"/>
      <w:r>
        <w:t xml:space="preserve">Equation </w:t>
      </w:r>
      <w:r>
        <w:fldChar w:fldCharType="begin"/>
      </w:r>
      <w:r>
        <w:instrText xml:space="preserve"> SEQ Equation \* ARABIC </w:instrText>
      </w:r>
      <w:r>
        <w:fldChar w:fldCharType="separate"/>
      </w:r>
      <w:r w:rsidR="003468AE">
        <w:rPr>
          <w:noProof/>
        </w:rPr>
        <w:t>19</w:t>
      </w:r>
      <w:r>
        <w:rPr>
          <w:noProof/>
        </w:rPr>
        <w:fldChar w:fldCharType="end"/>
      </w:r>
      <w:bookmarkEnd w:id="71"/>
    </w:p>
    <w:p w14:paraId="6D42B298" w14:textId="4AC0975D" w:rsidR="00CD55F1" w:rsidRDefault="00CD55F1" w:rsidP="00CD55F1">
      <w:pPr>
        <w:rPr>
          <w:rFonts w:eastAsiaTheme="minorEastAsia"/>
        </w:rPr>
      </w:pPr>
      <w:r>
        <w:rPr>
          <w:rFonts w:eastAsiaTheme="minorEastAsia"/>
        </w:rPr>
        <w:t xml:space="preserve">Now we will combine all three of the ‘risk algebra’ rules to simplify the ‘Catastrophic/Fatal’ risks and then the ‘Critical’ Risks on both sides of </w:t>
      </w:r>
      <w:r>
        <w:rPr>
          <w:rFonts w:eastAsiaTheme="minorEastAsia"/>
        </w:rPr>
        <w:fldChar w:fldCharType="begin"/>
      </w:r>
      <w:r>
        <w:rPr>
          <w:rFonts w:eastAsiaTheme="minorEastAsia"/>
        </w:rPr>
        <w:instrText xml:space="preserve"> REF _Ref147835105 \h </w:instrText>
      </w:r>
      <w:r>
        <w:rPr>
          <w:rFonts w:eastAsiaTheme="minorEastAsia"/>
        </w:rPr>
      </w:r>
      <w:r>
        <w:rPr>
          <w:rFonts w:eastAsiaTheme="minorEastAsia"/>
        </w:rPr>
        <w:fldChar w:fldCharType="separate"/>
      </w:r>
      <w:r w:rsidR="001E41EA">
        <w:t xml:space="preserve">Equation </w:t>
      </w:r>
      <w:r w:rsidR="001E41EA">
        <w:rPr>
          <w:noProof/>
        </w:rPr>
        <w:t>19</w:t>
      </w:r>
      <w:r>
        <w:rPr>
          <w:rFonts w:eastAsiaTheme="minorEastAsia"/>
        </w:rPr>
        <w:fldChar w:fldCharType="end"/>
      </w:r>
      <w:r>
        <w:rPr>
          <w:rFonts w:eastAsiaTheme="minorEastAsia"/>
        </w:rPr>
        <w:t xml:space="preserve">: </w:t>
      </w:r>
    </w:p>
    <w:p w14:paraId="32CA5DCA" w14:textId="50285DFE" w:rsidR="00CD55F1" w:rsidRDefault="00CD55F1">
      <w:pPr>
        <w:pStyle w:val="ListParagraph"/>
        <w:numPr>
          <w:ilvl w:val="0"/>
          <w:numId w:val="27"/>
        </w:numPr>
        <w:rPr>
          <w:rFonts w:eastAsiaTheme="minorEastAsia"/>
        </w:rPr>
      </w:pPr>
      <w:r>
        <w:rPr>
          <w:rFonts w:eastAsiaTheme="minorEastAsia"/>
        </w:rPr>
        <w:t xml:space="preserve">First, we will use </w:t>
      </w:r>
      <w:r w:rsidR="0036794A">
        <w:rPr>
          <w:rFonts w:eastAsiaTheme="minorEastAsia"/>
        </w:rPr>
        <w:fldChar w:fldCharType="begin"/>
      </w:r>
      <w:r w:rsidR="0036794A">
        <w:rPr>
          <w:rFonts w:eastAsiaTheme="minorEastAsia"/>
        </w:rPr>
        <w:instrText xml:space="preserve"> REF _Ref151223378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Moving Repeated Risks</w:t>
      </w:r>
      <w:r w:rsidR="0036794A">
        <w:rPr>
          <w:rFonts w:eastAsiaTheme="minorEastAsia"/>
        </w:rPr>
        <w:fldChar w:fldCharType="end"/>
      </w:r>
      <w:r>
        <w:rPr>
          <w:rFonts w:eastAsiaTheme="minorEastAsia"/>
        </w:rPr>
        <w:t xml:space="preserve"> to the left-hand-side of </w:t>
      </w:r>
      <w:r>
        <w:rPr>
          <w:rFonts w:eastAsiaTheme="minorEastAsia"/>
        </w:rPr>
        <w:fldChar w:fldCharType="begin"/>
      </w:r>
      <w:r>
        <w:rPr>
          <w:rFonts w:eastAsiaTheme="minorEastAsia"/>
        </w:rPr>
        <w:instrText xml:space="preserve"> REF _Ref147835105 \h </w:instrText>
      </w:r>
      <w:r>
        <w:rPr>
          <w:rFonts w:eastAsiaTheme="minorEastAsia"/>
        </w:rPr>
      </w:r>
      <w:r>
        <w:rPr>
          <w:rFonts w:eastAsiaTheme="minorEastAsia"/>
        </w:rPr>
        <w:fldChar w:fldCharType="separate"/>
      </w:r>
      <w:r w:rsidR="001E41EA">
        <w:t xml:space="preserve">Equation </w:t>
      </w:r>
      <w:r w:rsidR="001E41EA">
        <w:rPr>
          <w:noProof/>
        </w:rPr>
        <w:t>19</w:t>
      </w:r>
      <w:r>
        <w:rPr>
          <w:rFonts w:eastAsiaTheme="minorEastAsia"/>
        </w:rPr>
        <w:fldChar w:fldCharType="end"/>
      </w:r>
      <w:r>
        <w:rPr>
          <w:rFonts w:eastAsiaTheme="minorEastAsia"/>
        </w:rPr>
        <w:t xml:space="preserve">: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5B34D796" w14:textId="77777777" w:rsidTr="00024DD9">
        <w:trPr>
          <w:tblHeader/>
          <w:jc w:val="center"/>
        </w:trPr>
        <w:tc>
          <w:tcPr>
            <w:tcW w:w="884" w:type="dxa"/>
            <w:tcBorders>
              <w:top w:val="nil"/>
              <w:left w:val="nil"/>
              <w:bottom w:val="single" w:sz="4" w:space="0" w:color="auto"/>
            </w:tcBorders>
            <w:vAlign w:val="center"/>
          </w:tcPr>
          <w:p w14:paraId="187CEFDE"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C0AD731"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16EE277A"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496D4165"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7F72A3DE"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6C05763B" w14:textId="77777777" w:rsidR="00CD55F1" w:rsidRPr="005B7BEE" w:rsidRDefault="00CD55F1" w:rsidP="00024DD9">
            <w:pPr>
              <w:jc w:val="center"/>
              <w:rPr>
                <w:sz w:val="14"/>
                <w:szCs w:val="14"/>
              </w:rPr>
            </w:pPr>
            <w:r w:rsidRPr="005B7BEE">
              <w:rPr>
                <w:sz w:val="14"/>
                <w:szCs w:val="14"/>
              </w:rPr>
              <w:t xml:space="preserve">Catastrophic </w:t>
            </w:r>
          </w:p>
          <w:p w14:paraId="28959591"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0D97B751"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10605786"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B0A72E4"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3AE66C0C"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34CBCC52"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096A35F7"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4AA505D8" w14:textId="77777777" w:rsidR="00CD55F1" w:rsidRPr="005B7BEE" w:rsidRDefault="00CD55F1" w:rsidP="00024DD9">
            <w:pPr>
              <w:jc w:val="center"/>
              <w:rPr>
                <w:sz w:val="14"/>
                <w:szCs w:val="14"/>
              </w:rPr>
            </w:pPr>
            <w:r w:rsidRPr="005B7BEE">
              <w:rPr>
                <w:sz w:val="14"/>
                <w:szCs w:val="14"/>
              </w:rPr>
              <w:t xml:space="preserve">Catastrophic </w:t>
            </w:r>
          </w:p>
          <w:p w14:paraId="37DE0364"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1AB0A0ED" w14:textId="77777777" w:rsidTr="00024DD9">
        <w:trPr>
          <w:jc w:val="center"/>
        </w:trPr>
        <w:tc>
          <w:tcPr>
            <w:tcW w:w="884" w:type="dxa"/>
            <w:tcBorders>
              <w:top w:val="single" w:sz="4" w:space="0" w:color="auto"/>
              <w:right w:val="single" w:sz="12" w:space="0" w:color="auto"/>
            </w:tcBorders>
          </w:tcPr>
          <w:p w14:paraId="153F818B"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40596220" w14:textId="77777777" w:rsidR="00CD55F1" w:rsidRPr="00F60A9B" w:rsidRDefault="00CD55F1" w:rsidP="00024DD9">
            <w:pPr>
              <w:jc w:val="center"/>
            </w:pPr>
            <w:r>
              <w:t>0</w:t>
            </w:r>
          </w:p>
        </w:tc>
        <w:tc>
          <w:tcPr>
            <w:tcW w:w="668" w:type="dxa"/>
            <w:tcBorders>
              <w:top w:val="single" w:sz="12" w:space="0" w:color="auto"/>
            </w:tcBorders>
            <w:vAlign w:val="center"/>
          </w:tcPr>
          <w:p w14:paraId="40163B0B" w14:textId="77777777" w:rsidR="00CD55F1" w:rsidRPr="00210DD1" w:rsidRDefault="00CD55F1" w:rsidP="00024DD9">
            <w:pPr>
              <w:jc w:val="center"/>
            </w:pPr>
            <w:r>
              <w:t>0</w:t>
            </w:r>
          </w:p>
        </w:tc>
        <w:tc>
          <w:tcPr>
            <w:tcW w:w="680" w:type="dxa"/>
            <w:tcBorders>
              <w:top w:val="single" w:sz="12" w:space="0" w:color="auto"/>
            </w:tcBorders>
            <w:vAlign w:val="center"/>
          </w:tcPr>
          <w:p w14:paraId="2FE3F189" w14:textId="77777777" w:rsidR="00CD55F1" w:rsidRPr="00210DD1" w:rsidRDefault="00CD55F1" w:rsidP="00024DD9">
            <w:pPr>
              <w:jc w:val="center"/>
            </w:pPr>
            <w:r>
              <w:t>0</w:t>
            </w:r>
          </w:p>
        </w:tc>
        <w:tc>
          <w:tcPr>
            <w:tcW w:w="628" w:type="dxa"/>
            <w:tcBorders>
              <w:top w:val="single" w:sz="12" w:space="0" w:color="auto"/>
            </w:tcBorders>
            <w:vAlign w:val="center"/>
          </w:tcPr>
          <w:p w14:paraId="56B5D4C2" w14:textId="77777777" w:rsidR="00CD55F1" w:rsidRPr="00210DD1" w:rsidRDefault="00CD55F1" w:rsidP="00024DD9">
            <w:pPr>
              <w:jc w:val="center"/>
            </w:pPr>
            <w:r>
              <w:t>0</w:t>
            </w:r>
          </w:p>
        </w:tc>
        <w:tc>
          <w:tcPr>
            <w:tcW w:w="939" w:type="dxa"/>
            <w:tcBorders>
              <w:top w:val="single" w:sz="12" w:space="0" w:color="auto"/>
            </w:tcBorders>
            <w:vAlign w:val="center"/>
          </w:tcPr>
          <w:p w14:paraId="18AFF4F7" w14:textId="77777777" w:rsidR="00CD55F1" w:rsidRPr="00F60A9B" w:rsidRDefault="00CD55F1" w:rsidP="00024DD9">
            <w:pPr>
              <w:jc w:val="center"/>
            </w:pPr>
            <w:r>
              <w:t>0</w:t>
            </w:r>
          </w:p>
        </w:tc>
        <w:tc>
          <w:tcPr>
            <w:tcW w:w="287" w:type="dxa"/>
            <w:tcBorders>
              <w:top w:val="nil"/>
              <w:left w:val="nil"/>
              <w:bottom w:val="nil"/>
              <w:right w:val="nil"/>
            </w:tcBorders>
            <w:vAlign w:val="center"/>
          </w:tcPr>
          <w:p w14:paraId="31555D15" w14:textId="77777777" w:rsidR="00CD55F1" w:rsidRDefault="00CD55F1" w:rsidP="00024DD9">
            <w:pPr>
              <w:jc w:val="center"/>
            </w:pPr>
          </w:p>
        </w:tc>
        <w:tc>
          <w:tcPr>
            <w:tcW w:w="883" w:type="dxa"/>
            <w:tcBorders>
              <w:top w:val="single" w:sz="12" w:space="0" w:color="auto"/>
            </w:tcBorders>
            <w:vAlign w:val="center"/>
          </w:tcPr>
          <w:p w14:paraId="32E0AEB2"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709AA1C0" w14:textId="77777777" w:rsidR="00CD55F1" w:rsidRDefault="00CD55F1" w:rsidP="00024DD9">
            <w:pPr>
              <w:jc w:val="center"/>
            </w:pPr>
            <w:r>
              <w:t>0</w:t>
            </w:r>
          </w:p>
        </w:tc>
        <w:tc>
          <w:tcPr>
            <w:tcW w:w="666" w:type="dxa"/>
            <w:tcBorders>
              <w:top w:val="single" w:sz="12" w:space="0" w:color="auto"/>
            </w:tcBorders>
            <w:vAlign w:val="center"/>
          </w:tcPr>
          <w:p w14:paraId="773C40B4" w14:textId="77777777" w:rsidR="00CD55F1" w:rsidRDefault="00CD55F1" w:rsidP="00024DD9">
            <w:pPr>
              <w:jc w:val="center"/>
            </w:pPr>
            <w:r>
              <w:t>0</w:t>
            </w:r>
          </w:p>
        </w:tc>
        <w:tc>
          <w:tcPr>
            <w:tcW w:w="698" w:type="dxa"/>
            <w:tcBorders>
              <w:top w:val="single" w:sz="12" w:space="0" w:color="auto"/>
            </w:tcBorders>
            <w:vAlign w:val="center"/>
          </w:tcPr>
          <w:p w14:paraId="5D8B2044" w14:textId="77777777" w:rsidR="00CD55F1" w:rsidRDefault="00CD55F1" w:rsidP="00024DD9">
            <w:pPr>
              <w:jc w:val="center"/>
            </w:pPr>
            <w:r>
              <w:t>0</w:t>
            </w:r>
          </w:p>
        </w:tc>
        <w:tc>
          <w:tcPr>
            <w:tcW w:w="612" w:type="dxa"/>
            <w:tcBorders>
              <w:top w:val="single" w:sz="12" w:space="0" w:color="auto"/>
            </w:tcBorders>
            <w:vAlign w:val="center"/>
          </w:tcPr>
          <w:p w14:paraId="3D61B9AE" w14:textId="77777777" w:rsidR="00CD55F1" w:rsidRDefault="00CD55F1" w:rsidP="00024DD9">
            <w:pPr>
              <w:jc w:val="center"/>
            </w:pPr>
            <w:r>
              <w:t>0</w:t>
            </w:r>
          </w:p>
        </w:tc>
        <w:tc>
          <w:tcPr>
            <w:tcW w:w="939" w:type="dxa"/>
            <w:tcBorders>
              <w:top w:val="single" w:sz="12" w:space="0" w:color="auto"/>
            </w:tcBorders>
            <w:vAlign w:val="center"/>
          </w:tcPr>
          <w:p w14:paraId="691D0E0B" w14:textId="77777777" w:rsidR="00CD55F1" w:rsidRDefault="00CD55F1" w:rsidP="00024DD9">
            <w:pPr>
              <w:jc w:val="center"/>
            </w:pPr>
            <w:r>
              <w:t>0</w:t>
            </w:r>
          </w:p>
        </w:tc>
      </w:tr>
      <w:tr w:rsidR="00CD55F1" w:rsidRPr="00F60A9B" w14:paraId="25BD41BE" w14:textId="77777777" w:rsidTr="00024DD9">
        <w:trPr>
          <w:jc w:val="center"/>
        </w:trPr>
        <w:tc>
          <w:tcPr>
            <w:tcW w:w="884" w:type="dxa"/>
            <w:tcBorders>
              <w:right w:val="single" w:sz="12" w:space="0" w:color="auto"/>
            </w:tcBorders>
          </w:tcPr>
          <w:p w14:paraId="051A7147"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627867B7" w14:textId="77777777" w:rsidR="00CD55F1" w:rsidRDefault="00CD55F1" w:rsidP="00024DD9">
            <w:pPr>
              <w:jc w:val="center"/>
            </w:pPr>
            <w:r>
              <w:t>0</w:t>
            </w:r>
          </w:p>
        </w:tc>
        <w:tc>
          <w:tcPr>
            <w:tcW w:w="668" w:type="dxa"/>
            <w:shd w:val="clear" w:color="auto" w:fill="auto"/>
            <w:vAlign w:val="center"/>
          </w:tcPr>
          <w:p w14:paraId="402FB6CA" w14:textId="77777777" w:rsidR="00CD55F1" w:rsidRPr="00210DD1" w:rsidRDefault="00CD55F1" w:rsidP="00024DD9">
            <w:pPr>
              <w:jc w:val="center"/>
            </w:pPr>
            <w:r>
              <w:t>0</w:t>
            </w:r>
          </w:p>
        </w:tc>
        <w:tc>
          <w:tcPr>
            <w:tcW w:w="680" w:type="dxa"/>
            <w:vAlign w:val="center"/>
          </w:tcPr>
          <w:p w14:paraId="01843F06" w14:textId="77777777" w:rsidR="00CD55F1" w:rsidRPr="00210DD1" w:rsidRDefault="00CD55F1" w:rsidP="00024DD9">
            <w:pPr>
              <w:jc w:val="center"/>
            </w:pPr>
            <w:r>
              <w:t>0</w:t>
            </w:r>
          </w:p>
        </w:tc>
        <w:tc>
          <w:tcPr>
            <w:tcW w:w="628" w:type="dxa"/>
            <w:vAlign w:val="center"/>
          </w:tcPr>
          <w:p w14:paraId="49728246" w14:textId="77777777" w:rsidR="00CD55F1" w:rsidRPr="00210DD1" w:rsidRDefault="00CD55F1" w:rsidP="00024DD9">
            <w:pPr>
              <w:jc w:val="center"/>
            </w:pPr>
            <w:r>
              <w:t>0</w:t>
            </w:r>
          </w:p>
        </w:tc>
        <w:tc>
          <w:tcPr>
            <w:tcW w:w="939" w:type="dxa"/>
            <w:vAlign w:val="center"/>
          </w:tcPr>
          <w:p w14:paraId="48FCA101" w14:textId="77777777" w:rsidR="00CD55F1" w:rsidRDefault="00CD55F1" w:rsidP="00024DD9">
            <w:pPr>
              <w:jc w:val="center"/>
            </w:pPr>
            <w:r>
              <w:t>0</w:t>
            </w:r>
          </w:p>
        </w:tc>
        <w:tc>
          <w:tcPr>
            <w:tcW w:w="287" w:type="dxa"/>
            <w:tcBorders>
              <w:top w:val="nil"/>
              <w:left w:val="nil"/>
              <w:bottom w:val="nil"/>
              <w:right w:val="nil"/>
            </w:tcBorders>
            <w:vAlign w:val="center"/>
          </w:tcPr>
          <w:p w14:paraId="1EB9860C" w14:textId="77777777" w:rsidR="00CD55F1" w:rsidRDefault="00CD55F1" w:rsidP="00024DD9">
            <w:pPr>
              <w:jc w:val="center"/>
            </w:pPr>
          </w:p>
        </w:tc>
        <w:tc>
          <w:tcPr>
            <w:tcW w:w="883" w:type="dxa"/>
            <w:vAlign w:val="center"/>
          </w:tcPr>
          <w:p w14:paraId="4E58364D" w14:textId="77777777" w:rsidR="00CD55F1" w:rsidRPr="005B7BEE" w:rsidRDefault="00CD55F1" w:rsidP="00024DD9">
            <w:pPr>
              <w:jc w:val="center"/>
              <w:rPr>
                <w:sz w:val="14"/>
                <w:szCs w:val="14"/>
              </w:rPr>
            </w:pPr>
            <w:r>
              <w:rPr>
                <w:sz w:val="14"/>
                <w:szCs w:val="14"/>
              </w:rPr>
              <w:t>Often</w:t>
            </w:r>
          </w:p>
        </w:tc>
        <w:tc>
          <w:tcPr>
            <w:tcW w:w="783" w:type="dxa"/>
            <w:vAlign w:val="center"/>
          </w:tcPr>
          <w:p w14:paraId="29280DCD" w14:textId="77777777" w:rsidR="00CD55F1" w:rsidRDefault="00CD55F1" w:rsidP="00024DD9">
            <w:pPr>
              <w:jc w:val="center"/>
            </w:pPr>
            <w:r>
              <w:t>0</w:t>
            </w:r>
          </w:p>
        </w:tc>
        <w:tc>
          <w:tcPr>
            <w:tcW w:w="666" w:type="dxa"/>
            <w:vAlign w:val="center"/>
          </w:tcPr>
          <w:p w14:paraId="00A6458C" w14:textId="77777777" w:rsidR="00CD55F1" w:rsidRPr="00210DD1" w:rsidRDefault="00CD55F1" w:rsidP="00024DD9">
            <w:pPr>
              <w:jc w:val="center"/>
            </w:pPr>
            <w:r>
              <w:t>0</w:t>
            </w:r>
          </w:p>
        </w:tc>
        <w:tc>
          <w:tcPr>
            <w:tcW w:w="698" w:type="dxa"/>
            <w:vAlign w:val="center"/>
          </w:tcPr>
          <w:p w14:paraId="05C6B7B2" w14:textId="77777777" w:rsidR="00CD55F1" w:rsidRPr="00210DD1" w:rsidRDefault="00CD55F1" w:rsidP="00024DD9">
            <w:pPr>
              <w:jc w:val="center"/>
            </w:pPr>
            <w:r>
              <w:t>0</w:t>
            </w:r>
          </w:p>
        </w:tc>
        <w:tc>
          <w:tcPr>
            <w:tcW w:w="612" w:type="dxa"/>
            <w:vAlign w:val="center"/>
          </w:tcPr>
          <w:p w14:paraId="3381E51C" w14:textId="77777777" w:rsidR="00CD55F1" w:rsidRPr="00210DD1" w:rsidRDefault="00CD55F1" w:rsidP="00024DD9">
            <w:pPr>
              <w:jc w:val="center"/>
            </w:pPr>
            <w:r>
              <w:t>0</w:t>
            </w:r>
          </w:p>
        </w:tc>
        <w:tc>
          <w:tcPr>
            <w:tcW w:w="939" w:type="dxa"/>
            <w:vAlign w:val="center"/>
          </w:tcPr>
          <w:p w14:paraId="193F200D" w14:textId="77777777" w:rsidR="00CD55F1" w:rsidRDefault="00CD55F1" w:rsidP="00024DD9">
            <w:pPr>
              <w:jc w:val="center"/>
            </w:pPr>
            <w:r>
              <w:t>0</w:t>
            </w:r>
          </w:p>
        </w:tc>
      </w:tr>
      <w:tr w:rsidR="00CD55F1" w:rsidRPr="00F60A9B" w14:paraId="32A21DC1" w14:textId="77777777" w:rsidTr="00024DD9">
        <w:trPr>
          <w:jc w:val="center"/>
        </w:trPr>
        <w:tc>
          <w:tcPr>
            <w:tcW w:w="884" w:type="dxa"/>
            <w:tcBorders>
              <w:right w:val="single" w:sz="12" w:space="0" w:color="auto"/>
            </w:tcBorders>
          </w:tcPr>
          <w:p w14:paraId="688FDBE4"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71F3B56B" w14:textId="77777777" w:rsidR="00CD55F1" w:rsidRDefault="00CD55F1" w:rsidP="00024DD9">
            <w:pPr>
              <w:jc w:val="center"/>
            </w:pPr>
            <w:r>
              <w:t>0</w:t>
            </w:r>
          </w:p>
        </w:tc>
        <w:tc>
          <w:tcPr>
            <w:tcW w:w="668" w:type="dxa"/>
            <w:shd w:val="clear" w:color="auto" w:fill="auto"/>
            <w:vAlign w:val="center"/>
          </w:tcPr>
          <w:p w14:paraId="2D83CE7F"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495A518" w14:textId="77777777" w:rsidR="00CD55F1" w:rsidRPr="00210DD1" w:rsidRDefault="00CD55F1" w:rsidP="00024DD9">
            <w:pPr>
              <w:jc w:val="center"/>
            </w:pPr>
            <w:r w:rsidRPr="00F60A9B">
              <w:rPr>
                <w:rFonts w:ascii="Calibri" w:hAnsi="Calibri" w:cs="Calibri"/>
              </w:rPr>
              <w:t>3</w:t>
            </w:r>
          </w:p>
        </w:tc>
        <w:tc>
          <w:tcPr>
            <w:tcW w:w="628" w:type="dxa"/>
            <w:shd w:val="clear" w:color="auto" w:fill="auto"/>
            <w:vAlign w:val="center"/>
          </w:tcPr>
          <w:p w14:paraId="6BEB6414"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406B55B7"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70C43075" w14:textId="77777777" w:rsidR="00CD55F1" w:rsidRDefault="00CD55F1" w:rsidP="00024DD9">
            <w:pPr>
              <w:jc w:val="center"/>
            </w:pPr>
          </w:p>
        </w:tc>
        <w:tc>
          <w:tcPr>
            <w:tcW w:w="883" w:type="dxa"/>
            <w:shd w:val="clear" w:color="auto" w:fill="auto"/>
            <w:vAlign w:val="center"/>
          </w:tcPr>
          <w:p w14:paraId="3183F6AF"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2E9B6CEB" w14:textId="77777777" w:rsidR="00CD55F1" w:rsidRDefault="00CD55F1" w:rsidP="00024DD9">
            <w:pPr>
              <w:jc w:val="center"/>
            </w:pPr>
            <w:r>
              <w:rPr>
                <w:rFonts w:ascii="Calibri" w:hAnsi="Calibri" w:cs="Calibri"/>
              </w:rPr>
              <w:t>0</w:t>
            </w:r>
          </w:p>
        </w:tc>
        <w:tc>
          <w:tcPr>
            <w:tcW w:w="666" w:type="dxa"/>
            <w:vAlign w:val="center"/>
          </w:tcPr>
          <w:p w14:paraId="1BAE48F1" w14:textId="77777777" w:rsidR="00CD55F1" w:rsidRPr="00210DD1" w:rsidRDefault="00CD55F1" w:rsidP="00024DD9">
            <w:pPr>
              <w:jc w:val="center"/>
            </w:pPr>
            <w:r>
              <w:rPr>
                <w:rFonts w:ascii="Calibri" w:hAnsi="Calibri" w:cs="Calibri"/>
              </w:rPr>
              <w:t>3</w:t>
            </w:r>
          </w:p>
        </w:tc>
        <w:tc>
          <w:tcPr>
            <w:tcW w:w="698" w:type="dxa"/>
            <w:vAlign w:val="center"/>
          </w:tcPr>
          <w:p w14:paraId="083109AA" w14:textId="77777777" w:rsidR="00CD55F1" w:rsidRPr="00210DD1" w:rsidRDefault="00CD55F1" w:rsidP="00024DD9">
            <w:pPr>
              <w:jc w:val="center"/>
            </w:pPr>
            <w:r w:rsidRPr="00F60A9B">
              <w:rPr>
                <w:rFonts w:ascii="Calibri" w:hAnsi="Calibri" w:cs="Calibri"/>
              </w:rPr>
              <w:t>0</w:t>
            </w:r>
          </w:p>
        </w:tc>
        <w:tc>
          <w:tcPr>
            <w:tcW w:w="612" w:type="dxa"/>
            <w:vAlign w:val="center"/>
          </w:tcPr>
          <w:p w14:paraId="5C4C7681" w14:textId="77777777" w:rsidR="00CD55F1" w:rsidRPr="00210DD1" w:rsidRDefault="00CD55F1" w:rsidP="00024DD9">
            <w:pPr>
              <w:jc w:val="center"/>
            </w:pPr>
            <w:r w:rsidRPr="00F60A9B">
              <w:rPr>
                <w:rFonts w:ascii="Calibri" w:hAnsi="Calibri" w:cs="Calibri"/>
              </w:rPr>
              <w:t>0</w:t>
            </w:r>
          </w:p>
        </w:tc>
        <w:tc>
          <w:tcPr>
            <w:tcW w:w="939" w:type="dxa"/>
            <w:vAlign w:val="center"/>
          </w:tcPr>
          <w:p w14:paraId="7C6B1218" w14:textId="77777777" w:rsidR="00CD55F1" w:rsidRDefault="00CD55F1" w:rsidP="00024DD9">
            <w:pPr>
              <w:jc w:val="center"/>
            </w:pPr>
            <w:r w:rsidRPr="00F60A9B">
              <w:rPr>
                <w:rFonts w:ascii="Calibri" w:hAnsi="Calibri" w:cs="Calibri"/>
              </w:rPr>
              <w:t>0</w:t>
            </w:r>
          </w:p>
        </w:tc>
      </w:tr>
      <w:tr w:rsidR="00CD55F1" w:rsidRPr="00F60A9B" w14:paraId="0820DC04" w14:textId="77777777" w:rsidTr="00024DD9">
        <w:trPr>
          <w:jc w:val="center"/>
        </w:trPr>
        <w:tc>
          <w:tcPr>
            <w:tcW w:w="884" w:type="dxa"/>
            <w:tcBorders>
              <w:right w:val="single" w:sz="12" w:space="0" w:color="auto"/>
            </w:tcBorders>
          </w:tcPr>
          <w:p w14:paraId="105C327C"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3C096975" w14:textId="77777777" w:rsidR="00CD55F1" w:rsidRPr="00F60A9B" w:rsidRDefault="00CD55F1" w:rsidP="00024DD9">
            <w:pPr>
              <w:jc w:val="center"/>
            </w:pPr>
            <w:r>
              <w:t>0</w:t>
            </w:r>
          </w:p>
        </w:tc>
        <w:tc>
          <w:tcPr>
            <w:tcW w:w="668" w:type="dxa"/>
            <w:shd w:val="clear" w:color="auto" w:fill="auto"/>
            <w:vAlign w:val="center"/>
          </w:tcPr>
          <w:p w14:paraId="501F8000"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37E5950" w14:textId="77777777" w:rsidR="00CD55F1" w:rsidRPr="00210DD1" w:rsidRDefault="00CD55F1" w:rsidP="00024DD9">
            <w:pPr>
              <w:jc w:val="center"/>
            </w:pPr>
            <w:r>
              <w:rPr>
                <w:rFonts w:ascii="Calibri" w:hAnsi="Calibri" w:cs="Calibri"/>
              </w:rPr>
              <w:t>2</w:t>
            </w:r>
          </w:p>
        </w:tc>
        <w:tc>
          <w:tcPr>
            <w:tcW w:w="628" w:type="dxa"/>
            <w:shd w:val="clear" w:color="auto" w:fill="auto"/>
            <w:vAlign w:val="center"/>
          </w:tcPr>
          <w:p w14:paraId="01353FB0" w14:textId="77777777" w:rsidR="00CD55F1" w:rsidRPr="00210DD1" w:rsidRDefault="00CD55F1" w:rsidP="00024DD9">
            <w:pPr>
              <w:jc w:val="center"/>
            </w:pPr>
            <w:r w:rsidRPr="00F60A9B">
              <w:rPr>
                <w:rFonts w:ascii="Calibri" w:hAnsi="Calibri" w:cs="Calibri"/>
              </w:rPr>
              <w:t>0</w:t>
            </w:r>
          </w:p>
        </w:tc>
        <w:tc>
          <w:tcPr>
            <w:tcW w:w="939" w:type="dxa"/>
            <w:shd w:val="clear" w:color="auto" w:fill="D9E2F3" w:themeFill="accent1" w:themeFillTint="33"/>
            <w:vAlign w:val="center"/>
          </w:tcPr>
          <w:p w14:paraId="72D8EC72" w14:textId="77777777" w:rsidR="00CD55F1" w:rsidRPr="00F60A9B" w:rsidRDefault="00CD55F1" w:rsidP="00024DD9">
            <w:pPr>
              <w:jc w:val="center"/>
            </w:pPr>
            <w:r w:rsidRPr="00F60A9B">
              <w:rPr>
                <w:rFonts w:ascii="Calibri" w:hAnsi="Calibri" w:cs="Calibri"/>
              </w:rPr>
              <w:t>1</w:t>
            </w:r>
            <w:r>
              <w:rPr>
                <w:rFonts w:ascii="Calibri" w:hAnsi="Calibri" w:cs="Calibri"/>
              </w:rPr>
              <w:t>-1 = 0</w:t>
            </w:r>
          </w:p>
        </w:tc>
        <w:tc>
          <w:tcPr>
            <w:tcW w:w="287" w:type="dxa"/>
            <w:tcBorders>
              <w:top w:val="nil"/>
              <w:left w:val="nil"/>
              <w:bottom w:val="nil"/>
              <w:right w:val="nil"/>
            </w:tcBorders>
            <w:shd w:val="clear" w:color="auto" w:fill="auto"/>
            <w:tcMar>
              <w:left w:w="58" w:type="dxa"/>
              <w:right w:w="115" w:type="dxa"/>
            </w:tcMar>
            <w:vAlign w:val="center"/>
          </w:tcPr>
          <w:p w14:paraId="06F3C363"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509B5041" w14:textId="77777777" w:rsidR="00CD55F1" w:rsidRDefault="00CD55F1" w:rsidP="00024DD9">
            <w:pPr>
              <w:jc w:val="center"/>
            </w:pPr>
            <w:r w:rsidRPr="005B7BEE">
              <w:rPr>
                <w:sz w:val="14"/>
                <w:szCs w:val="14"/>
              </w:rPr>
              <w:t>Probable</w:t>
            </w:r>
          </w:p>
        </w:tc>
        <w:tc>
          <w:tcPr>
            <w:tcW w:w="783" w:type="dxa"/>
            <w:shd w:val="clear" w:color="auto" w:fill="auto"/>
            <w:vAlign w:val="center"/>
          </w:tcPr>
          <w:p w14:paraId="7162BCA8" w14:textId="77777777" w:rsidR="00CD55F1" w:rsidRDefault="00CD55F1" w:rsidP="00024DD9">
            <w:pPr>
              <w:jc w:val="center"/>
            </w:pPr>
            <w:r>
              <w:rPr>
                <w:rFonts w:ascii="Calibri" w:hAnsi="Calibri" w:cs="Calibri"/>
              </w:rPr>
              <w:t>1</w:t>
            </w:r>
          </w:p>
        </w:tc>
        <w:tc>
          <w:tcPr>
            <w:tcW w:w="666" w:type="dxa"/>
            <w:shd w:val="clear" w:color="auto" w:fill="auto"/>
            <w:vAlign w:val="center"/>
          </w:tcPr>
          <w:p w14:paraId="73EC5A36" w14:textId="77777777" w:rsidR="00CD55F1" w:rsidRDefault="00CD55F1" w:rsidP="00024DD9">
            <w:pPr>
              <w:jc w:val="center"/>
            </w:pPr>
            <w:r>
              <w:rPr>
                <w:rFonts w:ascii="Calibri" w:hAnsi="Calibri" w:cs="Calibri"/>
              </w:rPr>
              <w:t>1</w:t>
            </w:r>
          </w:p>
        </w:tc>
        <w:tc>
          <w:tcPr>
            <w:tcW w:w="698" w:type="dxa"/>
            <w:shd w:val="clear" w:color="auto" w:fill="auto"/>
            <w:vAlign w:val="center"/>
          </w:tcPr>
          <w:p w14:paraId="4D4DBA16" w14:textId="77777777" w:rsidR="00CD55F1" w:rsidRDefault="00CD55F1" w:rsidP="00024DD9">
            <w:pPr>
              <w:jc w:val="center"/>
            </w:pPr>
            <w:r>
              <w:rPr>
                <w:rFonts w:ascii="Calibri" w:hAnsi="Calibri" w:cs="Calibri"/>
              </w:rPr>
              <w:t>0</w:t>
            </w:r>
          </w:p>
        </w:tc>
        <w:tc>
          <w:tcPr>
            <w:tcW w:w="612" w:type="dxa"/>
            <w:vAlign w:val="center"/>
          </w:tcPr>
          <w:p w14:paraId="39E8AA32" w14:textId="77777777" w:rsidR="00CD55F1" w:rsidRDefault="00CD55F1" w:rsidP="00024DD9">
            <w:pPr>
              <w:jc w:val="center"/>
            </w:pPr>
            <w:r w:rsidRPr="00F60A9B">
              <w:rPr>
                <w:rFonts w:ascii="Calibri" w:hAnsi="Calibri" w:cs="Calibri"/>
              </w:rPr>
              <w:t>1</w:t>
            </w:r>
          </w:p>
        </w:tc>
        <w:tc>
          <w:tcPr>
            <w:tcW w:w="939" w:type="dxa"/>
            <w:vAlign w:val="center"/>
          </w:tcPr>
          <w:p w14:paraId="2DD60F97" w14:textId="77777777" w:rsidR="00CD55F1" w:rsidRDefault="00CD55F1" w:rsidP="00024DD9">
            <w:pPr>
              <w:jc w:val="center"/>
            </w:pPr>
            <w:r w:rsidRPr="00F60A9B">
              <w:rPr>
                <w:rFonts w:ascii="Calibri" w:hAnsi="Calibri" w:cs="Calibri"/>
              </w:rPr>
              <w:t>0</w:t>
            </w:r>
          </w:p>
        </w:tc>
      </w:tr>
      <w:tr w:rsidR="00CD55F1" w:rsidRPr="00F60A9B" w14:paraId="6E204066" w14:textId="77777777" w:rsidTr="00024DD9">
        <w:trPr>
          <w:jc w:val="center"/>
        </w:trPr>
        <w:tc>
          <w:tcPr>
            <w:tcW w:w="884" w:type="dxa"/>
            <w:tcBorders>
              <w:right w:val="single" w:sz="12" w:space="0" w:color="auto"/>
            </w:tcBorders>
          </w:tcPr>
          <w:p w14:paraId="6FA535DB"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300FF970"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6FE1004C"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25D54FCF"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36376C5" w14:textId="77777777" w:rsidR="00CD55F1" w:rsidRPr="00210DD1" w:rsidRDefault="00CD55F1" w:rsidP="00024DD9">
            <w:pPr>
              <w:jc w:val="center"/>
            </w:pPr>
            <w:r>
              <w:t>2</w:t>
            </w:r>
          </w:p>
        </w:tc>
        <w:tc>
          <w:tcPr>
            <w:tcW w:w="939" w:type="dxa"/>
            <w:shd w:val="clear" w:color="auto" w:fill="D9E2F3" w:themeFill="accent1" w:themeFillTint="33"/>
            <w:vAlign w:val="center"/>
          </w:tcPr>
          <w:p w14:paraId="19D00A62" w14:textId="77777777" w:rsidR="00CD55F1" w:rsidRPr="00F60A9B" w:rsidRDefault="00CD55F1" w:rsidP="00024DD9">
            <w:pPr>
              <w:jc w:val="center"/>
            </w:pPr>
            <w:r w:rsidRPr="00F60A9B">
              <w:rPr>
                <w:rFonts w:ascii="Calibri" w:hAnsi="Calibri" w:cs="Calibri"/>
              </w:rPr>
              <w:t>0</w:t>
            </w:r>
            <w:r>
              <w:rPr>
                <w:rFonts w:ascii="Calibri" w:hAnsi="Calibri" w:cs="Calibri"/>
              </w:rPr>
              <w:t>+ 10 = 10</w:t>
            </w:r>
          </w:p>
        </w:tc>
        <w:tc>
          <w:tcPr>
            <w:tcW w:w="287" w:type="dxa"/>
            <w:tcBorders>
              <w:top w:val="nil"/>
              <w:left w:val="nil"/>
              <w:bottom w:val="nil"/>
              <w:right w:val="nil"/>
            </w:tcBorders>
            <w:shd w:val="clear" w:color="auto" w:fill="auto"/>
            <w:vAlign w:val="center"/>
          </w:tcPr>
          <w:p w14:paraId="5D2B0886" w14:textId="77777777" w:rsidR="00CD55F1" w:rsidRDefault="00CD55F1" w:rsidP="00024DD9">
            <w:pPr>
              <w:jc w:val="center"/>
            </w:pPr>
          </w:p>
        </w:tc>
        <w:tc>
          <w:tcPr>
            <w:tcW w:w="883" w:type="dxa"/>
            <w:shd w:val="clear" w:color="auto" w:fill="auto"/>
            <w:vAlign w:val="center"/>
          </w:tcPr>
          <w:p w14:paraId="56F2DBFD" w14:textId="77777777" w:rsidR="00CD55F1" w:rsidRDefault="00CD55F1" w:rsidP="00024DD9">
            <w:pPr>
              <w:jc w:val="center"/>
            </w:pPr>
            <w:r w:rsidRPr="005B7BEE">
              <w:rPr>
                <w:sz w:val="14"/>
                <w:szCs w:val="14"/>
              </w:rPr>
              <w:t>Occasional</w:t>
            </w:r>
          </w:p>
        </w:tc>
        <w:tc>
          <w:tcPr>
            <w:tcW w:w="783" w:type="dxa"/>
            <w:shd w:val="clear" w:color="auto" w:fill="auto"/>
            <w:vAlign w:val="center"/>
          </w:tcPr>
          <w:p w14:paraId="3DEE548C" w14:textId="77777777" w:rsidR="00CD55F1" w:rsidRDefault="00CD55F1" w:rsidP="00024DD9">
            <w:pPr>
              <w:jc w:val="center"/>
            </w:pPr>
            <w:r>
              <w:rPr>
                <w:rFonts w:ascii="Calibri" w:hAnsi="Calibri" w:cs="Calibri"/>
              </w:rPr>
              <w:t>1</w:t>
            </w:r>
          </w:p>
        </w:tc>
        <w:tc>
          <w:tcPr>
            <w:tcW w:w="666" w:type="dxa"/>
            <w:shd w:val="clear" w:color="auto" w:fill="auto"/>
            <w:vAlign w:val="center"/>
          </w:tcPr>
          <w:p w14:paraId="7B2E5E51" w14:textId="77777777" w:rsidR="00CD55F1" w:rsidRDefault="00CD55F1" w:rsidP="00024DD9">
            <w:pPr>
              <w:jc w:val="center"/>
            </w:pPr>
            <w:r>
              <w:rPr>
                <w:rFonts w:ascii="Calibri" w:hAnsi="Calibri" w:cs="Calibri"/>
              </w:rPr>
              <w:t>0</w:t>
            </w:r>
          </w:p>
        </w:tc>
        <w:tc>
          <w:tcPr>
            <w:tcW w:w="698" w:type="dxa"/>
            <w:vAlign w:val="center"/>
          </w:tcPr>
          <w:p w14:paraId="3CE53300" w14:textId="77777777" w:rsidR="00CD55F1" w:rsidRDefault="00CD55F1" w:rsidP="00024DD9">
            <w:pPr>
              <w:jc w:val="center"/>
            </w:pPr>
            <w:r>
              <w:rPr>
                <w:rFonts w:ascii="Calibri" w:hAnsi="Calibri" w:cs="Calibri"/>
              </w:rPr>
              <w:t>0</w:t>
            </w:r>
          </w:p>
        </w:tc>
        <w:tc>
          <w:tcPr>
            <w:tcW w:w="612" w:type="dxa"/>
            <w:vAlign w:val="center"/>
          </w:tcPr>
          <w:p w14:paraId="3FE25E4B" w14:textId="77777777" w:rsidR="00CD55F1" w:rsidRDefault="00CD55F1" w:rsidP="00024DD9">
            <w:pPr>
              <w:jc w:val="center"/>
            </w:pPr>
            <w:r>
              <w:rPr>
                <w:rFonts w:ascii="Calibri" w:hAnsi="Calibri" w:cs="Calibri"/>
              </w:rPr>
              <w:t>0</w:t>
            </w:r>
          </w:p>
        </w:tc>
        <w:tc>
          <w:tcPr>
            <w:tcW w:w="939" w:type="dxa"/>
            <w:vAlign w:val="center"/>
          </w:tcPr>
          <w:p w14:paraId="6A482E2C" w14:textId="77777777" w:rsidR="00CD55F1" w:rsidRDefault="00CD55F1" w:rsidP="00024DD9">
            <w:pPr>
              <w:jc w:val="center"/>
            </w:pPr>
            <w:r w:rsidRPr="00F60A9B">
              <w:rPr>
                <w:rFonts w:ascii="Calibri" w:hAnsi="Calibri" w:cs="Calibri"/>
              </w:rPr>
              <w:t>1</w:t>
            </w:r>
          </w:p>
        </w:tc>
      </w:tr>
      <w:tr w:rsidR="00CD55F1" w:rsidRPr="00F60A9B" w14:paraId="6749D39D" w14:textId="77777777" w:rsidTr="00024DD9">
        <w:trPr>
          <w:jc w:val="center"/>
        </w:trPr>
        <w:tc>
          <w:tcPr>
            <w:tcW w:w="884" w:type="dxa"/>
            <w:tcBorders>
              <w:right w:val="single" w:sz="12" w:space="0" w:color="auto"/>
            </w:tcBorders>
          </w:tcPr>
          <w:p w14:paraId="665370E7"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2A1F44D5" w14:textId="77777777" w:rsidR="00CD55F1" w:rsidRPr="00F60A9B" w:rsidRDefault="00CD55F1" w:rsidP="00024DD9">
            <w:pPr>
              <w:jc w:val="center"/>
            </w:pPr>
            <w:r>
              <w:rPr>
                <w:rFonts w:ascii="Calibri" w:hAnsi="Calibri" w:cs="Calibri"/>
              </w:rPr>
              <w:t>3</w:t>
            </w:r>
          </w:p>
        </w:tc>
        <w:tc>
          <w:tcPr>
            <w:tcW w:w="668" w:type="dxa"/>
            <w:vAlign w:val="center"/>
          </w:tcPr>
          <w:p w14:paraId="0CA05CF9"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F1B7BC5"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C682110"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21C93D41"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403FA34E" w14:textId="77777777" w:rsidR="00CD55F1" w:rsidRDefault="00CD55F1" w:rsidP="00024DD9">
            <w:pPr>
              <w:jc w:val="center"/>
            </w:pPr>
          </w:p>
        </w:tc>
        <w:tc>
          <w:tcPr>
            <w:tcW w:w="883" w:type="dxa"/>
            <w:shd w:val="clear" w:color="auto" w:fill="auto"/>
            <w:vAlign w:val="center"/>
          </w:tcPr>
          <w:p w14:paraId="6468C61E" w14:textId="77777777" w:rsidR="00CD55F1" w:rsidRDefault="00CD55F1" w:rsidP="00024DD9">
            <w:pPr>
              <w:jc w:val="center"/>
            </w:pPr>
            <w:r w:rsidRPr="005B7BEE">
              <w:rPr>
                <w:sz w:val="14"/>
                <w:szCs w:val="14"/>
              </w:rPr>
              <w:t>Remote</w:t>
            </w:r>
          </w:p>
        </w:tc>
        <w:tc>
          <w:tcPr>
            <w:tcW w:w="783" w:type="dxa"/>
            <w:shd w:val="clear" w:color="auto" w:fill="auto"/>
            <w:vAlign w:val="center"/>
          </w:tcPr>
          <w:p w14:paraId="2285647C" w14:textId="77777777" w:rsidR="00CD55F1" w:rsidRDefault="00CD55F1" w:rsidP="00024DD9">
            <w:pPr>
              <w:jc w:val="center"/>
            </w:pPr>
            <w:r>
              <w:rPr>
                <w:rFonts w:ascii="Calibri" w:hAnsi="Calibri" w:cs="Calibri"/>
              </w:rPr>
              <w:t>0</w:t>
            </w:r>
          </w:p>
        </w:tc>
        <w:tc>
          <w:tcPr>
            <w:tcW w:w="666" w:type="dxa"/>
            <w:shd w:val="clear" w:color="auto" w:fill="auto"/>
            <w:vAlign w:val="center"/>
          </w:tcPr>
          <w:p w14:paraId="726CBEFD" w14:textId="77777777" w:rsidR="00CD55F1" w:rsidRDefault="00CD55F1" w:rsidP="00024DD9">
            <w:pPr>
              <w:jc w:val="center"/>
            </w:pPr>
            <w:r>
              <w:rPr>
                <w:rFonts w:ascii="Calibri" w:hAnsi="Calibri" w:cs="Calibri"/>
              </w:rPr>
              <w:t>2</w:t>
            </w:r>
          </w:p>
        </w:tc>
        <w:tc>
          <w:tcPr>
            <w:tcW w:w="698" w:type="dxa"/>
            <w:shd w:val="clear" w:color="auto" w:fill="auto"/>
            <w:vAlign w:val="center"/>
          </w:tcPr>
          <w:p w14:paraId="50E7D6DC" w14:textId="77777777" w:rsidR="00CD55F1" w:rsidRDefault="00CD55F1" w:rsidP="00024DD9">
            <w:pPr>
              <w:jc w:val="center"/>
            </w:pPr>
            <w:r>
              <w:rPr>
                <w:rFonts w:ascii="Calibri" w:hAnsi="Calibri" w:cs="Calibri"/>
              </w:rPr>
              <w:t>0</w:t>
            </w:r>
          </w:p>
        </w:tc>
        <w:tc>
          <w:tcPr>
            <w:tcW w:w="612" w:type="dxa"/>
            <w:shd w:val="clear" w:color="auto" w:fill="auto"/>
            <w:vAlign w:val="center"/>
          </w:tcPr>
          <w:p w14:paraId="692AA5F0" w14:textId="77777777" w:rsidR="00CD55F1" w:rsidRDefault="00CD55F1" w:rsidP="00024DD9">
            <w:pPr>
              <w:jc w:val="center"/>
            </w:pPr>
            <w:r>
              <w:rPr>
                <w:rFonts w:ascii="Calibri" w:hAnsi="Calibri" w:cs="Calibri"/>
              </w:rPr>
              <w:t>0</w:t>
            </w:r>
          </w:p>
        </w:tc>
        <w:tc>
          <w:tcPr>
            <w:tcW w:w="939" w:type="dxa"/>
            <w:shd w:val="clear" w:color="auto" w:fill="auto"/>
            <w:vAlign w:val="center"/>
          </w:tcPr>
          <w:p w14:paraId="242CD73C" w14:textId="77777777" w:rsidR="00CD55F1" w:rsidRDefault="00CD55F1" w:rsidP="00024DD9">
            <w:pPr>
              <w:jc w:val="center"/>
            </w:pPr>
            <w:r>
              <w:rPr>
                <w:rFonts w:ascii="Calibri" w:hAnsi="Calibri" w:cs="Calibri"/>
              </w:rPr>
              <w:t>0</w:t>
            </w:r>
          </w:p>
        </w:tc>
      </w:tr>
      <w:tr w:rsidR="00CD55F1" w:rsidRPr="00F60A9B" w14:paraId="6B21E1CB" w14:textId="77777777" w:rsidTr="00024DD9">
        <w:trPr>
          <w:jc w:val="center"/>
        </w:trPr>
        <w:tc>
          <w:tcPr>
            <w:tcW w:w="884" w:type="dxa"/>
            <w:tcBorders>
              <w:right w:val="single" w:sz="12" w:space="0" w:color="auto"/>
            </w:tcBorders>
          </w:tcPr>
          <w:p w14:paraId="16481E6E" w14:textId="77777777" w:rsidR="00CD55F1" w:rsidRPr="005B7BEE" w:rsidRDefault="00CD55F1" w:rsidP="00024DD9">
            <w:pPr>
              <w:rPr>
                <w:sz w:val="14"/>
                <w:szCs w:val="14"/>
              </w:rPr>
            </w:pPr>
            <w:r w:rsidRPr="005B7BEE">
              <w:rPr>
                <w:sz w:val="14"/>
                <w:szCs w:val="14"/>
              </w:rPr>
              <w:lastRenderedPageBreak/>
              <w:t>Improbable</w:t>
            </w:r>
          </w:p>
        </w:tc>
        <w:tc>
          <w:tcPr>
            <w:tcW w:w="783" w:type="dxa"/>
            <w:tcBorders>
              <w:left w:val="single" w:sz="12" w:space="0" w:color="auto"/>
            </w:tcBorders>
            <w:vAlign w:val="center"/>
          </w:tcPr>
          <w:p w14:paraId="67C4271E" w14:textId="77777777" w:rsidR="00CD55F1" w:rsidRPr="00F60A9B" w:rsidRDefault="00CD55F1" w:rsidP="00024DD9">
            <w:pPr>
              <w:jc w:val="center"/>
            </w:pPr>
            <w:r>
              <w:rPr>
                <w:rFonts w:ascii="Calibri" w:hAnsi="Calibri" w:cs="Calibri"/>
              </w:rPr>
              <w:t>0</w:t>
            </w:r>
          </w:p>
        </w:tc>
        <w:tc>
          <w:tcPr>
            <w:tcW w:w="668" w:type="dxa"/>
            <w:vAlign w:val="center"/>
          </w:tcPr>
          <w:p w14:paraId="6B1D9CD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A16B001"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36B16B8"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3E534A17"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1C4E2581" w14:textId="77777777" w:rsidR="00CD55F1" w:rsidRDefault="00CD55F1" w:rsidP="00024DD9">
            <w:pPr>
              <w:keepNext/>
              <w:jc w:val="center"/>
            </w:pPr>
          </w:p>
        </w:tc>
        <w:tc>
          <w:tcPr>
            <w:tcW w:w="883" w:type="dxa"/>
            <w:vAlign w:val="center"/>
          </w:tcPr>
          <w:p w14:paraId="7D0194D6" w14:textId="77777777" w:rsidR="00CD55F1" w:rsidRDefault="00CD55F1" w:rsidP="00024DD9">
            <w:pPr>
              <w:keepNext/>
              <w:jc w:val="center"/>
            </w:pPr>
            <w:r w:rsidRPr="005B7BEE">
              <w:rPr>
                <w:sz w:val="14"/>
                <w:szCs w:val="14"/>
              </w:rPr>
              <w:t>Improbable</w:t>
            </w:r>
          </w:p>
        </w:tc>
        <w:tc>
          <w:tcPr>
            <w:tcW w:w="783" w:type="dxa"/>
            <w:vAlign w:val="center"/>
          </w:tcPr>
          <w:p w14:paraId="40B7C0D1" w14:textId="77777777" w:rsidR="00CD55F1" w:rsidRDefault="00CD55F1" w:rsidP="00024DD9">
            <w:pPr>
              <w:keepNext/>
              <w:jc w:val="center"/>
            </w:pPr>
            <w:r>
              <w:rPr>
                <w:rFonts w:ascii="Calibri" w:hAnsi="Calibri" w:cs="Calibri"/>
              </w:rPr>
              <w:t>0</w:t>
            </w:r>
          </w:p>
        </w:tc>
        <w:tc>
          <w:tcPr>
            <w:tcW w:w="666" w:type="dxa"/>
            <w:vAlign w:val="center"/>
          </w:tcPr>
          <w:p w14:paraId="646CDB21" w14:textId="77777777" w:rsidR="00CD55F1" w:rsidRDefault="00CD55F1" w:rsidP="00024DD9">
            <w:pPr>
              <w:keepNext/>
              <w:jc w:val="center"/>
            </w:pPr>
            <w:r>
              <w:rPr>
                <w:rFonts w:ascii="Calibri" w:hAnsi="Calibri" w:cs="Calibri"/>
              </w:rPr>
              <w:t>1</w:t>
            </w:r>
          </w:p>
        </w:tc>
        <w:tc>
          <w:tcPr>
            <w:tcW w:w="698" w:type="dxa"/>
            <w:vAlign w:val="center"/>
          </w:tcPr>
          <w:p w14:paraId="3F1F6C96"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33958A0A" w14:textId="77777777" w:rsidR="00CD55F1" w:rsidRDefault="00CD55F1" w:rsidP="00024DD9">
            <w:pPr>
              <w:keepNext/>
              <w:jc w:val="center"/>
            </w:pPr>
            <w:r>
              <w:rPr>
                <w:rFonts w:ascii="Calibri" w:hAnsi="Calibri" w:cs="Calibri"/>
              </w:rPr>
              <w:t>0</w:t>
            </w:r>
          </w:p>
        </w:tc>
        <w:tc>
          <w:tcPr>
            <w:tcW w:w="939" w:type="dxa"/>
            <w:vAlign w:val="center"/>
          </w:tcPr>
          <w:p w14:paraId="0ADD696B" w14:textId="77777777" w:rsidR="00CD55F1" w:rsidRDefault="00CD55F1" w:rsidP="00024DD9">
            <w:pPr>
              <w:keepNext/>
              <w:jc w:val="center"/>
            </w:pPr>
            <w:r w:rsidRPr="00F60A9B">
              <w:rPr>
                <w:rFonts w:ascii="Calibri" w:hAnsi="Calibri" w:cs="Calibri"/>
              </w:rPr>
              <w:t>0</w:t>
            </w:r>
          </w:p>
        </w:tc>
      </w:tr>
    </w:tbl>
    <w:p w14:paraId="0DE0243B" w14:textId="1B24C779" w:rsidR="00CD55F1" w:rsidRPr="0092516F" w:rsidRDefault="00CD55F1">
      <w:pPr>
        <w:pStyle w:val="ListParagraph"/>
        <w:numPr>
          <w:ilvl w:val="0"/>
          <w:numId w:val="27"/>
        </w:numPr>
        <w:spacing w:before="160"/>
        <w:rPr>
          <w:rFonts w:eastAsiaTheme="minorEastAsia"/>
        </w:rPr>
      </w:pPr>
      <w:r>
        <w:rPr>
          <w:rFonts w:eastAsiaTheme="minorEastAsia"/>
        </w:rPr>
        <w:t xml:space="preserve">Second, we will use </w:t>
      </w:r>
      <w:r w:rsidR="0036794A">
        <w:rPr>
          <w:rFonts w:eastAsiaTheme="minorEastAsia"/>
        </w:rPr>
        <w:fldChar w:fldCharType="begin"/>
      </w:r>
      <w:r w:rsidR="0036794A">
        <w:rPr>
          <w:rFonts w:eastAsiaTheme="minorEastAsia"/>
        </w:rPr>
        <w:instrText xml:space="preserve"> REF _Ref151218484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Removing Identical Risks</w:t>
      </w:r>
      <w:r w:rsidR="0036794A">
        <w:rPr>
          <w:rFonts w:eastAsiaTheme="minorEastAsia"/>
        </w:rPr>
        <w:fldChar w:fldCharType="end"/>
      </w:r>
      <w:r>
        <w:rPr>
          <w:rFonts w:eastAsiaTheme="minorEastAsia"/>
        </w:rPr>
        <w:t xml:space="preserve"> on the ‘Occasional – Catastrophic/Fatal’ cells: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3706E929" w14:textId="77777777" w:rsidTr="00024DD9">
        <w:trPr>
          <w:tblHeader/>
          <w:jc w:val="center"/>
        </w:trPr>
        <w:tc>
          <w:tcPr>
            <w:tcW w:w="884" w:type="dxa"/>
            <w:tcBorders>
              <w:top w:val="nil"/>
              <w:left w:val="nil"/>
              <w:bottom w:val="single" w:sz="4" w:space="0" w:color="auto"/>
            </w:tcBorders>
            <w:vAlign w:val="center"/>
          </w:tcPr>
          <w:p w14:paraId="6ADAAC18"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62090B8E"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100D23BA"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63204194"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6780AEA5"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4EB8CEA6" w14:textId="77777777" w:rsidR="00CD55F1" w:rsidRPr="005B7BEE" w:rsidRDefault="00CD55F1" w:rsidP="00024DD9">
            <w:pPr>
              <w:jc w:val="center"/>
              <w:rPr>
                <w:sz w:val="14"/>
                <w:szCs w:val="14"/>
              </w:rPr>
            </w:pPr>
            <w:r w:rsidRPr="005B7BEE">
              <w:rPr>
                <w:sz w:val="14"/>
                <w:szCs w:val="14"/>
              </w:rPr>
              <w:t xml:space="preserve">Catastrophic </w:t>
            </w:r>
          </w:p>
          <w:p w14:paraId="22DCA6ED"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05FC85CD"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43A5C9B0"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4A3731F7"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4284A014"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74FE06D0"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50585AD0"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68A0C423" w14:textId="77777777" w:rsidR="00CD55F1" w:rsidRPr="005B7BEE" w:rsidRDefault="00CD55F1" w:rsidP="00024DD9">
            <w:pPr>
              <w:jc w:val="center"/>
              <w:rPr>
                <w:sz w:val="14"/>
                <w:szCs w:val="14"/>
              </w:rPr>
            </w:pPr>
            <w:r w:rsidRPr="005B7BEE">
              <w:rPr>
                <w:sz w:val="14"/>
                <w:szCs w:val="14"/>
              </w:rPr>
              <w:t xml:space="preserve">Catastrophic </w:t>
            </w:r>
          </w:p>
          <w:p w14:paraId="7A91661A"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6EDF4B4A" w14:textId="77777777" w:rsidTr="00024DD9">
        <w:trPr>
          <w:jc w:val="center"/>
        </w:trPr>
        <w:tc>
          <w:tcPr>
            <w:tcW w:w="884" w:type="dxa"/>
            <w:tcBorders>
              <w:top w:val="single" w:sz="4" w:space="0" w:color="auto"/>
              <w:right w:val="single" w:sz="12" w:space="0" w:color="auto"/>
            </w:tcBorders>
          </w:tcPr>
          <w:p w14:paraId="1F2B8B29"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64865F63" w14:textId="77777777" w:rsidR="00CD55F1" w:rsidRPr="00F60A9B" w:rsidRDefault="00CD55F1" w:rsidP="00024DD9">
            <w:pPr>
              <w:jc w:val="center"/>
            </w:pPr>
            <w:r>
              <w:t>0</w:t>
            </w:r>
          </w:p>
        </w:tc>
        <w:tc>
          <w:tcPr>
            <w:tcW w:w="668" w:type="dxa"/>
            <w:tcBorders>
              <w:top w:val="single" w:sz="12" w:space="0" w:color="auto"/>
            </w:tcBorders>
            <w:vAlign w:val="center"/>
          </w:tcPr>
          <w:p w14:paraId="12063B59" w14:textId="77777777" w:rsidR="00CD55F1" w:rsidRPr="00210DD1" w:rsidRDefault="00CD55F1" w:rsidP="00024DD9">
            <w:pPr>
              <w:jc w:val="center"/>
            </w:pPr>
            <w:r>
              <w:t>0</w:t>
            </w:r>
          </w:p>
        </w:tc>
        <w:tc>
          <w:tcPr>
            <w:tcW w:w="680" w:type="dxa"/>
            <w:tcBorders>
              <w:top w:val="single" w:sz="12" w:space="0" w:color="auto"/>
            </w:tcBorders>
            <w:vAlign w:val="center"/>
          </w:tcPr>
          <w:p w14:paraId="141F8BC5" w14:textId="77777777" w:rsidR="00CD55F1" w:rsidRPr="00210DD1" w:rsidRDefault="00CD55F1" w:rsidP="00024DD9">
            <w:pPr>
              <w:jc w:val="center"/>
            </w:pPr>
            <w:r>
              <w:t>0</w:t>
            </w:r>
          </w:p>
        </w:tc>
        <w:tc>
          <w:tcPr>
            <w:tcW w:w="628" w:type="dxa"/>
            <w:tcBorders>
              <w:top w:val="single" w:sz="12" w:space="0" w:color="auto"/>
            </w:tcBorders>
            <w:vAlign w:val="center"/>
          </w:tcPr>
          <w:p w14:paraId="1941AE28" w14:textId="77777777" w:rsidR="00CD55F1" w:rsidRPr="00210DD1" w:rsidRDefault="00CD55F1" w:rsidP="00024DD9">
            <w:pPr>
              <w:jc w:val="center"/>
            </w:pPr>
            <w:r>
              <w:t>0</w:t>
            </w:r>
          </w:p>
        </w:tc>
        <w:tc>
          <w:tcPr>
            <w:tcW w:w="939" w:type="dxa"/>
            <w:tcBorders>
              <w:top w:val="single" w:sz="12" w:space="0" w:color="auto"/>
            </w:tcBorders>
            <w:vAlign w:val="center"/>
          </w:tcPr>
          <w:p w14:paraId="07C2E0BE" w14:textId="77777777" w:rsidR="00CD55F1" w:rsidRPr="00F60A9B" w:rsidRDefault="00CD55F1" w:rsidP="00024DD9">
            <w:pPr>
              <w:jc w:val="center"/>
            </w:pPr>
            <w:r>
              <w:t>0</w:t>
            </w:r>
          </w:p>
        </w:tc>
        <w:tc>
          <w:tcPr>
            <w:tcW w:w="287" w:type="dxa"/>
            <w:tcBorders>
              <w:top w:val="nil"/>
              <w:left w:val="nil"/>
              <w:bottom w:val="nil"/>
              <w:right w:val="nil"/>
            </w:tcBorders>
            <w:vAlign w:val="center"/>
          </w:tcPr>
          <w:p w14:paraId="5A3492F1" w14:textId="77777777" w:rsidR="00CD55F1" w:rsidRDefault="00CD55F1" w:rsidP="00024DD9">
            <w:pPr>
              <w:jc w:val="center"/>
            </w:pPr>
          </w:p>
        </w:tc>
        <w:tc>
          <w:tcPr>
            <w:tcW w:w="883" w:type="dxa"/>
            <w:tcBorders>
              <w:top w:val="single" w:sz="12" w:space="0" w:color="auto"/>
            </w:tcBorders>
            <w:vAlign w:val="center"/>
          </w:tcPr>
          <w:p w14:paraId="2DF6110D"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53F8EFF8" w14:textId="77777777" w:rsidR="00CD55F1" w:rsidRDefault="00CD55F1" w:rsidP="00024DD9">
            <w:pPr>
              <w:jc w:val="center"/>
            </w:pPr>
            <w:r>
              <w:t>0</w:t>
            </w:r>
          </w:p>
        </w:tc>
        <w:tc>
          <w:tcPr>
            <w:tcW w:w="666" w:type="dxa"/>
            <w:tcBorders>
              <w:top w:val="single" w:sz="12" w:space="0" w:color="auto"/>
            </w:tcBorders>
            <w:vAlign w:val="center"/>
          </w:tcPr>
          <w:p w14:paraId="101AEB8B" w14:textId="77777777" w:rsidR="00CD55F1" w:rsidRDefault="00CD55F1" w:rsidP="00024DD9">
            <w:pPr>
              <w:jc w:val="center"/>
            </w:pPr>
            <w:r>
              <w:t>0</w:t>
            </w:r>
          </w:p>
        </w:tc>
        <w:tc>
          <w:tcPr>
            <w:tcW w:w="698" w:type="dxa"/>
            <w:tcBorders>
              <w:top w:val="single" w:sz="12" w:space="0" w:color="auto"/>
            </w:tcBorders>
            <w:vAlign w:val="center"/>
          </w:tcPr>
          <w:p w14:paraId="73CADCEE" w14:textId="77777777" w:rsidR="00CD55F1" w:rsidRDefault="00CD55F1" w:rsidP="00024DD9">
            <w:pPr>
              <w:jc w:val="center"/>
            </w:pPr>
            <w:r>
              <w:t>0</w:t>
            </w:r>
          </w:p>
        </w:tc>
        <w:tc>
          <w:tcPr>
            <w:tcW w:w="612" w:type="dxa"/>
            <w:tcBorders>
              <w:top w:val="single" w:sz="12" w:space="0" w:color="auto"/>
            </w:tcBorders>
            <w:vAlign w:val="center"/>
          </w:tcPr>
          <w:p w14:paraId="488A8175" w14:textId="77777777" w:rsidR="00CD55F1" w:rsidRDefault="00CD55F1" w:rsidP="00024DD9">
            <w:pPr>
              <w:jc w:val="center"/>
            </w:pPr>
            <w:r>
              <w:t>0</w:t>
            </w:r>
          </w:p>
        </w:tc>
        <w:tc>
          <w:tcPr>
            <w:tcW w:w="939" w:type="dxa"/>
            <w:tcBorders>
              <w:top w:val="single" w:sz="12" w:space="0" w:color="auto"/>
            </w:tcBorders>
            <w:vAlign w:val="center"/>
          </w:tcPr>
          <w:p w14:paraId="04954E08" w14:textId="77777777" w:rsidR="00CD55F1" w:rsidRDefault="00CD55F1" w:rsidP="00024DD9">
            <w:pPr>
              <w:jc w:val="center"/>
            </w:pPr>
            <w:r>
              <w:t>0</w:t>
            </w:r>
          </w:p>
        </w:tc>
      </w:tr>
      <w:tr w:rsidR="00CD55F1" w:rsidRPr="00F60A9B" w14:paraId="4A14CD99" w14:textId="77777777" w:rsidTr="00024DD9">
        <w:trPr>
          <w:jc w:val="center"/>
        </w:trPr>
        <w:tc>
          <w:tcPr>
            <w:tcW w:w="884" w:type="dxa"/>
            <w:tcBorders>
              <w:right w:val="single" w:sz="12" w:space="0" w:color="auto"/>
            </w:tcBorders>
          </w:tcPr>
          <w:p w14:paraId="0758538B"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6289A022" w14:textId="77777777" w:rsidR="00CD55F1" w:rsidRDefault="00CD55F1" w:rsidP="00024DD9">
            <w:pPr>
              <w:jc w:val="center"/>
            </w:pPr>
            <w:r>
              <w:t>0</w:t>
            </w:r>
          </w:p>
        </w:tc>
        <w:tc>
          <w:tcPr>
            <w:tcW w:w="668" w:type="dxa"/>
            <w:shd w:val="clear" w:color="auto" w:fill="auto"/>
            <w:vAlign w:val="center"/>
          </w:tcPr>
          <w:p w14:paraId="54D131BC" w14:textId="77777777" w:rsidR="00CD55F1" w:rsidRPr="00210DD1" w:rsidRDefault="00CD55F1" w:rsidP="00024DD9">
            <w:pPr>
              <w:jc w:val="center"/>
            </w:pPr>
            <w:r>
              <w:t>0</w:t>
            </w:r>
          </w:p>
        </w:tc>
        <w:tc>
          <w:tcPr>
            <w:tcW w:w="680" w:type="dxa"/>
            <w:vAlign w:val="center"/>
          </w:tcPr>
          <w:p w14:paraId="786DDD06" w14:textId="77777777" w:rsidR="00CD55F1" w:rsidRPr="00210DD1" w:rsidRDefault="00CD55F1" w:rsidP="00024DD9">
            <w:pPr>
              <w:jc w:val="center"/>
            </w:pPr>
            <w:r>
              <w:t>0</w:t>
            </w:r>
          </w:p>
        </w:tc>
        <w:tc>
          <w:tcPr>
            <w:tcW w:w="628" w:type="dxa"/>
            <w:vAlign w:val="center"/>
          </w:tcPr>
          <w:p w14:paraId="29C52651" w14:textId="77777777" w:rsidR="00CD55F1" w:rsidRPr="00210DD1" w:rsidRDefault="00CD55F1" w:rsidP="00024DD9">
            <w:pPr>
              <w:jc w:val="center"/>
            </w:pPr>
            <w:r>
              <w:t>0</w:t>
            </w:r>
          </w:p>
        </w:tc>
        <w:tc>
          <w:tcPr>
            <w:tcW w:w="939" w:type="dxa"/>
            <w:vAlign w:val="center"/>
          </w:tcPr>
          <w:p w14:paraId="0B5BC413" w14:textId="77777777" w:rsidR="00CD55F1" w:rsidRDefault="00CD55F1" w:rsidP="00024DD9">
            <w:pPr>
              <w:jc w:val="center"/>
            </w:pPr>
            <w:r>
              <w:t>0</w:t>
            </w:r>
          </w:p>
        </w:tc>
        <w:tc>
          <w:tcPr>
            <w:tcW w:w="287" w:type="dxa"/>
            <w:tcBorders>
              <w:top w:val="nil"/>
              <w:left w:val="nil"/>
              <w:bottom w:val="nil"/>
              <w:right w:val="nil"/>
            </w:tcBorders>
            <w:vAlign w:val="center"/>
          </w:tcPr>
          <w:p w14:paraId="5A7DCDCA" w14:textId="77777777" w:rsidR="00CD55F1" w:rsidRDefault="00CD55F1" w:rsidP="00024DD9">
            <w:pPr>
              <w:jc w:val="center"/>
            </w:pPr>
          </w:p>
        </w:tc>
        <w:tc>
          <w:tcPr>
            <w:tcW w:w="883" w:type="dxa"/>
            <w:vAlign w:val="center"/>
          </w:tcPr>
          <w:p w14:paraId="274CA3C3" w14:textId="77777777" w:rsidR="00CD55F1" w:rsidRPr="005B7BEE" w:rsidRDefault="00CD55F1" w:rsidP="00024DD9">
            <w:pPr>
              <w:jc w:val="center"/>
              <w:rPr>
                <w:sz w:val="14"/>
                <w:szCs w:val="14"/>
              </w:rPr>
            </w:pPr>
            <w:r>
              <w:rPr>
                <w:sz w:val="14"/>
                <w:szCs w:val="14"/>
              </w:rPr>
              <w:t>Often</w:t>
            </w:r>
          </w:p>
        </w:tc>
        <w:tc>
          <w:tcPr>
            <w:tcW w:w="783" w:type="dxa"/>
            <w:vAlign w:val="center"/>
          </w:tcPr>
          <w:p w14:paraId="42334076" w14:textId="77777777" w:rsidR="00CD55F1" w:rsidRDefault="00CD55F1" w:rsidP="00024DD9">
            <w:pPr>
              <w:jc w:val="center"/>
            </w:pPr>
            <w:r>
              <w:t>0</w:t>
            </w:r>
          </w:p>
        </w:tc>
        <w:tc>
          <w:tcPr>
            <w:tcW w:w="666" w:type="dxa"/>
            <w:vAlign w:val="center"/>
          </w:tcPr>
          <w:p w14:paraId="433CD9CA" w14:textId="77777777" w:rsidR="00CD55F1" w:rsidRPr="00210DD1" w:rsidRDefault="00CD55F1" w:rsidP="00024DD9">
            <w:pPr>
              <w:jc w:val="center"/>
            </w:pPr>
            <w:r>
              <w:t>0</w:t>
            </w:r>
          </w:p>
        </w:tc>
        <w:tc>
          <w:tcPr>
            <w:tcW w:w="698" w:type="dxa"/>
            <w:vAlign w:val="center"/>
          </w:tcPr>
          <w:p w14:paraId="107BFBF1" w14:textId="77777777" w:rsidR="00CD55F1" w:rsidRPr="00210DD1" w:rsidRDefault="00CD55F1" w:rsidP="00024DD9">
            <w:pPr>
              <w:jc w:val="center"/>
            </w:pPr>
            <w:r>
              <w:t>0</w:t>
            </w:r>
          </w:p>
        </w:tc>
        <w:tc>
          <w:tcPr>
            <w:tcW w:w="612" w:type="dxa"/>
            <w:vAlign w:val="center"/>
          </w:tcPr>
          <w:p w14:paraId="7F7D130E" w14:textId="77777777" w:rsidR="00CD55F1" w:rsidRPr="00210DD1" w:rsidRDefault="00CD55F1" w:rsidP="00024DD9">
            <w:pPr>
              <w:jc w:val="center"/>
            </w:pPr>
            <w:r>
              <w:t>0</w:t>
            </w:r>
          </w:p>
        </w:tc>
        <w:tc>
          <w:tcPr>
            <w:tcW w:w="939" w:type="dxa"/>
            <w:vAlign w:val="center"/>
          </w:tcPr>
          <w:p w14:paraId="7C50FD5D" w14:textId="77777777" w:rsidR="00CD55F1" w:rsidRDefault="00CD55F1" w:rsidP="00024DD9">
            <w:pPr>
              <w:jc w:val="center"/>
            </w:pPr>
            <w:r>
              <w:t>0</w:t>
            </w:r>
          </w:p>
        </w:tc>
      </w:tr>
      <w:tr w:rsidR="00CD55F1" w:rsidRPr="00F60A9B" w14:paraId="52AA23E5" w14:textId="77777777" w:rsidTr="00024DD9">
        <w:trPr>
          <w:jc w:val="center"/>
        </w:trPr>
        <w:tc>
          <w:tcPr>
            <w:tcW w:w="884" w:type="dxa"/>
            <w:tcBorders>
              <w:right w:val="single" w:sz="12" w:space="0" w:color="auto"/>
            </w:tcBorders>
          </w:tcPr>
          <w:p w14:paraId="1B204751"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405CB502" w14:textId="77777777" w:rsidR="00CD55F1" w:rsidRDefault="00CD55F1" w:rsidP="00024DD9">
            <w:pPr>
              <w:jc w:val="center"/>
            </w:pPr>
            <w:r>
              <w:t>0</w:t>
            </w:r>
          </w:p>
        </w:tc>
        <w:tc>
          <w:tcPr>
            <w:tcW w:w="668" w:type="dxa"/>
            <w:shd w:val="clear" w:color="auto" w:fill="auto"/>
            <w:vAlign w:val="center"/>
          </w:tcPr>
          <w:p w14:paraId="3F98EB9D"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893B05D" w14:textId="77777777" w:rsidR="00CD55F1" w:rsidRPr="00210DD1" w:rsidRDefault="00CD55F1" w:rsidP="00024DD9">
            <w:pPr>
              <w:jc w:val="center"/>
            </w:pPr>
            <w:r w:rsidRPr="00F60A9B">
              <w:rPr>
                <w:rFonts w:ascii="Calibri" w:hAnsi="Calibri" w:cs="Calibri"/>
              </w:rPr>
              <w:t>3</w:t>
            </w:r>
          </w:p>
        </w:tc>
        <w:tc>
          <w:tcPr>
            <w:tcW w:w="628" w:type="dxa"/>
            <w:shd w:val="clear" w:color="auto" w:fill="auto"/>
            <w:vAlign w:val="center"/>
          </w:tcPr>
          <w:p w14:paraId="04E1C0D2"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63AEF461"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49E22101" w14:textId="77777777" w:rsidR="00CD55F1" w:rsidRDefault="00CD55F1" w:rsidP="00024DD9">
            <w:pPr>
              <w:jc w:val="center"/>
            </w:pPr>
          </w:p>
        </w:tc>
        <w:tc>
          <w:tcPr>
            <w:tcW w:w="883" w:type="dxa"/>
            <w:shd w:val="clear" w:color="auto" w:fill="auto"/>
            <w:vAlign w:val="center"/>
          </w:tcPr>
          <w:p w14:paraId="0318EF32"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6E9CFDBE" w14:textId="77777777" w:rsidR="00CD55F1" w:rsidRDefault="00CD55F1" w:rsidP="00024DD9">
            <w:pPr>
              <w:jc w:val="center"/>
            </w:pPr>
            <w:r>
              <w:rPr>
                <w:rFonts w:ascii="Calibri" w:hAnsi="Calibri" w:cs="Calibri"/>
              </w:rPr>
              <w:t>0</w:t>
            </w:r>
          </w:p>
        </w:tc>
        <w:tc>
          <w:tcPr>
            <w:tcW w:w="666" w:type="dxa"/>
            <w:vAlign w:val="center"/>
          </w:tcPr>
          <w:p w14:paraId="17BF6527" w14:textId="77777777" w:rsidR="00CD55F1" w:rsidRPr="00210DD1" w:rsidRDefault="00CD55F1" w:rsidP="00024DD9">
            <w:pPr>
              <w:jc w:val="center"/>
            </w:pPr>
            <w:r>
              <w:rPr>
                <w:rFonts w:ascii="Calibri" w:hAnsi="Calibri" w:cs="Calibri"/>
              </w:rPr>
              <w:t>3</w:t>
            </w:r>
          </w:p>
        </w:tc>
        <w:tc>
          <w:tcPr>
            <w:tcW w:w="698" w:type="dxa"/>
            <w:vAlign w:val="center"/>
          </w:tcPr>
          <w:p w14:paraId="24984EC7" w14:textId="77777777" w:rsidR="00CD55F1" w:rsidRPr="00210DD1" w:rsidRDefault="00CD55F1" w:rsidP="00024DD9">
            <w:pPr>
              <w:jc w:val="center"/>
            </w:pPr>
            <w:r w:rsidRPr="00F60A9B">
              <w:rPr>
                <w:rFonts w:ascii="Calibri" w:hAnsi="Calibri" w:cs="Calibri"/>
              </w:rPr>
              <w:t>0</w:t>
            </w:r>
          </w:p>
        </w:tc>
        <w:tc>
          <w:tcPr>
            <w:tcW w:w="612" w:type="dxa"/>
            <w:vAlign w:val="center"/>
          </w:tcPr>
          <w:p w14:paraId="0212F852" w14:textId="77777777" w:rsidR="00CD55F1" w:rsidRPr="00210DD1" w:rsidRDefault="00CD55F1" w:rsidP="00024DD9">
            <w:pPr>
              <w:jc w:val="center"/>
            </w:pPr>
            <w:r w:rsidRPr="00F60A9B">
              <w:rPr>
                <w:rFonts w:ascii="Calibri" w:hAnsi="Calibri" w:cs="Calibri"/>
              </w:rPr>
              <w:t>0</w:t>
            </w:r>
          </w:p>
        </w:tc>
        <w:tc>
          <w:tcPr>
            <w:tcW w:w="939" w:type="dxa"/>
            <w:vAlign w:val="center"/>
          </w:tcPr>
          <w:p w14:paraId="2CCD14F7" w14:textId="77777777" w:rsidR="00CD55F1" w:rsidRDefault="00CD55F1" w:rsidP="00024DD9">
            <w:pPr>
              <w:jc w:val="center"/>
            </w:pPr>
            <w:r w:rsidRPr="00F60A9B">
              <w:rPr>
                <w:rFonts w:ascii="Calibri" w:hAnsi="Calibri" w:cs="Calibri"/>
              </w:rPr>
              <w:t>0</w:t>
            </w:r>
          </w:p>
        </w:tc>
      </w:tr>
      <w:tr w:rsidR="00CD55F1" w:rsidRPr="00F60A9B" w14:paraId="09EAB2C4" w14:textId="77777777" w:rsidTr="00024DD9">
        <w:trPr>
          <w:jc w:val="center"/>
        </w:trPr>
        <w:tc>
          <w:tcPr>
            <w:tcW w:w="884" w:type="dxa"/>
            <w:tcBorders>
              <w:right w:val="single" w:sz="12" w:space="0" w:color="auto"/>
            </w:tcBorders>
          </w:tcPr>
          <w:p w14:paraId="642FE2B4"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1C18FD6B" w14:textId="77777777" w:rsidR="00CD55F1" w:rsidRPr="00F60A9B" w:rsidRDefault="00CD55F1" w:rsidP="00024DD9">
            <w:pPr>
              <w:jc w:val="center"/>
            </w:pPr>
            <w:r>
              <w:t>0</w:t>
            </w:r>
          </w:p>
        </w:tc>
        <w:tc>
          <w:tcPr>
            <w:tcW w:w="668" w:type="dxa"/>
            <w:shd w:val="clear" w:color="auto" w:fill="auto"/>
            <w:vAlign w:val="center"/>
          </w:tcPr>
          <w:p w14:paraId="05BEA62D"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DF9B794" w14:textId="77777777" w:rsidR="00CD55F1" w:rsidRPr="00210DD1" w:rsidRDefault="00CD55F1" w:rsidP="00024DD9">
            <w:pPr>
              <w:jc w:val="center"/>
            </w:pPr>
            <w:r>
              <w:rPr>
                <w:rFonts w:ascii="Calibri" w:hAnsi="Calibri" w:cs="Calibri"/>
              </w:rPr>
              <w:t>2</w:t>
            </w:r>
          </w:p>
        </w:tc>
        <w:tc>
          <w:tcPr>
            <w:tcW w:w="628" w:type="dxa"/>
            <w:shd w:val="clear" w:color="auto" w:fill="auto"/>
            <w:vAlign w:val="center"/>
          </w:tcPr>
          <w:p w14:paraId="7004A18C"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7CB67091"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7E095C7D"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482E2451" w14:textId="77777777" w:rsidR="00CD55F1" w:rsidRDefault="00CD55F1" w:rsidP="00024DD9">
            <w:pPr>
              <w:jc w:val="center"/>
            </w:pPr>
            <w:r w:rsidRPr="005B7BEE">
              <w:rPr>
                <w:sz w:val="14"/>
                <w:szCs w:val="14"/>
              </w:rPr>
              <w:t>Probable</w:t>
            </w:r>
          </w:p>
        </w:tc>
        <w:tc>
          <w:tcPr>
            <w:tcW w:w="783" w:type="dxa"/>
            <w:shd w:val="clear" w:color="auto" w:fill="auto"/>
            <w:vAlign w:val="center"/>
          </w:tcPr>
          <w:p w14:paraId="2D340979" w14:textId="77777777" w:rsidR="00CD55F1" w:rsidRDefault="00CD55F1" w:rsidP="00024DD9">
            <w:pPr>
              <w:jc w:val="center"/>
            </w:pPr>
            <w:r>
              <w:rPr>
                <w:rFonts w:ascii="Calibri" w:hAnsi="Calibri" w:cs="Calibri"/>
              </w:rPr>
              <w:t>1</w:t>
            </w:r>
          </w:p>
        </w:tc>
        <w:tc>
          <w:tcPr>
            <w:tcW w:w="666" w:type="dxa"/>
            <w:shd w:val="clear" w:color="auto" w:fill="auto"/>
            <w:vAlign w:val="center"/>
          </w:tcPr>
          <w:p w14:paraId="405C3CD3" w14:textId="77777777" w:rsidR="00CD55F1" w:rsidRDefault="00CD55F1" w:rsidP="00024DD9">
            <w:pPr>
              <w:jc w:val="center"/>
            </w:pPr>
            <w:r>
              <w:rPr>
                <w:rFonts w:ascii="Calibri" w:hAnsi="Calibri" w:cs="Calibri"/>
              </w:rPr>
              <w:t>1</w:t>
            </w:r>
          </w:p>
        </w:tc>
        <w:tc>
          <w:tcPr>
            <w:tcW w:w="698" w:type="dxa"/>
            <w:shd w:val="clear" w:color="auto" w:fill="auto"/>
            <w:vAlign w:val="center"/>
          </w:tcPr>
          <w:p w14:paraId="2D964AA3" w14:textId="77777777" w:rsidR="00CD55F1" w:rsidRDefault="00CD55F1" w:rsidP="00024DD9">
            <w:pPr>
              <w:jc w:val="center"/>
            </w:pPr>
            <w:r>
              <w:rPr>
                <w:rFonts w:ascii="Calibri" w:hAnsi="Calibri" w:cs="Calibri"/>
              </w:rPr>
              <w:t>0</w:t>
            </w:r>
          </w:p>
        </w:tc>
        <w:tc>
          <w:tcPr>
            <w:tcW w:w="612" w:type="dxa"/>
            <w:vAlign w:val="center"/>
          </w:tcPr>
          <w:p w14:paraId="79BA1CD6" w14:textId="77777777" w:rsidR="00CD55F1" w:rsidRDefault="00CD55F1" w:rsidP="00024DD9">
            <w:pPr>
              <w:jc w:val="center"/>
            </w:pPr>
            <w:r w:rsidRPr="00F60A9B">
              <w:rPr>
                <w:rFonts w:ascii="Calibri" w:hAnsi="Calibri" w:cs="Calibri"/>
              </w:rPr>
              <w:t>1</w:t>
            </w:r>
          </w:p>
        </w:tc>
        <w:tc>
          <w:tcPr>
            <w:tcW w:w="939" w:type="dxa"/>
            <w:vAlign w:val="center"/>
          </w:tcPr>
          <w:p w14:paraId="73F144D6" w14:textId="77777777" w:rsidR="00CD55F1" w:rsidRDefault="00CD55F1" w:rsidP="00024DD9">
            <w:pPr>
              <w:jc w:val="center"/>
            </w:pPr>
            <w:r w:rsidRPr="00F60A9B">
              <w:rPr>
                <w:rFonts w:ascii="Calibri" w:hAnsi="Calibri" w:cs="Calibri"/>
              </w:rPr>
              <w:t>0</w:t>
            </w:r>
          </w:p>
        </w:tc>
      </w:tr>
      <w:tr w:rsidR="00CD55F1" w:rsidRPr="00F60A9B" w14:paraId="6B16B3AF" w14:textId="77777777" w:rsidTr="00024DD9">
        <w:trPr>
          <w:jc w:val="center"/>
        </w:trPr>
        <w:tc>
          <w:tcPr>
            <w:tcW w:w="884" w:type="dxa"/>
            <w:tcBorders>
              <w:right w:val="single" w:sz="12" w:space="0" w:color="auto"/>
            </w:tcBorders>
          </w:tcPr>
          <w:p w14:paraId="0BD8C7C6"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16749DBF"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12D45F50"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78593901"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11ECDD5E" w14:textId="77777777" w:rsidR="00CD55F1" w:rsidRPr="00210DD1" w:rsidRDefault="00CD55F1" w:rsidP="00024DD9">
            <w:pPr>
              <w:jc w:val="center"/>
            </w:pPr>
            <w:r>
              <w:t>2</w:t>
            </w:r>
          </w:p>
        </w:tc>
        <w:tc>
          <w:tcPr>
            <w:tcW w:w="939" w:type="dxa"/>
            <w:shd w:val="clear" w:color="auto" w:fill="D9E2F3" w:themeFill="accent1" w:themeFillTint="33"/>
            <w:vAlign w:val="center"/>
          </w:tcPr>
          <w:p w14:paraId="46F51852" w14:textId="77777777" w:rsidR="00CD55F1" w:rsidRPr="00F60A9B" w:rsidRDefault="00CD55F1" w:rsidP="00024DD9">
            <w:pPr>
              <w:jc w:val="center"/>
            </w:pPr>
            <w:r>
              <w:rPr>
                <w:rFonts w:ascii="Calibri" w:hAnsi="Calibri" w:cs="Calibri"/>
              </w:rPr>
              <w:t>10-1 = 9</w:t>
            </w:r>
          </w:p>
        </w:tc>
        <w:tc>
          <w:tcPr>
            <w:tcW w:w="287" w:type="dxa"/>
            <w:tcBorders>
              <w:top w:val="nil"/>
              <w:left w:val="nil"/>
              <w:bottom w:val="nil"/>
              <w:right w:val="nil"/>
            </w:tcBorders>
            <w:shd w:val="clear" w:color="auto" w:fill="auto"/>
            <w:vAlign w:val="center"/>
          </w:tcPr>
          <w:p w14:paraId="43B2CBF8" w14:textId="77777777" w:rsidR="00CD55F1" w:rsidRDefault="00CD55F1" w:rsidP="00024DD9">
            <w:pPr>
              <w:jc w:val="center"/>
            </w:pPr>
          </w:p>
        </w:tc>
        <w:tc>
          <w:tcPr>
            <w:tcW w:w="883" w:type="dxa"/>
            <w:shd w:val="clear" w:color="auto" w:fill="auto"/>
            <w:vAlign w:val="center"/>
          </w:tcPr>
          <w:p w14:paraId="3D47BC31" w14:textId="77777777" w:rsidR="00CD55F1" w:rsidRDefault="00CD55F1" w:rsidP="00024DD9">
            <w:pPr>
              <w:jc w:val="center"/>
            </w:pPr>
            <w:r w:rsidRPr="005B7BEE">
              <w:rPr>
                <w:sz w:val="14"/>
                <w:szCs w:val="14"/>
              </w:rPr>
              <w:t>Occasional</w:t>
            </w:r>
          </w:p>
        </w:tc>
        <w:tc>
          <w:tcPr>
            <w:tcW w:w="783" w:type="dxa"/>
            <w:shd w:val="clear" w:color="auto" w:fill="auto"/>
            <w:vAlign w:val="center"/>
          </w:tcPr>
          <w:p w14:paraId="040B6824" w14:textId="77777777" w:rsidR="00CD55F1" w:rsidRDefault="00CD55F1" w:rsidP="00024DD9">
            <w:pPr>
              <w:jc w:val="center"/>
            </w:pPr>
            <w:r>
              <w:rPr>
                <w:rFonts w:ascii="Calibri" w:hAnsi="Calibri" w:cs="Calibri"/>
              </w:rPr>
              <w:t>1</w:t>
            </w:r>
          </w:p>
        </w:tc>
        <w:tc>
          <w:tcPr>
            <w:tcW w:w="666" w:type="dxa"/>
            <w:shd w:val="clear" w:color="auto" w:fill="auto"/>
            <w:vAlign w:val="center"/>
          </w:tcPr>
          <w:p w14:paraId="44A6D35E" w14:textId="77777777" w:rsidR="00CD55F1" w:rsidRDefault="00CD55F1" w:rsidP="00024DD9">
            <w:pPr>
              <w:jc w:val="center"/>
            </w:pPr>
            <w:r>
              <w:rPr>
                <w:rFonts w:ascii="Calibri" w:hAnsi="Calibri" w:cs="Calibri"/>
              </w:rPr>
              <w:t>0</w:t>
            </w:r>
          </w:p>
        </w:tc>
        <w:tc>
          <w:tcPr>
            <w:tcW w:w="698" w:type="dxa"/>
            <w:vAlign w:val="center"/>
          </w:tcPr>
          <w:p w14:paraId="4F079005" w14:textId="77777777" w:rsidR="00CD55F1" w:rsidRDefault="00CD55F1" w:rsidP="00024DD9">
            <w:pPr>
              <w:jc w:val="center"/>
            </w:pPr>
            <w:r>
              <w:rPr>
                <w:rFonts w:ascii="Calibri" w:hAnsi="Calibri" w:cs="Calibri"/>
              </w:rPr>
              <w:t>0</w:t>
            </w:r>
          </w:p>
        </w:tc>
        <w:tc>
          <w:tcPr>
            <w:tcW w:w="612" w:type="dxa"/>
            <w:vAlign w:val="center"/>
          </w:tcPr>
          <w:p w14:paraId="702CE59B" w14:textId="77777777" w:rsidR="00CD55F1" w:rsidRDefault="00CD55F1" w:rsidP="00024DD9">
            <w:pPr>
              <w:jc w:val="center"/>
            </w:pPr>
            <w:r>
              <w:rPr>
                <w:rFonts w:ascii="Calibri" w:hAnsi="Calibri" w:cs="Calibri"/>
              </w:rPr>
              <w:t>0</w:t>
            </w:r>
          </w:p>
        </w:tc>
        <w:tc>
          <w:tcPr>
            <w:tcW w:w="939" w:type="dxa"/>
            <w:shd w:val="clear" w:color="auto" w:fill="D9E2F3" w:themeFill="accent1" w:themeFillTint="33"/>
            <w:vAlign w:val="center"/>
          </w:tcPr>
          <w:p w14:paraId="05716AB1" w14:textId="77777777" w:rsidR="00CD55F1" w:rsidRDefault="00CD55F1" w:rsidP="00024DD9">
            <w:pPr>
              <w:jc w:val="center"/>
            </w:pPr>
            <w:r w:rsidRPr="00F60A9B">
              <w:rPr>
                <w:rFonts w:ascii="Calibri" w:hAnsi="Calibri" w:cs="Calibri"/>
              </w:rPr>
              <w:t>1</w:t>
            </w:r>
            <w:r>
              <w:rPr>
                <w:rFonts w:ascii="Calibri" w:hAnsi="Calibri" w:cs="Calibri"/>
              </w:rPr>
              <w:t>-1 = 0</w:t>
            </w:r>
          </w:p>
        </w:tc>
      </w:tr>
      <w:tr w:rsidR="00CD55F1" w:rsidRPr="00F60A9B" w14:paraId="1BF34435" w14:textId="77777777" w:rsidTr="00024DD9">
        <w:trPr>
          <w:jc w:val="center"/>
        </w:trPr>
        <w:tc>
          <w:tcPr>
            <w:tcW w:w="884" w:type="dxa"/>
            <w:tcBorders>
              <w:right w:val="single" w:sz="12" w:space="0" w:color="auto"/>
            </w:tcBorders>
          </w:tcPr>
          <w:p w14:paraId="60F820EE"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2A143B14" w14:textId="77777777" w:rsidR="00CD55F1" w:rsidRPr="00F60A9B" w:rsidRDefault="00CD55F1" w:rsidP="00024DD9">
            <w:pPr>
              <w:jc w:val="center"/>
            </w:pPr>
            <w:r>
              <w:rPr>
                <w:rFonts w:ascii="Calibri" w:hAnsi="Calibri" w:cs="Calibri"/>
              </w:rPr>
              <w:t>3</w:t>
            </w:r>
          </w:p>
        </w:tc>
        <w:tc>
          <w:tcPr>
            <w:tcW w:w="668" w:type="dxa"/>
            <w:vAlign w:val="center"/>
          </w:tcPr>
          <w:p w14:paraId="652B4854"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4882A518"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70456BE"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5C80ACBC"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4F6F8FD9" w14:textId="77777777" w:rsidR="00CD55F1" w:rsidRDefault="00CD55F1" w:rsidP="00024DD9">
            <w:pPr>
              <w:jc w:val="center"/>
            </w:pPr>
          </w:p>
        </w:tc>
        <w:tc>
          <w:tcPr>
            <w:tcW w:w="883" w:type="dxa"/>
            <w:shd w:val="clear" w:color="auto" w:fill="auto"/>
            <w:vAlign w:val="center"/>
          </w:tcPr>
          <w:p w14:paraId="05EE52B9" w14:textId="77777777" w:rsidR="00CD55F1" w:rsidRDefault="00CD55F1" w:rsidP="00024DD9">
            <w:pPr>
              <w:jc w:val="center"/>
            </w:pPr>
            <w:r w:rsidRPr="005B7BEE">
              <w:rPr>
                <w:sz w:val="14"/>
                <w:szCs w:val="14"/>
              </w:rPr>
              <w:t>Remote</w:t>
            </w:r>
          </w:p>
        </w:tc>
        <w:tc>
          <w:tcPr>
            <w:tcW w:w="783" w:type="dxa"/>
            <w:shd w:val="clear" w:color="auto" w:fill="auto"/>
            <w:vAlign w:val="center"/>
          </w:tcPr>
          <w:p w14:paraId="22E84359" w14:textId="77777777" w:rsidR="00CD55F1" w:rsidRDefault="00CD55F1" w:rsidP="00024DD9">
            <w:pPr>
              <w:jc w:val="center"/>
            </w:pPr>
            <w:r>
              <w:rPr>
                <w:rFonts w:ascii="Calibri" w:hAnsi="Calibri" w:cs="Calibri"/>
              </w:rPr>
              <w:t>0</w:t>
            </w:r>
          </w:p>
        </w:tc>
        <w:tc>
          <w:tcPr>
            <w:tcW w:w="666" w:type="dxa"/>
            <w:shd w:val="clear" w:color="auto" w:fill="auto"/>
            <w:vAlign w:val="center"/>
          </w:tcPr>
          <w:p w14:paraId="436C7364" w14:textId="77777777" w:rsidR="00CD55F1" w:rsidRDefault="00CD55F1" w:rsidP="00024DD9">
            <w:pPr>
              <w:jc w:val="center"/>
            </w:pPr>
            <w:r>
              <w:rPr>
                <w:rFonts w:ascii="Calibri" w:hAnsi="Calibri" w:cs="Calibri"/>
              </w:rPr>
              <w:t>2</w:t>
            </w:r>
          </w:p>
        </w:tc>
        <w:tc>
          <w:tcPr>
            <w:tcW w:w="698" w:type="dxa"/>
            <w:shd w:val="clear" w:color="auto" w:fill="auto"/>
            <w:vAlign w:val="center"/>
          </w:tcPr>
          <w:p w14:paraId="329396CD" w14:textId="77777777" w:rsidR="00CD55F1" w:rsidRDefault="00CD55F1" w:rsidP="00024DD9">
            <w:pPr>
              <w:jc w:val="center"/>
            </w:pPr>
            <w:r>
              <w:rPr>
                <w:rFonts w:ascii="Calibri" w:hAnsi="Calibri" w:cs="Calibri"/>
              </w:rPr>
              <w:t>0</w:t>
            </w:r>
          </w:p>
        </w:tc>
        <w:tc>
          <w:tcPr>
            <w:tcW w:w="612" w:type="dxa"/>
            <w:shd w:val="clear" w:color="auto" w:fill="auto"/>
            <w:vAlign w:val="center"/>
          </w:tcPr>
          <w:p w14:paraId="630CF749" w14:textId="77777777" w:rsidR="00CD55F1" w:rsidRDefault="00CD55F1" w:rsidP="00024DD9">
            <w:pPr>
              <w:jc w:val="center"/>
            </w:pPr>
            <w:r>
              <w:rPr>
                <w:rFonts w:ascii="Calibri" w:hAnsi="Calibri" w:cs="Calibri"/>
              </w:rPr>
              <w:t>0</w:t>
            </w:r>
          </w:p>
        </w:tc>
        <w:tc>
          <w:tcPr>
            <w:tcW w:w="939" w:type="dxa"/>
            <w:shd w:val="clear" w:color="auto" w:fill="auto"/>
            <w:vAlign w:val="center"/>
          </w:tcPr>
          <w:p w14:paraId="037789EF" w14:textId="77777777" w:rsidR="00CD55F1" w:rsidRDefault="00CD55F1" w:rsidP="00024DD9">
            <w:pPr>
              <w:jc w:val="center"/>
            </w:pPr>
            <w:r>
              <w:rPr>
                <w:rFonts w:ascii="Calibri" w:hAnsi="Calibri" w:cs="Calibri"/>
              </w:rPr>
              <w:t>0</w:t>
            </w:r>
          </w:p>
        </w:tc>
      </w:tr>
      <w:tr w:rsidR="00CD55F1" w:rsidRPr="00F60A9B" w14:paraId="7FC28B55" w14:textId="77777777" w:rsidTr="00024DD9">
        <w:trPr>
          <w:jc w:val="center"/>
        </w:trPr>
        <w:tc>
          <w:tcPr>
            <w:tcW w:w="884" w:type="dxa"/>
            <w:tcBorders>
              <w:right w:val="single" w:sz="12" w:space="0" w:color="auto"/>
            </w:tcBorders>
          </w:tcPr>
          <w:p w14:paraId="5E8C6970"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4BB5D2C4" w14:textId="77777777" w:rsidR="00CD55F1" w:rsidRPr="00F60A9B" w:rsidRDefault="00CD55F1" w:rsidP="00024DD9">
            <w:pPr>
              <w:jc w:val="center"/>
            </w:pPr>
            <w:r>
              <w:rPr>
                <w:rFonts w:ascii="Calibri" w:hAnsi="Calibri" w:cs="Calibri"/>
              </w:rPr>
              <w:t>0</w:t>
            </w:r>
          </w:p>
        </w:tc>
        <w:tc>
          <w:tcPr>
            <w:tcW w:w="668" w:type="dxa"/>
            <w:vAlign w:val="center"/>
          </w:tcPr>
          <w:p w14:paraId="19638452"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9D7EC79"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B9797A8"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51A1B643"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43DA04F4" w14:textId="77777777" w:rsidR="00CD55F1" w:rsidRDefault="00CD55F1" w:rsidP="00024DD9">
            <w:pPr>
              <w:keepNext/>
              <w:jc w:val="center"/>
            </w:pPr>
          </w:p>
        </w:tc>
        <w:tc>
          <w:tcPr>
            <w:tcW w:w="883" w:type="dxa"/>
            <w:vAlign w:val="center"/>
          </w:tcPr>
          <w:p w14:paraId="1DFCCB9A" w14:textId="77777777" w:rsidR="00CD55F1" w:rsidRDefault="00CD55F1" w:rsidP="00024DD9">
            <w:pPr>
              <w:keepNext/>
              <w:jc w:val="center"/>
            </w:pPr>
            <w:r w:rsidRPr="005B7BEE">
              <w:rPr>
                <w:sz w:val="14"/>
                <w:szCs w:val="14"/>
              </w:rPr>
              <w:t>Improbable</w:t>
            </w:r>
          </w:p>
        </w:tc>
        <w:tc>
          <w:tcPr>
            <w:tcW w:w="783" w:type="dxa"/>
            <w:vAlign w:val="center"/>
          </w:tcPr>
          <w:p w14:paraId="061B86F3" w14:textId="77777777" w:rsidR="00CD55F1" w:rsidRDefault="00CD55F1" w:rsidP="00024DD9">
            <w:pPr>
              <w:keepNext/>
              <w:jc w:val="center"/>
            </w:pPr>
            <w:r>
              <w:rPr>
                <w:rFonts w:ascii="Calibri" w:hAnsi="Calibri" w:cs="Calibri"/>
              </w:rPr>
              <w:t>0</w:t>
            </w:r>
          </w:p>
        </w:tc>
        <w:tc>
          <w:tcPr>
            <w:tcW w:w="666" w:type="dxa"/>
            <w:vAlign w:val="center"/>
          </w:tcPr>
          <w:p w14:paraId="6914CE00" w14:textId="77777777" w:rsidR="00CD55F1" w:rsidRDefault="00CD55F1" w:rsidP="00024DD9">
            <w:pPr>
              <w:keepNext/>
              <w:jc w:val="center"/>
            </w:pPr>
            <w:r>
              <w:rPr>
                <w:rFonts w:ascii="Calibri" w:hAnsi="Calibri" w:cs="Calibri"/>
              </w:rPr>
              <w:t>1</w:t>
            </w:r>
          </w:p>
        </w:tc>
        <w:tc>
          <w:tcPr>
            <w:tcW w:w="698" w:type="dxa"/>
            <w:vAlign w:val="center"/>
          </w:tcPr>
          <w:p w14:paraId="5E2FB8E7"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67D56D20" w14:textId="77777777" w:rsidR="00CD55F1" w:rsidRDefault="00CD55F1" w:rsidP="00024DD9">
            <w:pPr>
              <w:keepNext/>
              <w:jc w:val="center"/>
            </w:pPr>
            <w:r>
              <w:rPr>
                <w:rFonts w:ascii="Calibri" w:hAnsi="Calibri" w:cs="Calibri"/>
              </w:rPr>
              <w:t>0</w:t>
            </w:r>
          </w:p>
        </w:tc>
        <w:tc>
          <w:tcPr>
            <w:tcW w:w="939" w:type="dxa"/>
            <w:vAlign w:val="center"/>
          </w:tcPr>
          <w:p w14:paraId="01C86475" w14:textId="77777777" w:rsidR="00CD55F1" w:rsidRDefault="00CD55F1" w:rsidP="00024DD9">
            <w:pPr>
              <w:keepNext/>
              <w:jc w:val="center"/>
            </w:pPr>
            <w:r w:rsidRPr="00F60A9B">
              <w:rPr>
                <w:rFonts w:ascii="Calibri" w:hAnsi="Calibri" w:cs="Calibri"/>
              </w:rPr>
              <w:t>0</w:t>
            </w:r>
          </w:p>
        </w:tc>
      </w:tr>
    </w:tbl>
    <w:p w14:paraId="656829E0" w14:textId="77777777" w:rsidR="00CD55F1" w:rsidRDefault="00CD55F1" w:rsidP="00CD55F1">
      <w:pPr>
        <w:spacing w:before="160"/>
        <w:rPr>
          <w:rFonts w:eastAsiaTheme="minorEastAsia"/>
        </w:rPr>
      </w:pPr>
      <w:r>
        <w:rPr>
          <w:rFonts w:eastAsiaTheme="minorEastAsia"/>
        </w:rPr>
        <w:t xml:space="preserve">Note that this has eliminated all ‘Catastrophic / Fatal’ Risks from the right-hand side of the previous equation.  Now we will eliminate all ‘Critical’ Risks from the right-hand side of the previous equation: </w:t>
      </w:r>
    </w:p>
    <w:p w14:paraId="681B59CD" w14:textId="2C4AFFE5" w:rsidR="00CD55F1" w:rsidRPr="0092516F" w:rsidRDefault="00CD55F1">
      <w:pPr>
        <w:pStyle w:val="ListParagraph"/>
        <w:numPr>
          <w:ilvl w:val="0"/>
          <w:numId w:val="27"/>
        </w:numPr>
        <w:spacing w:before="160"/>
        <w:rPr>
          <w:rFonts w:eastAsiaTheme="minorEastAsia"/>
        </w:rPr>
      </w:pPr>
      <w:r>
        <w:rPr>
          <w:rFonts w:eastAsiaTheme="minorEastAsia"/>
        </w:rPr>
        <w:t xml:space="preserve">First, </w:t>
      </w:r>
      <w:r w:rsidRPr="0092516F">
        <w:rPr>
          <w:rFonts w:eastAsiaTheme="minorEastAsia"/>
        </w:rPr>
        <w:t xml:space="preserve">we will use </w:t>
      </w:r>
      <w:r w:rsidR="0036794A">
        <w:rPr>
          <w:rFonts w:eastAsiaTheme="minorEastAsia"/>
        </w:rPr>
        <w:fldChar w:fldCharType="begin"/>
      </w:r>
      <w:r w:rsidR="0036794A">
        <w:rPr>
          <w:rFonts w:eastAsiaTheme="minorEastAsia"/>
        </w:rPr>
        <w:instrText xml:space="preserve"> REF _Ref151223404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Moving Similar Risks</w:t>
      </w:r>
      <w:r w:rsidR="0036794A">
        <w:rPr>
          <w:rFonts w:eastAsiaTheme="minorEastAsia"/>
        </w:rPr>
        <w:fldChar w:fldCharType="end"/>
      </w:r>
      <w:r w:rsidRPr="0092516F">
        <w:rPr>
          <w:rFonts w:eastAsiaTheme="minorEastAsia"/>
        </w:rPr>
        <w:t xml:space="preserve"> to </w:t>
      </w:r>
      <w:r>
        <w:rPr>
          <w:rFonts w:eastAsiaTheme="minorEastAsia"/>
        </w:rPr>
        <w:t xml:space="preserve">move the risks in the ‘Catastrophic/Fatal’ column of the left-hand side of the previous equation, along the #7 ‘risk band’, to the ‘Critical’ Column: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3A8A3374" w14:textId="77777777" w:rsidTr="00024DD9">
        <w:trPr>
          <w:tblHeader/>
          <w:jc w:val="center"/>
        </w:trPr>
        <w:tc>
          <w:tcPr>
            <w:tcW w:w="884" w:type="dxa"/>
            <w:tcBorders>
              <w:top w:val="nil"/>
              <w:left w:val="nil"/>
              <w:bottom w:val="single" w:sz="4" w:space="0" w:color="auto"/>
            </w:tcBorders>
            <w:vAlign w:val="center"/>
          </w:tcPr>
          <w:p w14:paraId="7C510F18"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CBD1510"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0CDDDEB5"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36B57BB4"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6B5779D6"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15E9F198" w14:textId="77777777" w:rsidR="00CD55F1" w:rsidRPr="005B7BEE" w:rsidRDefault="00CD55F1" w:rsidP="00024DD9">
            <w:pPr>
              <w:jc w:val="center"/>
              <w:rPr>
                <w:sz w:val="14"/>
                <w:szCs w:val="14"/>
              </w:rPr>
            </w:pPr>
            <w:r w:rsidRPr="005B7BEE">
              <w:rPr>
                <w:sz w:val="14"/>
                <w:szCs w:val="14"/>
              </w:rPr>
              <w:t xml:space="preserve">Catastrophic </w:t>
            </w:r>
          </w:p>
          <w:p w14:paraId="4AE60898"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75E487C8"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5B39F851"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9F83495"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22062D52"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6205598F"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0249BAB0"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618BAF74" w14:textId="77777777" w:rsidR="00CD55F1" w:rsidRPr="005B7BEE" w:rsidRDefault="00CD55F1" w:rsidP="00024DD9">
            <w:pPr>
              <w:jc w:val="center"/>
              <w:rPr>
                <w:sz w:val="14"/>
                <w:szCs w:val="14"/>
              </w:rPr>
            </w:pPr>
            <w:r w:rsidRPr="005B7BEE">
              <w:rPr>
                <w:sz w:val="14"/>
                <w:szCs w:val="14"/>
              </w:rPr>
              <w:t xml:space="preserve">Catastrophic </w:t>
            </w:r>
          </w:p>
          <w:p w14:paraId="46D6D3DA"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4DB57E60" w14:textId="77777777" w:rsidTr="00024DD9">
        <w:trPr>
          <w:jc w:val="center"/>
        </w:trPr>
        <w:tc>
          <w:tcPr>
            <w:tcW w:w="884" w:type="dxa"/>
            <w:tcBorders>
              <w:top w:val="single" w:sz="4" w:space="0" w:color="auto"/>
              <w:right w:val="single" w:sz="12" w:space="0" w:color="auto"/>
            </w:tcBorders>
          </w:tcPr>
          <w:p w14:paraId="62E4BA23"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7BC5B81D" w14:textId="77777777" w:rsidR="00CD55F1" w:rsidRPr="00F60A9B" w:rsidRDefault="00CD55F1" w:rsidP="00024DD9">
            <w:pPr>
              <w:jc w:val="center"/>
            </w:pPr>
            <w:r>
              <w:t>0</w:t>
            </w:r>
          </w:p>
        </w:tc>
        <w:tc>
          <w:tcPr>
            <w:tcW w:w="668" w:type="dxa"/>
            <w:tcBorders>
              <w:top w:val="single" w:sz="12" w:space="0" w:color="auto"/>
            </w:tcBorders>
            <w:vAlign w:val="center"/>
          </w:tcPr>
          <w:p w14:paraId="6B3523D9" w14:textId="77777777" w:rsidR="00CD55F1" w:rsidRPr="00210DD1" w:rsidRDefault="00CD55F1" w:rsidP="00024DD9">
            <w:pPr>
              <w:jc w:val="center"/>
            </w:pPr>
            <w:r>
              <w:t>0</w:t>
            </w:r>
          </w:p>
        </w:tc>
        <w:tc>
          <w:tcPr>
            <w:tcW w:w="680" w:type="dxa"/>
            <w:tcBorders>
              <w:top w:val="single" w:sz="12" w:space="0" w:color="auto"/>
            </w:tcBorders>
            <w:vAlign w:val="center"/>
          </w:tcPr>
          <w:p w14:paraId="70AD2AA6" w14:textId="77777777" w:rsidR="00CD55F1" w:rsidRPr="00210DD1" w:rsidRDefault="00CD55F1" w:rsidP="00024DD9">
            <w:pPr>
              <w:jc w:val="center"/>
            </w:pPr>
            <w:r>
              <w:t>0</w:t>
            </w:r>
          </w:p>
        </w:tc>
        <w:tc>
          <w:tcPr>
            <w:tcW w:w="628" w:type="dxa"/>
            <w:tcBorders>
              <w:top w:val="single" w:sz="12" w:space="0" w:color="auto"/>
            </w:tcBorders>
            <w:vAlign w:val="center"/>
          </w:tcPr>
          <w:p w14:paraId="3E4A1505" w14:textId="77777777" w:rsidR="00CD55F1" w:rsidRPr="00210DD1" w:rsidRDefault="00CD55F1" w:rsidP="00024DD9">
            <w:pPr>
              <w:jc w:val="center"/>
            </w:pPr>
            <w:r>
              <w:t>0</w:t>
            </w:r>
          </w:p>
        </w:tc>
        <w:tc>
          <w:tcPr>
            <w:tcW w:w="939" w:type="dxa"/>
            <w:tcBorders>
              <w:top w:val="single" w:sz="12" w:space="0" w:color="auto"/>
            </w:tcBorders>
            <w:vAlign w:val="center"/>
          </w:tcPr>
          <w:p w14:paraId="3B153E41" w14:textId="77777777" w:rsidR="00CD55F1" w:rsidRPr="00F60A9B" w:rsidRDefault="00CD55F1" w:rsidP="00024DD9">
            <w:pPr>
              <w:jc w:val="center"/>
            </w:pPr>
            <w:r>
              <w:t>0</w:t>
            </w:r>
          </w:p>
        </w:tc>
        <w:tc>
          <w:tcPr>
            <w:tcW w:w="287" w:type="dxa"/>
            <w:tcBorders>
              <w:top w:val="nil"/>
              <w:left w:val="nil"/>
              <w:bottom w:val="nil"/>
              <w:right w:val="nil"/>
            </w:tcBorders>
            <w:vAlign w:val="center"/>
          </w:tcPr>
          <w:p w14:paraId="39020A7F" w14:textId="77777777" w:rsidR="00CD55F1" w:rsidRDefault="00CD55F1" w:rsidP="00024DD9">
            <w:pPr>
              <w:jc w:val="center"/>
            </w:pPr>
          </w:p>
        </w:tc>
        <w:tc>
          <w:tcPr>
            <w:tcW w:w="883" w:type="dxa"/>
            <w:tcBorders>
              <w:top w:val="single" w:sz="12" w:space="0" w:color="auto"/>
            </w:tcBorders>
            <w:vAlign w:val="center"/>
          </w:tcPr>
          <w:p w14:paraId="1E597D89"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6A31AA9D" w14:textId="77777777" w:rsidR="00CD55F1" w:rsidRDefault="00CD55F1" w:rsidP="00024DD9">
            <w:pPr>
              <w:jc w:val="center"/>
            </w:pPr>
            <w:r>
              <w:t>0</w:t>
            </w:r>
          </w:p>
        </w:tc>
        <w:tc>
          <w:tcPr>
            <w:tcW w:w="666" w:type="dxa"/>
            <w:tcBorders>
              <w:top w:val="single" w:sz="12" w:space="0" w:color="auto"/>
            </w:tcBorders>
            <w:vAlign w:val="center"/>
          </w:tcPr>
          <w:p w14:paraId="0E6B2B92" w14:textId="77777777" w:rsidR="00CD55F1" w:rsidRDefault="00CD55F1" w:rsidP="00024DD9">
            <w:pPr>
              <w:jc w:val="center"/>
            </w:pPr>
            <w:r>
              <w:t>0</w:t>
            </w:r>
          </w:p>
        </w:tc>
        <w:tc>
          <w:tcPr>
            <w:tcW w:w="698" w:type="dxa"/>
            <w:tcBorders>
              <w:top w:val="single" w:sz="12" w:space="0" w:color="auto"/>
            </w:tcBorders>
            <w:vAlign w:val="center"/>
          </w:tcPr>
          <w:p w14:paraId="40732E0C" w14:textId="77777777" w:rsidR="00CD55F1" w:rsidRDefault="00CD55F1" w:rsidP="00024DD9">
            <w:pPr>
              <w:jc w:val="center"/>
            </w:pPr>
            <w:r>
              <w:t>0</w:t>
            </w:r>
          </w:p>
        </w:tc>
        <w:tc>
          <w:tcPr>
            <w:tcW w:w="612" w:type="dxa"/>
            <w:tcBorders>
              <w:top w:val="single" w:sz="12" w:space="0" w:color="auto"/>
            </w:tcBorders>
            <w:vAlign w:val="center"/>
          </w:tcPr>
          <w:p w14:paraId="1DBA4A11" w14:textId="77777777" w:rsidR="00CD55F1" w:rsidRDefault="00CD55F1" w:rsidP="00024DD9">
            <w:pPr>
              <w:jc w:val="center"/>
            </w:pPr>
            <w:r>
              <w:t>0</w:t>
            </w:r>
          </w:p>
        </w:tc>
        <w:tc>
          <w:tcPr>
            <w:tcW w:w="939" w:type="dxa"/>
            <w:tcBorders>
              <w:top w:val="single" w:sz="12" w:space="0" w:color="auto"/>
            </w:tcBorders>
            <w:vAlign w:val="center"/>
          </w:tcPr>
          <w:p w14:paraId="0EB84180" w14:textId="77777777" w:rsidR="00CD55F1" w:rsidRDefault="00CD55F1" w:rsidP="00024DD9">
            <w:pPr>
              <w:jc w:val="center"/>
            </w:pPr>
            <w:r>
              <w:t>0</w:t>
            </w:r>
          </w:p>
        </w:tc>
      </w:tr>
      <w:tr w:rsidR="00CD55F1" w:rsidRPr="00F60A9B" w14:paraId="7A55AA72" w14:textId="77777777" w:rsidTr="00024DD9">
        <w:trPr>
          <w:jc w:val="center"/>
        </w:trPr>
        <w:tc>
          <w:tcPr>
            <w:tcW w:w="884" w:type="dxa"/>
            <w:tcBorders>
              <w:right w:val="single" w:sz="12" w:space="0" w:color="auto"/>
            </w:tcBorders>
          </w:tcPr>
          <w:p w14:paraId="46BE0F87"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0466820B" w14:textId="77777777" w:rsidR="00CD55F1" w:rsidRDefault="00CD55F1" w:rsidP="00024DD9">
            <w:pPr>
              <w:jc w:val="center"/>
            </w:pPr>
            <w:r>
              <w:t>0</w:t>
            </w:r>
          </w:p>
        </w:tc>
        <w:tc>
          <w:tcPr>
            <w:tcW w:w="668" w:type="dxa"/>
            <w:shd w:val="clear" w:color="auto" w:fill="auto"/>
            <w:vAlign w:val="center"/>
          </w:tcPr>
          <w:p w14:paraId="6B9784DC" w14:textId="77777777" w:rsidR="00CD55F1" w:rsidRPr="00210DD1" w:rsidRDefault="00CD55F1" w:rsidP="00024DD9">
            <w:pPr>
              <w:jc w:val="center"/>
            </w:pPr>
            <w:r>
              <w:t>0</w:t>
            </w:r>
          </w:p>
        </w:tc>
        <w:tc>
          <w:tcPr>
            <w:tcW w:w="680" w:type="dxa"/>
            <w:vAlign w:val="center"/>
          </w:tcPr>
          <w:p w14:paraId="2ED0D3D9" w14:textId="77777777" w:rsidR="00CD55F1" w:rsidRPr="00210DD1" w:rsidRDefault="00CD55F1" w:rsidP="00024DD9">
            <w:pPr>
              <w:jc w:val="center"/>
            </w:pPr>
            <w:r>
              <w:t>0</w:t>
            </w:r>
          </w:p>
        </w:tc>
        <w:tc>
          <w:tcPr>
            <w:tcW w:w="628" w:type="dxa"/>
            <w:vAlign w:val="center"/>
          </w:tcPr>
          <w:p w14:paraId="1C5C0347" w14:textId="77777777" w:rsidR="00CD55F1" w:rsidRPr="00210DD1" w:rsidRDefault="00CD55F1" w:rsidP="00024DD9">
            <w:pPr>
              <w:jc w:val="center"/>
            </w:pPr>
            <w:r>
              <w:t>0</w:t>
            </w:r>
          </w:p>
        </w:tc>
        <w:tc>
          <w:tcPr>
            <w:tcW w:w="939" w:type="dxa"/>
            <w:vAlign w:val="center"/>
          </w:tcPr>
          <w:p w14:paraId="10F66D4C" w14:textId="77777777" w:rsidR="00CD55F1" w:rsidRDefault="00CD55F1" w:rsidP="00024DD9">
            <w:pPr>
              <w:jc w:val="center"/>
            </w:pPr>
            <w:r>
              <w:t>0</w:t>
            </w:r>
          </w:p>
        </w:tc>
        <w:tc>
          <w:tcPr>
            <w:tcW w:w="287" w:type="dxa"/>
            <w:tcBorders>
              <w:top w:val="nil"/>
              <w:left w:val="nil"/>
              <w:bottom w:val="nil"/>
              <w:right w:val="nil"/>
            </w:tcBorders>
            <w:vAlign w:val="center"/>
          </w:tcPr>
          <w:p w14:paraId="58CBC06B" w14:textId="77777777" w:rsidR="00CD55F1" w:rsidRDefault="00CD55F1" w:rsidP="00024DD9">
            <w:pPr>
              <w:jc w:val="center"/>
            </w:pPr>
          </w:p>
        </w:tc>
        <w:tc>
          <w:tcPr>
            <w:tcW w:w="883" w:type="dxa"/>
            <w:vAlign w:val="center"/>
          </w:tcPr>
          <w:p w14:paraId="1BA1B179" w14:textId="77777777" w:rsidR="00CD55F1" w:rsidRPr="005B7BEE" w:rsidRDefault="00CD55F1" w:rsidP="00024DD9">
            <w:pPr>
              <w:jc w:val="center"/>
              <w:rPr>
                <w:sz w:val="14"/>
                <w:szCs w:val="14"/>
              </w:rPr>
            </w:pPr>
            <w:r>
              <w:rPr>
                <w:sz w:val="14"/>
                <w:szCs w:val="14"/>
              </w:rPr>
              <w:t>Often</w:t>
            </w:r>
          </w:p>
        </w:tc>
        <w:tc>
          <w:tcPr>
            <w:tcW w:w="783" w:type="dxa"/>
            <w:vAlign w:val="center"/>
          </w:tcPr>
          <w:p w14:paraId="25223850" w14:textId="77777777" w:rsidR="00CD55F1" w:rsidRDefault="00CD55F1" w:rsidP="00024DD9">
            <w:pPr>
              <w:jc w:val="center"/>
            </w:pPr>
            <w:r>
              <w:t>0</w:t>
            </w:r>
          </w:p>
        </w:tc>
        <w:tc>
          <w:tcPr>
            <w:tcW w:w="666" w:type="dxa"/>
            <w:vAlign w:val="center"/>
          </w:tcPr>
          <w:p w14:paraId="2CD7283C" w14:textId="77777777" w:rsidR="00CD55F1" w:rsidRPr="00210DD1" w:rsidRDefault="00CD55F1" w:rsidP="00024DD9">
            <w:pPr>
              <w:jc w:val="center"/>
            </w:pPr>
            <w:r>
              <w:t>0</w:t>
            </w:r>
          </w:p>
        </w:tc>
        <w:tc>
          <w:tcPr>
            <w:tcW w:w="698" w:type="dxa"/>
            <w:vAlign w:val="center"/>
          </w:tcPr>
          <w:p w14:paraId="552F5119" w14:textId="77777777" w:rsidR="00CD55F1" w:rsidRPr="00210DD1" w:rsidRDefault="00CD55F1" w:rsidP="00024DD9">
            <w:pPr>
              <w:jc w:val="center"/>
            </w:pPr>
            <w:r>
              <w:t>0</w:t>
            </w:r>
          </w:p>
        </w:tc>
        <w:tc>
          <w:tcPr>
            <w:tcW w:w="612" w:type="dxa"/>
            <w:vAlign w:val="center"/>
          </w:tcPr>
          <w:p w14:paraId="13471AFB" w14:textId="77777777" w:rsidR="00CD55F1" w:rsidRPr="00210DD1" w:rsidRDefault="00CD55F1" w:rsidP="00024DD9">
            <w:pPr>
              <w:jc w:val="center"/>
            </w:pPr>
            <w:r>
              <w:t>0</w:t>
            </w:r>
          </w:p>
        </w:tc>
        <w:tc>
          <w:tcPr>
            <w:tcW w:w="939" w:type="dxa"/>
            <w:vAlign w:val="center"/>
          </w:tcPr>
          <w:p w14:paraId="29E2BC11" w14:textId="77777777" w:rsidR="00CD55F1" w:rsidRDefault="00CD55F1" w:rsidP="00024DD9">
            <w:pPr>
              <w:jc w:val="center"/>
            </w:pPr>
            <w:r>
              <w:t>0</w:t>
            </w:r>
          </w:p>
        </w:tc>
      </w:tr>
      <w:tr w:rsidR="00CD55F1" w:rsidRPr="00F60A9B" w14:paraId="0A717900" w14:textId="77777777" w:rsidTr="00024DD9">
        <w:trPr>
          <w:jc w:val="center"/>
        </w:trPr>
        <w:tc>
          <w:tcPr>
            <w:tcW w:w="884" w:type="dxa"/>
            <w:tcBorders>
              <w:right w:val="single" w:sz="12" w:space="0" w:color="auto"/>
            </w:tcBorders>
          </w:tcPr>
          <w:p w14:paraId="4378C230"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0ABE7F23" w14:textId="77777777" w:rsidR="00CD55F1" w:rsidRDefault="00CD55F1" w:rsidP="00024DD9">
            <w:pPr>
              <w:jc w:val="center"/>
            </w:pPr>
            <w:r>
              <w:t>0</w:t>
            </w:r>
          </w:p>
        </w:tc>
        <w:tc>
          <w:tcPr>
            <w:tcW w:w="668" w:type="dxa"/>
            <w:shd w:val="clear" w:color="auto" w:fill="auto"/>
            <w:vAlign w:val="center"/>
          </w:tcPr>
          <w:p w14:paraId="49201112"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E3BB195" w14:textId="77777777" w:rsidR="00CD55F1" w:rsidRPr="00210DD1" w:rsidRDefault="00CD55F1" w:rsidP="00024DD9">
            <w:pPr>
              <w:jc w:val="center"/>
            </w:pPr>
            <w:r w:rsidRPr="00F60A9B">
              <w:rPr>
                <w:rFonts w:ascii="Calibri" w:hAnsi="Calibri" w:cs="Calibri"/>
              </w:rPr>
              <w:t>3</w:t>
            </w:r>
          </w:p>
        </w:tc>
        <w:tc>
          <w:tcPr>
            <w:tcW w:w="628" w:type="dxa"/>
            <w:shd w:val="clear" w:color="auto" w:fill="auto"/>
            <w:vAlign w:val="center"/>
          </w:tcPr>
          <w:p w14:paraId="03189D5D"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6259B28E"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2623CD27" w14:textId="77777777" w:rsidR="00CD55F1" w:rsidRDefault="00CD55F1" w:rsidP="00024DD9">
            <w:pPr>
              <w:jc w:val="center"/>
            </w:pPr>
          </w:p>
        </w:tc>
        <w:tc>
          <w:tcPr>
            <w:tcW w:w="883" w:type="dxa"/>
            <w:shd w:val="clear" w:color="auto" w:fill="auto"/>
            <w:vAlign w:val="center"/>
          </w:tcPr>
          <w:p w14:paraId="46821A4C"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0837BA3E" w14:textId="77777777" w:rsidR="00CD55F1" w:rsidRDefault="00CD55F1" w:rsidP="00024DD9">
            <w:pPr>
              <w:jc w:val="center"/>
            </w:pPr>
            <w:r>
              <w:rPr>
                <w:rFonts w:ascii="Calibri" w:hAnsi="Calibri" w:cs="Calibri"/>
              </w:rPr>
              <w:t>0</w:t>
            </w:r>
          </w:p>
        </w:tc>
        <w:tc>
          <w:tcPr>
            <w:tcW w:w="666" w:type="dxa"/>
            <w:vAlign w:val="center"/>
          </w:tcPr>
          <w:p w14:paraId="5CF08DD3" w14:textId="77777777" w:rsidR="00CD55F1" w:rsidRPr="00210DD1" w:rsidRDefault="00CD55F1" w:rsidP="00024DD9">
            <w:pPr>
              <w:jc w:val="center"/>
            </w:pPr>
            <w:r>
              <w:rPr>
                <w:rFonts w:ascii="Calibri" w:hAnsi="Calibri" w:cs="Calibri"/>
              </w:rPr>
              <w:t>3</w:t>
            </w:r>
          </w:p>
        </w:tc>
        <w:tc>
          <w:tcPr>
            <w:tcW w:w="698" w:type="dxa"/>
            <w:vAlign w:val="center"/>
          </w:tcPr>
          <w:p w14:paraId="137DC56D" w14:textId="77777777" w:rsidR="00CD55F1" w:rsidRPr="00210DD1" w:rsidRDefault="00CD55F1" w:rsidP="00024DD9">
            <w:pPr>
              <w:jc w:val="center"/>
            </w:pPr>
            <w:r w:rsidRPr="00F60A9B">
              <w:rPr>
                <w:rFonts w:ascii="Calibri" w:hAnsi="Calibri" w:cs="Calibri"/>
              </w:rPr>
              <w:t>0</w:t>
            </w:r>
          </w:p>
        </w:tc>
        <w:tc>
          <w:tcPr>
            <w:tcW w:w="612" w:type="dxa"/>
            <w:vAlign w:val="center"/>
          </w:tcPr>
          <w:p w14:paraId="5B0B9E0B" w14:textId="77777777" w:rsidR="00CD55F1" w:rsidRPr="00210DD1" w:rsidRDefault="00CD55F1" w:rsidP="00024DD9">
            <w:pPr>
              <w:jc w:val="center"/>
            </w:pPr>
            <w:r w:rsidRPr="00F60A9B">
              <w:rPr>
                <w:rFonts w:ascii="Calibri" w:hAnsi="Calibri" w:cs="Calibri"/>
              </w:rPr>
              <w:t>0</w:t>
            </w:r>
          </w:p>
        </w:tc>
        <w:tc>
          <w:tcPr>
            <w:tcW w:w="939" w:type="dxa"/>
            <w:vAlign w:val="center"/>
          </w:tcPr>
          <w:p w14:paraId="67BAF5B8" w14:textId="77777777" w:rsidR="00CD55F1" w:rsidRDefault="00CD55F1" w:rsidP="00024DD9">
            <w:pPr>
              <w:jc w:val="center"/>
            </w:pPr>
            <w:r w:rsidRPr="00F60A9B">
              <w:rPr>
                <w:rFonts w:ascii="Calibri" w:hAnsi="Calibri" w:cs="Calibri"/>
              </w:rPr>
              <w:t>0</w:t>
            </w:r>
          </w:p>
        </w:tc>
      </w:tr>
      <w:tr w:rsidR="00CD55F1" w:rsidRPr="00F60A9B" w14:paraId="4AC1C9DC" w14:textId="77777777" w:rsidTr="00024DD9">
        <w:trPr>
          <w:jc w:val="center"/>
        </w:trPr>
        <w:tc>
          <w:tcPr>
            <w:tcW w:w="884" w:type="dxa"/>
            <w:tcBorders>
              <w:right w:val="single" w:sz="12" w:space="0" w:color="auto"/>
            </w:tcBorders>
          </w:tcPr>
          <w:p w14:paraId="3E3BB0B8"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12F753C5" w14:textId="77777777" w:rsidR="00CD55F1" w:rsidRPr="00F60A9B" w:rsidRDefault="00CD55F1" w:rsidP="00024DD9">
            <w:pPr>
              <w:jc w:val="center"/>
            </w:pPr>
            <w:r>
              <w:t>0</w:t>
            </w:r>
          </w:p>
        </w:tc>
        <w:tc>
          <w:tcPr>
            <w:tcW w:w="668" w:type="dxa"/>
            <w:shd w:val="clear" w:color="auto" w:fill="auto"/>
            <w:vAlign w:val="center"/>
          </w:tcPr>
          <w:p w14:paraId="355566A3"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284F4C4A" w14:textId="77777777" w:rsidR="00CD55F1" w:rsidRPr="00210DD1" w:rsidRDefault="00CD55F1" w:rsidP="00024DD9">
            <w:pPr>
              <w:jc w:val="center"/>
            </w:pPr>
            <w:r>
              <w:rPr>
                <w:rFonts w:ascii="Calibri" w:hAnsi="Calibri" w:cs="Calibri"/>
              </w:rPr>
              <w:t>2</w:t>
            </w:r>
          </w:p>
        </w:tc>
        <w:tc>
          <w:tcPr>
            <w:tcW w:w="628" w:type="dxa"/>
            <w:shd w:val="clear" w:color="auto" w:fill="D9E2F3" w:themeFill="accent1" w:themeFillTint="33"/>
            <w:vAlign w:val="center"/>
          </w:tcPr>
          <w:p w14:paraId="052E7AE5" w14:textId="77777777" w:rsidR="00CD55F1" w:rsidRPr="00210DD1" w:rsidRDefault="00CD55F1" w:rsidP="00024DD9">
            <w:pPr>
              <w:jc w:val="center"/>
            </w:pPr>
            <w:r w:rsidRPr="00F60A9B">
              <w:rPr>
                <w:rFonts w:ascii="Calibri" w:hAnsi="Calibri" w:cs="Calibri"/>
              </w:rPr>
              <w:t>0</w:t>
            </w:r>
            <w:r>
              <w:rPr>
                <w:rFonts w:ascii="Calibri" w:hAnsi="Calibri" w:cs="Calibri"/>
              </w:rPr>
              <w:t>+1 = 1</w:t>
            </w:r>
          </w:p>
        </w:tc>
        <w:tc>
          <w:tcPr>
            <w:tcW w:w="939" w:type="dxa"/>
            <w:shd w:val="clear" w:color="auto" w:fill="auto"/>
            <w:vAlign w:val="center"/>
          </w:tcPr>
          <w:p w14:paraId="632D45A8"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5AD62D26"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658EF2F4" w14:textId="77777777" w:rsidR="00CD55F1" w:rsidRDefault="00CD55F1" w:rsidP="00024DD9">
            <w:pPr>
              <w:jc w:val="center"/>
            </w:pPr>
            <w:r w:rsidRPr="005B7BEE">
              <w:rPr>
                <w:sz w:val="14"/>
                <w:szCs w:val="14"/>
              </w:rPr>
              <w:t>Probable</w:t>
            </w:r>
          </w:p>
        </w:tc>
        <w:tc>
          <w:tcPr>
            <w:tcW w:w="783" w:type="dxa"/>
            <w:shd w:val="clear" w:color="auto" w:fill="auto"/>
            <w:vAlign w:val="center"/>
          </w:tcPr>
          <w:p w14:paraId="380B66EA" w14:textId="77777777" w:rsidR="00CD55F1" w:rsidRDefault="00CD55F1" w:rsidP="00024DD9">
            <w:pPr>
              <w:jc w:val="center"/>
            </w:pPr>
            <w:r>
              <w:rPr>
                <w:rFonts w:ascii="Calibri" w:hAnsi="Calibri" w:cs="Calibri"/>
              </w:rPr>
              <w:t>1</w:t>
            </w:r>
          </w:p>
        </w:tc>
        <w:tc>
          <w:tcPr>
            <w:tcW w:w="666" w:type="dxa"/>
            <w:shd w:val="clear" w:color="auto" w:fill="auto"/>
            <w:vAlign w:val="center"/>
          </w:tcPr>
          <w:p w14:paraId="2877E48B" w14:textId="77777777" w:rsidR="00CD55F1" w:rsidRDefault="00CD55F1" w:rsidP="00024DD9">
            <w:pPr>
              <w:jc w:val="center"/>
            </w:pPr>
            <w:r>
              <w:rPr>
                <w:rFonts w:ascii="Calibri" w:hAnsi="Calibri" w:cs="Calibri"/>
              </w:rPr>
              <w:t>1</w:t>
            </w:r>
          </w:p>
        </w:tc>
        <w:tc>
          <w:tcPr>
            <w:tcW w:w="698" w:type="dxa"/>
            <w:shd w:val="clear" w:color="auto" w:fill="auto"/>
            <w:vAlign w:val="center"/>
          </w:tcPr>
          <w:p w14:paraId="1A87718E" w14:textId="77777777" w:rsidR="00CD55F1" w:rsidRDefault="00CD55F1" w:rsidP="00024DD9">
            <w:pPr>
              <w:jc w:val="center"/>
            </w:pPr>
            <w:r>
              <w:rPr>
                <w:rFonts w:ascii="Calibri" w:hAnsi="Calibri" w:cs="Calibri"/>
              </w:rPr>
              <w:t>0</w:t>
            </w:r>
          </w:p>
        </w:tc>
        <w:tc>
          <w:tcPr>
            <w:tcW w:w="612" w:type="dxa"/>
            <w:vAlign w:val="center"/>
          </w:tcPr>
          <w:p w14:paraId="591C0BE2" w14:textId="77777777" w:rsidR="00CD55F1" w:rsidRDefault="00CD55F1" w:rsidP="00024DD9">
            <w:pPr>
              <w:jc w:val="center"/>
            </w:pPr>
            <w:r w:rsidRPr="00F60A9B">
              <w:rPr>
                <w:rFonts w:ascii="Calibri" w:hAnsi="Calibri" w:cs="Calibri"/>
              </w:rPr>
              <w:t>1</w:t>
            </w:r>
          </w:p>
        </w:tc>
        <w:tc>
          <w:tcPr>
            <w:tcW w:w="939" w:type="dxa"/>
            <w:vAlign w:val="center"/>
          </w:tcPr>
          <w:p w14:paraId="2400B8E4" w14:textId="77777777" w:rsidR="00CD55F1" w:rsidRDefault="00CD55F1" w:rsidP="00024DD9">
            <w:pPr>
              <w:jc w:val="center"/>
            </w:pPr>
            <w:r w:rsidRPr="00F60A9B">
              <w:rPr>
                <w:rFonts w:ascii="Calibri" w:hAnsi="Calibri" w:cs="Calibri"/>
              </w:rPr>
              <w:t>0</w:t>
            </w:r>
          </w:p>
        </w:tc>
      </w:tr>
      <w:tr w:rsidR="00CD55F1" w:rsidRPr="00F60A9B" w14:paraId="1C654EBB" w14:textId="77777777" w:rsidTr="00024DD9">
        <w:trPr>
          <w:jc w:val="center"/>
        </w:trPr>
        <w:tc>
          <w:tcPr>
            <w:tcW w:w="884" w:type="dxa"/>
            <w:tcBorders>
              <w:right w:val="single" w:sz="12" w:space="0" w:color="auto"/>
            </w:tcBorders>
          </w:tcPr>
          <w:p w14:paraId="0769DE42"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03803B95"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697A800B"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1B8F19B0"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BD939CC" w14:textId="77777777" w:rsidR="00CD55F1" w:rsidRPr="00210DD1" w:rsidRDefault="00CD55F1" w:rsidP="00024DD9">
            <w:pPr>
              <w:jc w:val="center"/>
            </w:pPr>
            <w:r>
              <w:t>2</w:t>
            </w:r>
          </w:p>
        </w:tc>
        <w:tc>
          <w:tcPr>
            <w:tcW w:w="939" w:type="dxa"/>
            <w:shd w:val="clear" w:color="auto" w:fill="D9E2F3" w:themeFill="accent1" w:themeFillTint="33"/>
            <w:vAlign w:val="center"/>
          </w:tcPr>
          <w:p w14:paraId="378B1E2D" w14:textId="77777777" w:rsidR="00CD55F1" w:rsidRPr="00F60A9B" w:rsidRDefault="00CD55F1" w:rsidP="00024DD9">
            <w:pPr>
              <w:jc w:val="center"/>
            </w:pPr>
            <w:r>
              <w:rPr>
                <w:rFonts w:ascii="Calibri" w:hAnsi="Calibri" w:cs="Calibri"/>
              </w:rPr>
              <w:t>9-1=8</w:t>
            </w:r>
          </w:p>
        </w:tc>
        <w:tc>
          <w:tcPr>
            <w:tcW w:w="287" w:type="dxa"/>
            <w:tcBorders>
              <w:top w:val="nil"/>
              <w:left w:val="nil"/>
              <w:bottom w:val="nil"/>
              <w:right w:val="nil"/>
            </w:tcBorders>
            <w:shd w:val="clear" w:color="auto" w:fill="auto"/>
            <w:vAlign w:val="center"/>
          </w:tcPr>
          <w:p w14:paraId="6F1180BB" w14:textId="77777777" w:rsidR="00CD55F1" w:rsidRDefault="00CD55F1" w:rsidP="00024DD9">
            <w:pPr>
              <w:jc w:val="center"/>
            </w:pPr>
          </w:p>
        </w:tc>
        <w:tc>
          <w:tcPr>
            <w:tcW w:w="883" w:type="dxa"/>
            <w:shd w:val="clear" w:color="auto" w:fill="auto"/>
            <w:vAlign w:val="center"/>
          </w:tcPr>
          <w:p w14:paraId="0D8484B7" w14:textId="77777777" w:rsidR="00CD55F1" w:rsidRDefault="00CD55F1" w:rsidP="00024DD9">
            <w:pPr>
              <w:jc w:val="center"/>
            </w:pPr>
            <w:r w:rsidRPr="005B7BEE">
              <w:rPr>
                <w:sz w:val="14"/>
                <w:szCs w:val="14"/>
              </w:rPr>
              <w:t>Occasional</w:t>
            </w:r>
          </w:p>
        </w:tc>
        <w:tc>
          <w:tcPr>
            <w:tcW w:w="783" w:type="dxa"/>
            <w:shd w:val="clear" w:color="auto" w:fill="auto"/>
            <w:vAlign w:val="center"/>
          </w:tcPr>
          <w:p w14:paraId="2FE420D8" w14:textId="77777777" w:rsidR="00CD55F1" w:rsidRDefault="00CD55F1" w:rsidP="00024DD9">
            <w:pPr>
              <w:jc w:val="center"/>
            </w:pPr>
            <w:r>
              <w:rPr>
                <w:rFonts w:ascii="Calibri" w:hAnsi="Calibri" w:cs="Calibri"/>
              </w:rPr>
              <w:t>1</w:t>
            </w:r>
          </w:p>
        </w:tc>
        <w:tc>
          <w:tcPr>
            <w:tcW w:w="666" w:type="dxa"/>
            <w:shd w:val="clear" w:color="auto" w:fill="auto"/>
            <w:vAlign w:val="center"/>
          </w:tcPr>
          <w:p w14:paraId="5DCCD96E" w14:textId="77777777" w:rsidR="00CD55F1" w:rsidRDefault="00CD55F1" w:rsidP="00024DD9">
            <w:pPr>
              <w:jc w:val="center"/>
            </w:pPr>
            <w:r>
              <w:rPr>
                <w:rFonts w:ascii="Calibri" w:hAnsi="Calibri" w:cs="Calibri"/>
              </w:rPr>
              <w:t>0</w:t>
            </w:r>
          </w:p>
        </w:tc>
        <w:tc>
          <w:tcPr>
            <w:tcW w:w="698" w:type="dxa"/>
            <w:vAlign w:val="center"/>
          </w:tcPr>
          <w:p w14:paraId="16BE3E6F" w14:textId="77777777" w:rsidR="00CD55F1" w:rsidRDefault="00CD55F1" w:rsidP="00024DD9">
            <w:pPr>
              <w:jc w:val="center"/>
            </w:pPr>
            <w:r>
              <w:rPr>
                <w:rFonts w:ascii="Calibri" w:hAnsi="Calibri" w:cs="Calibri"/>
              </w:rPr>
              <w:t>0</w:t>
            </w:r>
          </w:p>
        </w:tc>
        <w:tc>
          <w:tcPr>
            <w:tcW w:w="612" w:type="dxa"/>
            <w:vAlign w:val="center"/>
          </w:tcPr>
          <w:p w14:paraId="1B6DEA44" w14:textId="77777777" w:rsidR="00CD55F1" w:rsidRDefault="00CD55F1" w:rsidP="00024DD9">
            <w:pPr>
              <w:jc w:val="center"/>
            </w:pPr>
            <w:r>
              <w:rPr>
                <w:rFonts w:ascii="Calibri" w:hAnsi="Calibri" w:cs="Calibri"/>
              </w:rPr>
              <w:t>0</w:t>
            </w:r>
          </w:p>
        </w:tc>
        <w:tc>
          <w:tcPr>
            <w:tcW w:w="939" w:type="dxa"/>
            <w:shd w:val="clear" w:color="auto" w:fill="auto"/>
            <w:vAlign w:val="center"/>
          </w:tcPr>
          <w:p w14:paraId="62C0E02F" w14:textId="77777777" w:rsidR="00CD55F1" w:rsidRDefault="00CD55F1" w:rsidP="00024DD9">
            <w:pPr>
              <w:jc w:val="center"/>
            </w:pPr>
            <w:r>
              <w:rPr>
                <w:rFonts w:ascii="Calibri" w:hAnsi="Calibri" w:cs="Calibri"/>
              </w:rPr>
              <w:t>0</w:t>
            </w:r>
          </w:p>
        </w:tc>
      </w:tr>
      <w:tr w:rsidR="00CD55F1" w:rsidRPr="00F60A9B" w14:paraId="1F47B9C1" w14:textId="77777777" w:rsidTr="00024DD9">
        <w:trPr>
          <w:jc w:val="center"/>
        </w:trPr>
        <w:tc>
          <w:tcPr>
            <w:tcW w:w="884" w:type="dxa"/>
            <w:tcBorders>
              <w:right w:val="single" w:sz="12" w:space="0" w:color="auto"/>
            </w:tcBorders>
          </w:tcPr>
          <w:p w14:paraId="758A25BC"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4FD69A47" w14:textId="77777777" w:rsidR="00CD55F1" w:rsidRPr="00F60A9B" w:rsidRDefault="00CD55F1" w:rsidP="00024DD9">
            <w:pPr>
              <w:jc w:val="center"/>
            </w:pPr>
            <w:r>
              <w:rPr>
                <w:rFonts w:ascii="Calibri" w:hAnsi="Calibri" w:cs="Calibri"/>
              </w:rPr>
              <w:t>3</w:t>
            </w:r>
          </w:p>
        </w:tc>
        <w:tc>
          <w:tcPr>
            <w:tcW w:w="668" w:type="dxa"/>
            <w:vAlign w:val="center"/>
          </w:tcPr>
          <w:p w14:paraId="76E96EBB"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449ED13"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318D688"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7AEAF725"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23183B2F" w14:textId="77777777" w:rsidR="00CD55F1" w:rsidRDefault="00CD55F1" w:rsidP="00024DD9">
            <w:pPr>
              <w:jc w:val="center"/>
            </w:pPr>
          </w:p>
        </w:tc>
        <w:tc>
          <w:tcPr>
            <w:tcW w:w="883" w:type="dxa"/>
            <w:shd w:val="clear" w:color="auto" w:fill="auto"/>
            <w:vAlign w:val="center"/>
          </w:tcPr>
          <w:p w14:paraId="73A32D8C" w14:textId="77777777" w:rsidR="00CD55F1" w:rsidRDefault="00CD55F1" w:rsidP="00024DD9">
            <w:pPr>
              <w:jc w:val="center"/>
            </w:pPr>
            <w:r w:rsidRPr="005B7BEE">
              <w:rPr>
                <w:sz w:val="14"/>
                <w:szCs w:val="14"/>
              </w:rPr>
              <w:t>Remote</w:t>
            </w:r>
          </w:p>
        </w:tc>
        <w:tc>
          <w:tcPr>
            <w:tcW w:w="783" w:type="dxa"/>
            <w:shd w:val="clear" w:color="auto" w:fill="auto"/>
            <w:vAlign w:val="center"/>
          </w:tcPr>
          <w:p w14:paraId="56174BE5" w14:textId="77777777" w:rsidR="00CD55F1" w:rsidRDefault="00CD55F1" w:rsidP="00024DD9">
            <w:pPr>
              <w:jc w:val="center"/>
            </w:pPr>
            <w:r>
              <w:rPr>
                <w:rFonts w:ascii="Calibri" w:hAnsi="Calibri" w:cs="Calibri"/>
              </w:rPr>
              <w:t>0</w:t>
            </w:r>
          </w:p>
        </w:tc>
        <w:tc>
          <w:tcPr>
            <w:tcW w:w="666" w:type="dxa"/>
            <w:shd w:val="clear" w:color="auto" w:fill="auto"/>
            <w:vAlign w:val="center"/>
          </w:tcPr>
          <w:p w14:paraId="56C769BB" w14:textId="77777777" w:rsidR="00CD55F1" w:rsidRDefault="00CD55F1" w:rsidP="00024DD9">
            <w:pPr>
              <w:jc w:val="center"/>
            </w:pPr>
            <w:r>
              <w:rPr>
                <w:rFonts w:ascii="Calibri" w:hAnsi="Calibri" w:cs="Calibri"/>
              </w:rPr>
              <w:t>2</w:t>
            </w:r>
          </w:p>
        </w:tc>
        <w:tc>
          <w:tcPr>
            <w:tcW w:w="698" w:type="dxa"/>
            <w:shd w:val="clear" w:color="auto" w:fill="auto"/>
            <w:vAlign w:val="center"/>
          </w:tcPr>
          <w:p w14:paraId="3B300719" w14:textId="77777777" w:rsidR="00CD55F1" w:rsidRDefault="00CD55F1" w:rsidP="00024DD9">
            <w:pPr>
              <w:jc w:val="center"/>
            </w:pPr>
            <w:r>
              <w:rPr>
                <w:rFonts w:ascii="Calibri" w:hAnsi="Calibri" w:cs="Calibri"/>
              </w:rPr>
              <w:t>0</w:t>
            </w:r>
          </w:p>
        </w:tc>
        <w:tc>
          <w:tcPr>
            <w:tcW w:w="612" w:type="dxa"/>
            <w:shd w:val="clear" w:color="auto" w:fill="auto"/>
            <w:vAlign w:val="center"/>
          </w:tcPr>
          <w:p w14:paraId="3C8D0D98" w14:textId="77777777" w:rsidR="00CD55F1" w:rsidRDefault="00CD55F1" w:rsidP="00024DD9">
            <w:pPr>
              <w:jc w:val="center"/>
            </w:pPr>
            <w:r>
              <w:rPr>
                <w:rFonts w:ascii="Calibri" w:hAnsi="Calibri" w:cs="Calibri"/>
              </w:rPr>
              <w:t>0</w:t>
            </w:r>
          </w:p>
        </w:tc>
        <w:tc>
          <w:tcPr>
            <w:tcW w:w="939" w:type="dxa"/>
            <w:shd w:val="clear" w:color="auto" w:fill="auto"/>
            <w:vAlign w:val="center"/>
          </w:tcPr>
          <w:p w14:paraId="0A4F4CF3" w14:textId="77777777" w:rsidR="00CD55F1" w:rsidRDefault="00CD55F1" w:rsidP="00024DD9">
            <w:pPr>
              <w:jc w:val="center"/>
            </w:pPr>
            <w:r>
              <w:rPr>
                <w:rFonts w:ascii="Calibri" w:hAnsi="Calibri" w:cs="Calibri"/>
              </w:rPr>
              <w:t>0</w:t>
            </w:r>
          </w:p>
        </w:tc>
      </w:tr>
      <w:tr w:rsidR="00CD55F1" w:rsidRPr="00F60A9B" w14:paraId="3D2E3ABF" w14:textId="77777777" w:rsidTr="00024DD9">
        <w:trPr>
          <w:jc w:val="center"/>
        </w:trPr>
        <w:tc>
          <w:tcPr>
            <w:tcW w:w="884" w:type="dxa"/>
            <w:tcBorders>
              <w:right w:val="single" w:sz="12" w:space="0" w:color="auto"/>
            </w:tcBorders>
          </w:tcPr>
          <w:p w14:paraId="1DADF2CA"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3547E269" w14:textId="77777777" w:rsidR="00CD55F1" w:rsidRPr="00F60A9B" w:rsidRDefault="00CD55F1" w:rsidP="00024DD9">
            <w:pPr>
              <w:jc w:val="center"/>
            </w:pPr>
            <w:r>
              <w:rPr>
                <w:rFonts w:ascii="Calibri" w:hAnsi="Calibri" w:cs="Calibri"/>
              </w:rPr>
              <w:t>0</w:t>
            </w:r>
          </w:p>
        </w:tc>
        <w:tc>
          <w:tcPr>
            <w:tcW w:w="668" w:type="dxa"/>
            <w:vAlign w:val="center"/>
          </w:tcPr>
          <w:p w14:paraId="21C5A45F"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63F9C4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15AA8AE"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4E05FC18"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56A4F93D" w14:textId="77777777" w:rsidR="00CD55F1" w:rsidRDefault="00CD55F1" w:rsidP="00024DD9">
            <w:pPr>
              <w:keepNext/>
              <w:jc w:val="center"/>
            </w:pPr>
          </w:p>
        </w:tc>
        <w:tc>
          <w:tcPr>
            <w:tcW w:w="883" w:type="dxa"/>
            <w:vAlign w:val="center"/>
          </w:tcPr>
          <w:p w14:paraId="11FA6ECE" w14:textId="77777777" w:rsidR="00CD55F1" w:rsidRDefault="00CD55F1" w:rsidP="00024DD9">
            <w:pPr>
              <w:keepNext/>
              <w:jc w:val="center"/>
            </w:pPr>
            <w:r w:rsidRPr="005B7BEE">
              <w:rPr>
                <w:sz w:val="14"/>
                <w:szCs w:val="14"/>
              </w:rPr>
              <w:t>Improbable</w:t>
            </w:r>
          </w:p>
        </w:tc>
        <w:tc>
          <w:tcPr>
            <w:tcW w:w="783" w:type="dxa"/>
            <w:vAlign w:val="center"/>
          </w:tcPr>
          <w:p w14:paraId="4F799FEA" w14:textId="77777777" w:rsidR="00CD55F1" w:rsidRDefault="00CD55F1" w:rsidP="00024DD9">
            <w:pPr>
              <w:keepNext/>
              <w:jc w:val="center"/>
            </w:pPr>
            <w:r>
              <w:rPr>
                <w:rFonts w:ascii="Calibri" w:hAnsi="Calibri" w:cs="Calibri"/>
              </w:rPr>
              <w:t>0</w:t>
            </w:r>
          </w:p>
        </w:tc>
        <w:tc>
          <w:tcPr>
            <w:tcW w:w="666" w:type="dxa"/>
            <w:vAlign w:val="center"/>
          </w:tcPr>
          <w:p w14:paraId="07F8AE00" w14:textId="77777777" w:rsidR="00CD55F1" w:rsidRDefault="00CD55F1" w:rsidP="00024DD9">
            <w:pPr>
              <w:keepNext/>
              <w:jc w:val="center"/>
            </w:pPr>
            <w:r>
              <w:rPr>
                <w:rFonts w:ascii="Calibri" w:hAnsi="Calibri" w:cs="Calibri"/>
              </w:rPr>
              <w:t>1</w:t>
            </w:r>
          </w:p>
        </w:tc>
        <w:tc>
          <w:tcPr>
            <w:tcW w:w="698" w:type="dxa"/>
            <w:vAlign w:val="center"/>
          </w:tcPr>
          <w:p w14:paraId="6A37EF3E"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7EE21508" w14:textId="77777777" w:rsidR="00CD55F1" w:rsidRDefault="00CD55F1" w:rsidP="00024DD9">
            <w:pPr>
              <w:keepNext/>
              <w:jc w:val="center"/>
            </w:pPr>
            <w:r>
              <w:rPr>
                <w:rFonts w:ascii="Calibri" w:hAnsi="Calibri" w:cs="Calibri"/>
              </w:rPr>
              <w:t>0</w:t>
            </w:r>
          </w:p>
        </w:tc>
        <w:tc>
          <w:tcPr>
            <w:tcW w:w="939" w:type="dxa"/>
            <w:vAlign w:val="center"/>
          </w:tcPr>
          <w:p w14:paraId="424DC93F" w14:textId="77777777" w:rsidR="00CD55F1" w:rsidRDefault="00CD55F1" w:rsidP="00024DD9">
            <w:pPr>
              <w:keepNext/>
              <w:jc w:val="center"/>
            </w:pPr>
            <w:r w:rsidRPr="00F60A9B">
              <w:rPr>
                <w:rFonts w:ascii="Calibri" w:hAnsi="Calibri" w:cs="Calibri"/>
              </w:rPr>
              <w:t>0</w:t>
            </w:r>
          </w:p>
        </w:tc>
      </w:tr>
    </w:tbl>
    <w:p w14:paraId="31908874" w14:textId="5FF4CD70" w:rsidR="00CD55F1" w:rsidRDefault="00CD55F1">
      <w:pPr>
        <w:pStyle w:val="ListParagraph"/>
        <w:numPr>
          <w:ilvl w:val="0"/>
          <w:numId w:val="27"/>
        </w:numPr>
        <w:spacing w:before="160"/>
        <w:rPr>
          <w:rFonts w:eastAsiaTheme="minorEastAsia"/>
        </w:rPr>
      </w:pPr>
      <w:r>
        <w:rPr>
          <w:rFonts w:eastAsiaTheme="minorEastAsia"/>
        </w:rPr>
        <w:t xml:space="preserve">We can now use </w:t>
      </w:r>
      <w:r w:rsidR="0036794A">
        <w:rPr>
          <w:rFonts w:eastAsiaTheme="minorEastAsia"/>
        </w:rPr>
        <w:fldChar w:fldCharType="begin"/>
      </w:r>
      <w:r w:rsidR="0036794A">
        <w:rPr>
          <w:rFonts w:eastAsiaTheme="minorEastAsia"/>
        </w:rPr>
        <w:instrText xml:space="preserve"> REF _Ref151218484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Removing Identical Risks</w:t>
      </w:r>
      <w:r w:rsidR="0036794A">
        <w:rPr>
          <w:rFonts w:eastAsiaTheme="minorEastAsia"/>
        </w:rPr>
        <w:fldChar w:fldCharType="end"/>
      </w:r>
      <w:r>
        <w:rPr>
          <w:rFonts w:eastAsiaTheme="minorEastAsia"/>
        </w:rPr>
        <w:t xml:space="preserve"> to simplify both sides of the previous equation: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603EB249" w14:textId="77777777" w:rsidTr="00024DD9">
        <w:trPr>
          <w:tblHeader/>
          <w:jc w:val="center"/>
        </w:trPr>
        <w:tc>
          <w:tcPr>
            <w:tcW w:w="884" w:type="dxa"/>
            <w:tcBorders>
              <w:top w:val="nil"/>
              <w:left w:val="nil"/>
              <w:bottom w:val="single" w:sz="4" w:space="0" w:color="auto"/>
            </w:tcBorders>
            <w:vAlign w:val="center"/>
          </w:tcPr>
          <w:p w14:paraId="10CFA688"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9346176"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398BAC3B"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3E5B2E66"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4B0FC629"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3731FB32" w14:textId="77777777" w:rsidR="00CD55F1" w:rsidRPr="005B7BEE" w:rsidRDefault="00CD55F1" w:rsidP="00024DD9">
            <w:pPr>
              <w:jc w:val="center"/>
              <w:rPr>
                <w:sz w:val="14"/>
                <w:szCs w:val="14"/>
              </w:rPr>
            </w:pPr>
            <w:r w:rsidRPr="005B7BEE">
              <w:rPr>
                <w:sz w:val="14"/>
                <w:szCs w:val="14"/>
              </w:rPr>
              <w:t xml:space="preserve">Catastrophic </w:t>
            </w:r>
          </w:p>
          <w:p w14:paraId="137E8103"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77280D61" w14:textId="77777777" w:rsidR="00CD55F1" w:rsidRPr="005B7BEE" w:rsidRDefault="00CD55F1" w:rsidP="001E05F8">
            <w:pPr>
              <w:jc w:val="center"/>
              <w:rPr>
                <w:sz w:val="14"/>
                <w:szCs w:val="14"/>
              </w:rPr>
            </w:pPr>
          </w:p>
        </w:tc>
        <w:tc>
          <w:tcPr>
            <w:tcW w:w="883" w:type="dxa"/>
            <w:tcBorders>
              <w:top w:val="nil"/>
              <w:left w:val="nil"/>
              <w:bottom w:val="single" w:sz="12" w:space="0" w:color="auto"/>
            </w:tcBorders>
            <w:vAlign w:val="center"/>
          </w:tcPr>
          <w:p w14:paraId="56963268"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B189679"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59517FDD"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26A32E4F"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5D344B30"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3A355D02" w14:textId="77777777" w:rsidR="00CD55F1" w:rsidRPr="005B7BEE" w:rsidRDefault="00CD55F1" w:rsidP="00024DD9">
            <w:pPr>
              <w:jc w:val="center"/>
              <w:rPr>
                <w:sz w:val="14"/>
                <w:szCs w:val="14"/>
              </w:rPr>
            </w:pPr>
            <w:r w:rsidRPr="005B7BEE">
              <w:rPr>
                <w:sz w:val="14"/>
                <w:szCs w:val="14"/>
              </w:rPr>
              <w:t xml:space="preserve">Catastrophic </w:t>
            </w:r>
          </w:p>
          <w:p w14:paraId="2C3DF723"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49BED03E" w14:textId="77777777" w:rsidTr="00024DD9">
        <w:trPr>
          <w:jc w:val="center"/>
        </w:trPr>
        <w:tc>
          <w:tcPr>
            <w:tcW w:w="884" w:type="dxa"/>
            <w:tcBorders>
              <w:top w:val="single" w:sz="4" w:space="0" w:color="auto"/>
              <w:right w:val="single" w:sz="12" w:space="0" w:color="auto"/>
            </w:tcBorders>
          </w:tcPr>
          <w:p w14:paraId="604A79AD"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242AD5EA" w14:textId="77777777" w:rsidR="00CD55F1" w:rsidRPr="00F60A9B" w:rsidRDefault="00CD55F1" w:rsidP="00024DD9">
            <w:pPr>
              <w:jc w:val="center"/>
            </w:pPr>
            <w:r>
              <w:t>0</w:t>
            </w:r>
          </w:p>
        </w:tc>
        <w:tc>
          <w:tcPr>
            <w:tcW w:w="668" w:type="dxa"/>
            <w:tcBorders>
              <w:top w:val="single" w:sz="12" w:space="0" w:color="auto"/>
            </w:tcBorders>
            <w:vAlign w:val="center"/>
          </w:tcPr>
          <w:p w14:paraId="1A5D3359" w14:textId="77777777" w:rsidR="00CD55F1" w:rsidRPr="00210DD1" w:rsidRDefault="00CD55F1" w:rsidP="00024DD9">
            <w:pPr>
              <w:jc w:val="center"/>
            </w:pPr>
            <w:r>
              <w:t>0</w:t>
            </w:r>
          </w:p>
        </w:tc>
        <w:tc>
          <w:tcPr>
            <w:tcW w:w="680" w:type="dxa"/>
            <w:tcBorders>
              <w:top w:val="single" w:sz="12" w:space="0" w:color="auto"/>
            </w:tcBorders>
            <w:vAlign w:val="center"/>
          </w:tcPr>
          <w:p w14:paraId="04879FCC" w14:textId="77777777" w:rsidR="00CD55F1" w:rsidRPr="00210DD1" w:rsidRDefault="00CD55F1" w:rsidP="00024DD9">
            <w:pPr>
              <w:jc w:val="center"/>
            </w:pPr>
            <w:r>
              <w:t>0</w:t>
            </w:r>
          </w:p>
        </w:tc>
        <w:tc>
          <w:tcPr>
            <w:tcW w:w="628" w:type="dxa"/>
            <w:tcBorders>
              <w:top w:val="single" w:sz="12" w:space="0" w:color="auto"/>
            </w:tcBorders>
            <w:vAlign w:val="center"/>
          </w:tcPr>
          <w:p w14:paraId="620A0D01" w14:textId="77777777" w:rsidR="00CD55F1" w:rsidRPr="00210DD1" w:rsidRDefault="00CD55F1" w:rsidP="00024DD9">
            <w:pPr>
              <w:jc w:val="center"/>
            </w:pPr>
            <w:r>
              <w:t>0</w:t>
            </w:r>
          </w:p>
        </w:tc>
        <w:tc>
          <w:tcPr>
            <w:tcW w:w="939" w:type="dxa"/>
            <w:tcBorders>
              <w:top w:val="single" w:sz="12" w:space="0" w:color="auto"/>
            </w:tcBorders>
            <w:vAlign w:val="center"/>
          </w:tcPr>
          <w:p w14:paraId="36A1CC89" w14:textId="77777777" w:rsidR="00CD55F1" w:rsidRPr="00F60A9B" w:rsidRDefault="00CD55F1" w:rsidP="00024DD9">
            <w:pPr>
              <w:jc w:val="center"/>
            </w:pPr>
            <w:r>
              <w:t>0</w:t>
            </w:r>
          </w:p>
        </w:tc>
        <w:tc>
          <w:tcPr>
            <w:tcW w:w="287" w:type="dxa"/>
            <w:tcBorders>
              <w:top w:val="nil"/>
              <w:left w:val="nil"/>
              <w:bottom w:val="nil"/>
              <w:right w:val="nil"/>
            </w:tcBorders>
            <w:vAlign w:val="center"/>
          </w:tcPr>
          <w:p w14:paraId="78307031" w14:textId="77777777" w:rsidR="00CD55F1" w:rsidRDefault="00CD55F1" w:rsidP="001E05F8">
            <w:pPr>
              <w:jc w:val="center"/>
            </w:pPr>
          </w:p>
        </w:tc>
        <w:tc>
          <w:tcPr>
            <w:tcW w:w="883" w:type="dxa"/>
            <w:tcBorders>
              <w:top w:val="single" w:sz="12" w:space="0" w:color="auto"/>
            </w:tcBorders>
            <w:vAlign w:val="center"/>
          </w:tcPr>
          <w:p w14:paraId="754D127D"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28CB4E02" w14:textId="77777777" w:rsidR="00CD55F1" w:rsidRDefault="00CD55F1" w:rsidP="00024DD9">
            <w:pPr>
              <w:jc w:val="center"/>
            </w:pPr>
            <w:r>
              <w:t>0</w:t>
            </w:r>
          </w:p>
        </w:tc>
        <w:tc>
          <w:tcPr>
            <w:tcW w:w="666" w:type="dxa"/>
            <w:tcBorders>
              <w:top w:val="single" w:sz="12" w:space="0" w:color="auto"/>
            </w:tcBorders>
            <w:vAlign w:val="center"/>
          </w:tcPr>
          <w:p w14:paraId="1A7C5B4D" w14:textId="77777777" w:rsidR="00CD55F1" w:rsidRDefault="00CD55F1" w:rsidP="00024DD9">
            <w:pPr>
              <w:jc w:val="center"/>
            </w:pPr>
            <w:r>
              <w:t>0</w:t>
            </w:r>
          </w:p>
        </w:tc>
        <w:tc>
          <w:tcPr>
            <w:tcW w:w="698" w:type="dxa"/>
            <w:tcBorders>
              <w:top w:val="single" w:sz="12" w:space="0" w:color="auto"/>
            </w:tcBorders>
            <w:vAlign w:val="center"/>
          </w:tcPr>
          <w:p w14:paraId="2FC751C5" w14:textId="77777777" w:rsidR="00CD55F1" w:rsidRDefault="00CD55F1" w:rsidP="00024DD9">
            <w:pPr>
              <w:jc w:val="center"/>
            </w:pPr>
            <w:r>
              <w:t>0</w:t>
            </w:r>
          </w:p>
        </w:tc>
        <w:tc>
          <w:tcPr>
            <w:tcW w:w="612" w:type="dxa"/>
            <w:tcBorders>
              <w:top w:val="single" w:sz="12" w:space="0" w:color="auto"/>
            </w:tcBorders>
            <w:vAlign w:val="center"/>
          </w:tcPr>
          <w:p w14:paraId="0C98C045" w14:textId="77777777" w:rsidR="00CD55F1" w:rsidRDefault="00CD55F1" w:rsidP="00024DD9">
            <w:pPr>
              <w:jc w:val="center"/>
            </w:pPr>
            <w:r>
              <w:t>0</w:t>
            </w:r>
          </w:p>
        </w:tc>
        <w:tc>
          <w:tcPr>
            <w:tcW w:w="939" w:type="dxa"/>
            <w:tcBorders>
              <w:top w:val="single" w:sz="12" w:space="0" w:color="auto"/>
            </w:tcBorders>
            <w:vAlign w:val="center"/>
          </w:tcPr>
          <w:p w14:paraId="5B14D867" w14:textId="77777777" w:rsidR="00CD55F1" w:rsidRDefault="00CD55F1" w:rsidP="00024DD9">
            <w:pPr>
              <w:jc w:val="center"/>
            </w:pPr>
            <w:r>
              <w:t>0</w:t>
            </w:r>
          </w:p>
        </w:tc>
      </w:tr>
      <w:tr w:rsidR="00CD55F1" w:rsidRPr="00F60A9B" w14:paraId="375AD9F3" w14:textId="77777777" w:rsidTr="00024DD9">
        <w:trPr>
          <w:jc w:val="center"/>
        </w:trPr>
        <w:tc>
          <w:tcPr>
            <w:tcW w:w="884" w:type="dxa"/>
            <w:tcBorders>
              <w:right w:val="single" w:sz="12" w:space="0" w:color="auto"/>
            </w:tcBorders>
          </w:tcPr>
          <w:p w14:paraId="3847B8C9"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3288BDD4" w14:textId="77777777" w:rsidR="00CD55F1" w:rsidRDefault="00CD55F1" w:rsidP="00024DD9">
            <w:pPr>
              <w:jc w:val="center"/>
            </w:pPr>
            <w:r>
              <w:t>0</w:t>
            </w:r>
          </w:p>
        </w:tc>
        <w:tc>
          <w:tcPr>
            <w:tcW w:w="668" w:type="dxa"/>
            <w:shd w:val="clear" w:color="auto" w:fill="auto"/>
            <w:vAlign w:val="center"/>
          </w:tcPr>
          <w:p w14:paraId="42E73A71" w14:textId="77777777" w:rsidR="00CD55F1" w:rsidRPr="00210DD1" w:rsidRDefault="00CD55F1" w:rsidP="00024DD9">
            <w:pPr>
              <w:jc w:val="center"/>
            </w:pPr>
            <w:r>
              <w:t>0</w:t>
            </w:r>
          </w:p>
        </w:tc>
        <w:tc>
          <w:tcPr>
            <w:tcW w:w="680" w:type="dxa"/>
            <w:vAlign w:val="center"/>
          </w:tcPr>
          <w:p w14:paraId="3BB9E561" w14:textId="77777777" w:rsidR="00CD55F1" w:rsidRPr="00210DD1" w:rsidRDefault="00CD55F1" w:rsidP="00024DD9">
            <w:pPr>
              <w:jc w:val="center"/>
            </w:pPr>
            <w:r>
              <w:t>0</w:t>
            </w:r>
          </w:p>
        </w:tc>
        <w:tc>
          <w:tcPr>
            <w:tcW w:w="628" w:type="dxa"/>
            <w:vAlign w:val="center"/>
          </w:tcPr>
          <w:p w14:paraId="65A19C64" w14:textId="77777777" w:rsidR="00CD55F1" w:rsidRPr="00210DD1" w:rsidRDefault="00CD55F1" w:rsidP="00024DD9">
            <w:pPr>
              <w:jc w:val="center"/>
            </w:pPr>
            <w:r>
              <w:t>0</w:t>
            </w:r>
          </w:p>
        </w:tc>
        <w:tc>
          <w:tcPr>
            <w:tcW w:w="939" w:type="dxa"/>
            <w:vAlign w:val="center"/>
          </w:tcPr>
          <w:p w14:paraId="03F9A696" w14:textId="77777777" w:rsidR="00CD55F1" w:rsidRDefault="00CD55F1" w:rsidP="00024DD9">
            <w:pPr>
              <w:jc w:val="center"/>
            </w:pPr>
            <w:r>
              <w:t>0</w:t>
            </w:r>
          </w:p>
        </w:tc>
        <w:tc>
          <w:tcPr>
            <w:tcW w:w="287" w:type="dxa"/>
            <w:tcBorders>
              <w:top w:val="nil"/>
              <w:left w:val="nil"/>
              <w:bottom w:val="nil"/>
              <w:right w:val="nil"/>
            </w:tcBorders>
            <w:vAlign w:val="center"/>
          </w:tcPr>
          <w:p w14:paraId="1B787E71" w14:textId="77777777" w:rsidR="00CD55F1" w:rsidRDefault="00CD55F1" w:rsidP="001E05F8">
            <w:pPr>
              <w:jc w:val="center"/>
            </w:pPr>
          </w:p>
        </w:tc>
        <w:tc>
          <w:tcPr>
            <w:tcW w:w="883" w:type="dxa"/>
            <w:vAlign w:val="center"/>
          </w:tcPr>
          <w:p w14:paraId="7897867F" w14:textId="77777777" w:rsidR="00CD55F1" w:rsidRPr="005B7BEE" w:rsidRDefault="00CD55F1" w:rsidP="00024DD9">
            <w:pPr>
              <w:jc w:val="center"/>
              <w:rPr>
                <w:sz w:val="14"/>
                <w:szCs w:val="14"/>
              </w:rPr>
            </w:pPr>
            <w:r>
              <w:rPr>
                <w:sz w:val="14"/>
                <w:szCs w:val="14"/>
              </w:rPr>
              <w:t>Often</w:t>
            </w:r>
          </w:p>
        </w:tc>
        <w:tc>
          <w:tcPr>
            <w:tcW w:w="783" w:type="dxa"/>
            <w:vAlign w:val="center"/>
          </w:tcPr>
          <w:p w14:paraId="680FA0FB" w14:textId="77777777" w:rsidR="00CD55F1" w:rsidRDefault="00CD55F1" w:rsidP="00024DD9">
            <w:pPr>
              <w:jc w:val="center"/>
            </w:pPr>
            <w:r>
              <w:t>0</w:t>
            </w:r>
          </w:p>
        </w:tc>
        <w:tc>
          <w:tcPr>
            <w:tcW w:w="666" w:type="dxa"/>
            <w:vAlign w:val="center"/>
          </w:tcPr>
          <w:p w14:paraId="3A9FBE49" w14:textId="77777777" w:rsidR="00CD55F1" w:rsidRPr="00210DD1" w:rsidRDefault="00CD55F1" w:rsidP="00024DD9">
            <w:pPr>
              <w:jc w:val="center"/>
            </w:pPr>
            <w:r>
              <w:t>0</w:t>
            </w:r>
          </w:p>
        </w:tc>
        <w:tc>
          <w:tcPr>
            <w:tcW w:w="698" w:type="dxa"/>
            <w:vAlign w:val="center"/>
          </w:tcPr>
          <w:p w14:paraId="1D53CF16" w14:textId="77777777" w:rsidR="00CD55F1" w:rsidRPr="00210DD1" w:rsidRDefault="00CD55F1" w:rsidP="00024DD9">
            <w:pPr>
              <w:jc w:val="center"/>
            </w:pPr>
            <w:r>
              <w:t>0</w:t>
            </w:r>
          </w:p>
        </w:tc>
        <w:tc>
          <w:tcPr>
            <w:tcW w:w="612" w:type="dxa"/>
            <w:vAlign w:val="center"/>
          </w:tcPr>
          <w:p w14:paraId="333C4D4B" w14:textId="77777777" w:rsidR="00CD55F1" w:rsidRPr="00210DD1" w:rsidRDefault="00CD55F1" w:rsidP="00024DD9">
            <w:pPr>
              <w:jc w:val="center"/>
            </w:pPr>
            <w:r>
              <w:t>0</w:t>
            </w:r>
          </w:p>
        </w:tc>
        <w:tc>
          <w:tcPr>
            <w:tcW w:w="939" w:type="dxa"/>
            <w:vAlign w:val="center"/>
          </w:tcPr>
          <w:p w14:paraId="2B6E08F8" w14:textId="77777777" w:rsidR="00CD55F1" w:rsidRDefault="00CD55F1" w:rsidP="00024DD9">
            <w:pPr>
              <w:jc w:val="center"/>
            </w:pPr>
            <w:r>
              <w:t>0</w:t>
            </w:r>
          </w:p>
        </w:tc>
      </w:tr>
      <w:tr w:rsidR="007C02B8" w:rsidRPr="00F60A9B" w14:paraId="605F6984" w14:textId="77777777" w:rsidTr="00C8474C">
        <w:trPr>
          <w:jc w:val="center"/>
        </w:trPr>
        <w:tc>
          <w:tcPr>
            <w:tcW w:w="884" w:type="dxa"/>
            <w:tcBorders>
              <w:right w:val="single" w:sz="12" w:space="0" w:color="auto"/>
            </w:tcBorders>
          </w:tcPr>
          <w:p w14:paraId="33682089" w14:textId="77777777" w:rsidR="007C02B8" w:rsidRPr="005B7BEE" w:rsidRDefault="007C02B8"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3CB4F8C4" w14:textId="77777777" w:rsidR="007C02B8" w:rsidRDefault="007C02B8" w:rsidP="00024DD9">
            <w:pPr>
              <w:jc w:val="center"/>
            </w:pPr>
            <w:r>
              <w:t>0</w:t>
            </w:r>
          </w:p>
        </w:tc>
        <w:tc>
          <w:tcPr>
            <w:tcW w:w="668" w:type="dxa"/>
            <w:shd w:val="clear" w:color="auto" w:fill="auto"/>
            <w:vAlign w:val="center"/>
          </w:tcPr>
          <w:p w14:paraId="05B85E9C" w14:textId="77777777" w:rsidR="007C02B8" w:rsidRPr="00210DD1" w:rsidRDefault="007C02B8" w:rsidP="00024DD9">
            <w:pPr>
              <w:jc w:val="center"/>
            </w:pPr>
            <w:r>
              <w:rPr>
                <w:rFonts w:ascii="Calibri" w:hAnsi="Calibri" w:cs="Calibri"/>
              </w:rPr>
              <w:t>0</w:t>
            </w:r>
          </w:p>
        </w:tc>
        <w:tc>
          <w:tcPr>
            <w:tcW w:w="680" w:type="dxa"/>
            <w:shd w:val="clear" w:color="auto" w:fill="auto"/>
            <w:vAlign w:val="center"/>
          </w:tcPr>
          <w:p w14:paraId="0D122D43" w14:textId="77777777" w:rsidR="007C02B8" w:rsidRPr="00210DD1" w:rsidRDefault="007C02B8" w:rsidP="00024DD9">
            <w:pPr>
              <w:jc w:val="center"/>
            </w:pPr>
            <w:r w:rsidRPr="00F60A9B">
              <w:rPr>
                <w:rFonts w:ascii="Calibri" w:hAnsi="Calibri" w:cs="Calibri"/>
              </w:rPr>
              <w:t>3</w:t>
            </w:r>
          </w:p>
        </w:tc>
        <w:tc>
          <w:tcPr>
            <w:tcW w:w="628" w:type="dxa"/>
            <w:shd w:val="clear" w:color="auto" w:fill="auto"/>
            <w:vAlign w:val="center"/>
          </w:tcPr>
          <w:p w14:paraId="0D5F2BB9" w14:textId="77777777" w:rsidR="007C02B8" w:rsidRPr="00210DD1" w:rsidRDefault="007C02B8" w:rsidP="00024DD9">
            <w:pPr>
              <w:jc w:val="center"/>
            </w:pPr>
            <w:r w:rsidRPr="00F60A9B">
              <w:rPr>
                <w:rFonts w:ascii="Calibri" w:hAnsi="Calibri" w:cs="Calibri"/>
              </w:rPr>
              <w:t>0</w:t>
            </w:r>
          </w:p>
        </w:tc>
        <w:tc>
          <w:tcPr>
            <w:tcW w:w="939" w:type="dxa"/>
            <w:shd w:val="clear" w:color="auto" w:fill="auto"/>
            <w:vAlign w:val="center"/>
          </w:tcPr>
          <w:p w14:paraId="171D1D85" w14:textId="77777777" w:rsidR="007C02B8" w:rsidRDefault="007C02B8" w:rsidP="00024DD9">
            <w:pPr>
              <w:jc w:val="center"/>
            </w:pPr>
            <w:r w:rsidRPr="00F60A9B">
              <w:rPr>
                <w:rFonts w:ascii="Calibri" w:hAnsi="Calibri" w:cs="Calibri"/>
              </w:rPr>
              <w:t>0</w:t>
            </w:r>
          </w:p>
        </w:tc>
        <w:tc>
          <w:tcPr>
            <w:tcW w:w="287" w:type="dxa"/>
            <w:vMerge w:val="restart"/>
            <w:tcBorders>
              <w:top w:val="nil"/>
              <w:left w:val="nil"/>
              <w:right w:val="nil"/>
            </w:tcBorders>
            <w:shd w:val="clear" w:color="auto" w:fill="auto"/>
            <w:vAlign w:val="center"/>
          </w:tcPr>
          <w:p w14:paraId="53022B77" w14:textId="2CB3758C" w:rsidR="007C02B8" w:rsidRDefault="00000000" w:rsidP="001E05F8">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154A5E42" w14:textId="77777777" w:rsidR="007C02B8" w:rsidRPr="005B7BEE" w:rsidRDefault="007C02B8" w:rsidP="00024DD9">
            <w:pPr>
              <w:jc w:val="center"/>
              <w:rPr>
                <w:sz w:val="14"/>
                <w:szCs w:val="14"/>
              </w:rPr>
            </w:pPr>
            <w:r w:rsidRPr="005B7BEE">
              <w:rPr>
                <w:sz w:val="14"/>
                <w:szCs w:val="14"/>
              </w:rPr>
              <w:t>Frequent</w:t>
            </w:r>
          </w:p>
        </w:tc>
        <w:tc>
          <w:tcPr>
            <w:tcW w:w="783" w:type="dxa"/>
            <w:shd w:val="clear" w:color="auto" w:fill="auto"/>
            <w:vAlign w:val="center"/>
          </w:tcPr>
          <w:p w14:paraId="610EBE46" w14:textId="77777777" w:rsidR="007C02B8" w:rsidRDefault="007C02B8" w:rsidP="00024DD9">
            <w:pPr>
              <w:jc w:val="center"/>
            </w:pPr>
            <w:r>
              <w:rPr>
                <w:rFonts w:ascii="Calibri" w:hAnsi="Calibri" w:cs="Calibri"/>
              </w:rPr>
              <w:t>0</w:t>
            </w:r>
          </w:p>
        </w:tc>
        <w:tc>
          <w:tcPr>
            <w:tcW w:w="666" w:type="dxa"/>
            <w:vAlign w:val="center"/>
          </w:tcPr>
          <w:p w14:paraId="0DA67B65" w14:textId="77777777" w:rsidR="007C02B8" w:rsidRPr="00210DD1" w:rsidRDefault="007C02B8" w:rsidP="00024DD9">
            <w:pPr>
              <w:jc w:val="center"/>
            </w:pPr>
            <w:r>
              <w:rPr>
                <w:rFonts w:ascii="Calibri" w:hAnsi="Calibri" w:cs="Calibri"/>
              </w:rPr>
              <w:t>3</w:t>
            </w:r>
          </w:p>
        </w:tc>
        <w:tc>
          <w:tcPr>
            <w:tcW w:w="698" w:type="dxa"/>
            <w:vAlign w:val="center"/>
          </w:tcPr>
          <w:p w14:paraId="46D87DC0" w14:textId="77777777" w:rsidR="007C02B8" w:rsidRPr="00210DD1" w:rsidRDefault="007C02B8" w:rsidP="00024DD9">
            <w:pPr>
              <w:jc w:val="center"/>
            </w:pPr>
            <w:r w:rsidRPr="00F60A9B">
              <w:rPr>
                <w:rFonts w:ascii="Calibri" w:hAnsi="Calibri" w:cs="Calibri"/>
              </w:rPr>
              <w:t>0</w:t>
            </w:r>
          </w:p>
        </w:tc>
        <w:tc>
          <w:tcPr>
            <w:tcW w:w="612" w:type="dxa"/>
            <w:vAlign w:val="center"/>
          </w:tcPr>
          <w:p w14:paraId="7A5D0118" w14:textId="77777777" w:rsidR="007C02B8" w:rsidRPr="00210DD1" w:rsidRDefault="007C02B8" w:rsidP="00024DD9">
            <w:pPr>
              <w:jc w:val="center"/>
            </w:pPr>
            <w:r w:rsidRPr="00F60A9B">
              <w:rPr>
                <w:rFonts w:ascii="Calibri" w:hAnsi="Calibri" w:cs="Calibri"/>
              </w:rPr>
              <w:t>0</w:t>
            </w:r>
          </w:p>
        </w:tc>
        <w:tc>
          <w:tcPr>
            <w:tcW w:w="939" w:type="dxa"/>
            <w:vAlign w:val="center"/>
          </w:tcPr>
          <w:p w14:paraId="5CFFE775" w14:textId="77777777" w:rsidR="007C02B8" w:rsidRDefault="007C02B8" w:rsidP="00024DD9">
            <w:pPr>
              <w:jc w:val="center"/>
            </w:pPr>
            <w:r w:rsidRPr="00F60A9B">
              <w:rPr>
                <w:rFonts w:ascii="Calibri" w:hAnsi="Calibri" w:cs="Calibri"/>
              </w:rPr>
              <w:t>0</w:t>
            </w:r>
          </w:p>
        </w:tc>
      </w:tr>
      <w:tr w:rsidR="007C02B8" w:rsidRPr="00F60A9B" w14:paraId="19A324DC" w14:textId="77777777" w:rsidTr="00C8474C">
        <w:trPr>
          <w:jc w:val="center"/>
        </w:trPr>
        <w:tc>
          <w:tcPr>
            <w:tcW w:w="884" w:type="dxa"/>
            <w:tcBorders>
              <w:right w:val="single" w:sz="12" w:space="0" w:color="auto"/>
            </w:tcBorders>
          </w:tcPr>
          <w:p w14:paraId="475FCA04" w14:textId="77777777" w:rsidR="007C02B8" w:rsidRPr="005B7BEE" w:rsidRDefault="007C02B8"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40D5C5DB" w14:textId="77777777" w:rsidR="007C02B8" w:rsidRPr="00F60A9B" w:rsidRDefault="007C02B8" w:rsidP="00024DD9">
            <w:pPr>
              <w:jc w:val="center"/>
            </w:pPr>
            <w:r>
              <w:t>0</w:t>
            </w:r>
          </w:p>
        </w:tc>
        <w:tc>
          <w:tcPr>
            <w:tcW w:w="668" w:type="dxa"/>
            <w:shd w:val="clear" w:color="auto" w:fill="auto"/>
            <w:vAlign w:val="center"/>
          </w:tcPr>
          <w:p w14:paraId="64144A8F" w14:textId="77777777" w:rsidR="007C02B8" w:rsidRPr="00210DD1" w:rsidRDefault="007C02B8" w:rsidP="00024DD9">
            <w:pPr>
              <w:jc w:val="center"/>
            </w:pPr>
            <w:r>
              <w:rPr>
                <w:rFonts w:ascii="Calibri" w:hAnsi="Calibri" w:cs="Calibri"/>
              </w:rPr>
              <w:t>0</w:t>
            </w:r>
          </w:p>
        </w:tc>
        <w:tc>
          <w:tcPr>
            <w:tcW w:w="680" w:type="dxa"/>
            <w:shd w:val="clear" w:color="auto" w:fill="auto"/>
            <w:vAlign w:val="center"/>
          </w:tcPr>
          <w:p w14:paraId="797D2E48" w14:textId="77777777" w:rsidR="007C02B8" w:rsidRPr="00210DD1" w:rsidRDefault="007C02B8" w:rsidP="00024DD9">
            <w:pPr>
              <w:jc w:val="center"/>
            </w:pPr>
            <w:r>
              <w:rPr>
                <w:rFonts w:ascii="Calibri" w:hAnsi="Calibri" w:cs="Calibri"/>
              </w:rPr>
              <w:t>2</w:t>
            </w:r>
          </w:p>
        </w:tc>
        <w:tc>
          <w:tcPr>
            <w:tcW w:w="628" w:type="dxa"/>
            <w:shd w:val="clear" w:color="auto" w:fill="D9E2F3" w:themeFill="accent1" w:themeFillTint="33"/>
            <w:vAlign w:val="center"/>
          </w:tcPr>
          <w:p w14:paraId="5265744B" w14:textId="77777777" w:rsidR="007C02B8" w:rsidRPr="00210DD1" w:rsidRDefault="007C02B8" w:rsidP="00024DD9">
            <w:pPr>
              <w:jc w:val="center"/>
            </w:pPr>
            <w:r>
              <w:rPr>
                <w:rFonts w:ascii="Calibri" w:hAnsi="Calibri" w:cs="Calibri"/>
              </w:rPr>
              <w:t>1-1 = 0</w:t>
            </w:r>
          </w:p>
        </w:tc>
        <w:tc>
          <w:tcPr>
            <w:tcW w:w="939" w:type="dxa"/>
            <w:shd w:val="clear" w:color="auto" w:fill="auto"/>
            <w:vAlign w:val="center"/>
          </w:tcPr>
          <w:p w14:paraId="192B5011" w14:textId="77777777" w:rsidR="007C02B8" w:rsidRPr="00F60A9B" w:rsidRDefault="007C02B8" w:rsidP="00024DD9">
            <w:pPr>
              <w:jc w:val="center"/>
            </w:pPr>
            <w:r>
              <w:rPr>
                <w:rFonts w:ascii="Calibri" w:hAnsi="Calibri" w:cs="Calibri"/>
              </w:rPr>
              <w:t>0</w:t>
            </w:r>
          </w:p>
        </w:tc>
        <w:tc>
          <w:tcPr>
            <w:tcW w:w="287" w:type="dxa"/>
            <w:vMerge/>
            <w:tcBorders>
              <w:left w:val="nil"/>
              <w:bottom w:val="nil"/>
              <w:right w:val="nil"/>
            </w:tcBorders>
            <w:shd w:val="clear" w:color="auto" w:fill="auto"/>
            <w:tcMar>
              <w:left w:w="58" w:type="dxa"/>
              <w:right w:w="115" w:type="dxa"/>
            </w:tcMar>
            <w:vAlign w:val="center"/>
          </w:tcPr>
          <w:p w14:paraId="2DAB6874" w14:textId="2FDF830E" w:rsidR="007C02B8" w:rsidRDefault="007C02B8" w:rsidP="001E05F8">
            <w:pPr>
              <w:jc w:val="center"/>
            </w:pPr>
          </w:p>
        </w:tc>
        <w:tc>
          <w:tcPr>
            <w:tcW w:w="883" w:type="dxa"/>
            <w:shd w:val="clear" w:color="auto" w:fill="auto"/>
            <w:vAlign w:val="center"/>
          </w:tcPr>
          <w:p w14:paraId="23D30089" w14:textId="77777777" w:rsidR="007C02B8" w:rsidRDefault="007C02B8" w:rsidP="00024DD9">
            <w:pPr>
              <w:jc w:val="center"/>
            </w:pPr>
            <w:r w:rsidRPr="005B7BEE">
              <w:rPr>
                <w:sz w:val="14"/>
                <w:szCs w:val="14"/>
              </w:rPr>
              <w:t>Probable</w:t>
            </w:r>
          </w:p>
        </w:tc>
        <w:tc>
          <w:tcPr>
            <w:tcW w:w="783" w:type="dxa"/>
            <w:shd w:val="clear" w:color="auto" w:fill="auto"/>
            <w:vAlign w:val="center"/>
          </w:tcPr>
          <w:p w14:paraId="70C84BCD" w14:textId="77777777" w:rsidR="007C02B8" w:rsidRDefault="007C02B8" w:rsidP="00024DD9">
            <w:pPr>
              <w:jc w:val="center"/>
            </w:pPr>
            <w:r>
              <w:rPr>
                <w:rFonts w:ascii="Calibri" w:hAnsi="Calibri" w:cs="Calibri"/>
              </w:rPr>
              <w:t>1</w:t>
            </w:r>
          </w:p>
        </w:tc>
        <w:tc>
          <w:tcPr>
            <w:tcW w:w="666" w:type="dxa"/>
            <w:shd w:val="clear" w:color="auto" w:fill="auto"/>
            <w:vAlign w:val="center"/>
          </w:tcPr>
          <w:p w14:paraId="4F10F4FA" w14:textId="77777777" w:rsidR="007C02B8" w:rsidRDefault="007C02B8" w:rsidP="00024DD9">
            <w:pPr>
              <w:jc w:val="center"/>
            </w:pPr>
            <w:r>
              <w:rPr>
                <w:rFonts w:ascii="Calibri" w:hAnsi="Calibri" w:cs="Calibri"/>
              </w:rPr>
              <w:t>1</w:t>
            </w:r>
          </w:p>
        </w:tc>
        <w:tc>
          <w:tcPr>
            <w:tcW w:w="698" w:type="dxa"/>
            <w:shd w:val="clear" w:color="auto" w:fill="auto"/>
            <w:vAlign w:val="center"/>
          </w:tcPr>
          <w:p w14:paraId="5892FE40" w14:textId="77777777" w:rsidR="007C02B8" w:rsidRDefault="007C02B8" w:rsidP="00024DD9">
            <w:pPr>
              <w:jc w:val="center"/>
            </w:pPr>
            <w:r>
              <w:rPr>
                <w:rFonts w:ascii="Calibri" w:hAnsi="Calibri" w:cs="Calibri"/>
              </w:rPr>
              <w:t>0</w:t>
            </w:r>
          </w:p>
        </w:tc>
        <w:tc>
          <w:tcPr>
            <w:tcW w:w="612" w:type="dxa"/>
            <w:shd w:val="clear" w:color="auto" w:fill="D9E2F3" w:themeFill="accent1" w:themeFillTint="33"/>
            <w:vAlign w:val="center"/>
          </w:tcPr>
          <w:p w14:paraId="1A30B884" w14:textId="77777777" w:rsidR="007C02B8" w:rsidRDefault="007C02B8" w:rsidP="00024DD9">
            <w:pPr>
              <w:jc w:val="center"/>
            </w:pPr>
            <w:r w:rsidRPr="00F60A9B">
              <w:rPr>
                <w:rFonts w:ascii="Calibri" w:hAnsi="Calibri" w:cs="Calibri"/>
              </w:rPr>
              <w:t>1</w:t>
            </w:r>
            <w:r>
              <w:rPr>
                <w:rFonts w:ascii="Calibri" w:hAnsi="Calibri" w:cs="Calibri"/>
              </w:rPr>
              <w:t>-1 = 0</w:t>
            </w:r>
          </w:p>
        </w:tc>
        <w:tc>
          <w:tcPr>
            <w:tcW w:w="939" w:type="dxa"/>
            <w:vAlign w:val="center"/>
          </w:tcPr>
          <w:p w14:paraId="5A235C92" w14:textId="77777777" w:rsidR="007C02B8" w:rsidRDefault="007C02B8" w:rsidP="00024DD9">
            <w:pPr>
              <w:jc w:val="center"/>
            </w:pPr>
            <w:r w:rsidRPr="00F60A9B">
              <w:rPr>
                <w:rFonts w:ascii="Calibri" w:hAnsi="Calibri" w:cs="Calibri"/>
              </w:rPr>
              <w:t>0</w:t>
            </w:r>
          </w:p>
        </w:tc>
      </w:tr>
      <w:tr w:rsidR="00CD55F1" w:rsidRPr="00F60A9B" w14:paraId="6B4CC80E" w14:textId="77777777" w:rsidTr="00024DD9">
        <w:trPr>
          <w:jc w:val="center"/>
        </w:trPr>
        <w:tc>
          <w:tcPr>
            <w:tcW w:w="884" w:type="dxa"/>
            <w:tcBorders>
              <w:right w:val="single" w:sz="12" w:space="0" w:color="auto"/>
            </w:tcBorders>
          </w:tcPr>
          <w:p w14:paraId="22C9BAE7"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3014057D"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0B235086"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64D4DC6D"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51920D5" w14:textId="77777777" w:rsidR="00CD55F1" w:rsidRPr="00210DD1" w:rsidRDefault="00CD55F1" w:rsidP="00024DD9">
            <w:pPr>
              <w:jc w:val="center"/>
            </w:pPr>
            <w:r>
              <w:t>2</w:t>
            </w:r>
          </w:p>
        </w:tc>
        <w:tc>
          <w:tcPr>
            <w:tcW w:w="939" w:type="dxa"/>
            <w:shd w:val="clear" w:color="auto" w:fill="auto"/>
            <w:vAlign w:val="center"/>
          </w:tcPr>
          <w:p w14:paraId="400D600C"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5C2A8FF0" w14:textId="77777777" w:rsidR="00CD55F1" w:rsidRDefault="00CD55F1" w:rsidP="001E05F8">
            <w:pPr>
              <w:jc w:val="center"/>
            </w:pPr>
          </w:p>
        </w:tc>
        <w:tc>
          <w:tcPr>
            <w:tcW w:w="883" w:type="dxa"/>
            <w:shd w:val="clear" w:color="auto" w:fill="auto"/>
            <w:vAlign w:val="center"/>
          </w:tcPr>
          <w:p w14:paraId="67E0D362" w14:textId="77777777" w:rsidR="00CD55F1" w:rsidRDefault="00CD55F1" w:rsidP="00024DD9">
            <w:pPr>
              <w:jc w:val="center"/>
            </w:pPr>
            <w:r w:rsidRPr="005B7BEE">
              <w:rPr>
                <w:sz w:val="14"/>
                <w:szCs w:val="14"/>
              </w:rPr>
              <w:t>Occasional</w:t>
            </w:r>
          </w:p>
        </w:tc>
        <w:tc>
          <w:tcPr>
            <w:tcW w:w="783" w:type="dxa"/>
            <w:shd w:val="clear" w:color="auto" w:fill="auto"/>
            <w:vAlign w:val="center"/>
          </w:tcPr>
          <w:p w14:paraId="371A57B4" w14:textId="77777777" w:rsidR="00CD55F1" w:rsidRDefault="00CD55F1" w:rsidP="00024DD9">
            <w:pPr>
              <w:jc w:val="center"/>
            </w:pPr>
            <w:r>
              <w:rPr>
                <w:rFonts w:ascii="Calibri" w:hAnsi="Calibri" w:cs="Calibri"/>
              </w:rPr>
              <w:t>1</w:t>
            </w:r>
          </w:p>
        </w:tc>
        <w:tc>
          <w:tcPr>
            <w:tcW w:w="666" w:type="dxa"/>
            <w:shd w:val="clear" w:color="auto" w:fill="auto"/>
            <w:vAlign w:val="center"/>
          </w:tcPr>
          <w:p w14:paraId="08A36CF6" w14:textId="77777777" w:rsidR="00CD55F1" w:rsidRDefault="00CD55F1" w:rsidP="00024DD9">
            <w:pPr>
              <w:jc w:val="center"/>
            </w:pPr>
            <w:r>
              <w:rPr>
                <w:rFonts w:ascii="Calibri" w:hAnsi="Calibri" w:cs="Calibri"/>
              </w:rPr>
              <w:t>0</w:t>
            </w:r>
          </w:p>
        </w:tc>
        <w:tc>
          <w:tcPr>
            <w:tcW w:w="698" w:type="dxa"/>
            <w:vAlign w:val="center"/>
          </w:tcPr>
          <w:p w14:paraId="0097C14F" w14:textId="77777777" w:rsidR="00CD55F1" w:rsidRDefault="00CD55F1" w:rsidP="00024DD9">
            <w:pPr>
              <w:jc w:val="center"/>
            </w:pPr>
            <w:r>
              <w:rPr>
                <w:rFonts w:ascii="Calibri" w:hAnsi="Calibri" w:cs="Calibri"/>
              </w:rPr>
              <w:t>0</w:t>
            </w:r>
          </w:p>
        </w:tc>
        <w:tc>
          <w:tcPr>
            <w:tcW w:w="612" w:type="dxa"/>
            <w:vAlign w:val="center"/>
          </w:tcPr>
          <w:p w14:paraId="58DFA00E" w14:textId="77777777" w:rsidR="00CD55F1" w:rsidRDefault="00CD55F1" w:rsidP="00024DD9">
            <w:pPr>
              <w:jc w:val="center"/>
            </w:pPr>
            <w:r>
              <w:rPr>
                <w:rFonts w:ascii="Calibri" w:hAnsi="Calibri" w:cs="Calibri"/>
              </w:rPr>
              <w:t>0</w:t>
            </w:r>
          </w:p>
        </w:tc>
        <w:tc>
          <w:tcPr>
            <w:tcW w:w="939" w:type="dxa"/>
            <w:shd w:val="clear" w:color="auto" w:fill="auto"/>
            <w:vAlign w:val="center"/>
          </w:tcPr>
          <w:p w14:paraId="160C274F" w14:textId="77777777" w:rsidR="00CD55F1" w:rsidRDefault="00CD55F1" w:rsidP="00024DD9">
            <w:pPr>
              <w:jc w:val="center"/>
            </w:pPr>
            <w:r>
              <w:rPr>
                <w:rFonts w:ascii="Calibri" w:hAnsi="Calibri" w:cs="Calibri"/>
              </w:rPr>
              <w:t>0</w:t>
            </w:r>
          </w:p>
        </w:tc>
      </w:tr>
      <w:tr w:rsidR="00CD55F1" w:rsidRPr="00F60A9B" w14:paraId="41C411E4" w14:textId="77777777" w:rsidTr="00024DD9">
        <w:trPr>
          <w:jc w:val="center"/>
        </w:trPr>
        <w:tc>
          <w:tcPr>
            <w:tcW w:w="884" w:type="dxa"/>
            <w:tcBorders>
              <w:right w:val="single" w:sz="12" w:space="0" w:color="auto"/>
            </w:tcBorders>
          </w:tcPr>
          <w:p w14:paraId="7BA3B06D"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51B442CD" w14:textId="77777777" w:rsidR="00CD55F1" w:rsidRPr="00F60A9B" w:rsidRDefault="00CD55F1" w:rsidP="00024DD9">
            <w:pPr>
              <w:jc w:val="center"/>
            </w:pPr>
            <w:r>
              <w:rPr>
                <w:rFonts w:ascii="Calibri" w:hAnsi="Calibri" w:cs="Calibri"/>
              </w:rPr>
              <w:t>3</w:t>
            </w:r>
          </w:p>
        </w:tc>
        <w:tc>
          <w:tcPr>
            <w:tcW w:w="668" w:type="dxa"/>
            <w:vAlign w:val="center"/>
          </w:tcPr>
          <w:p w14:paraId="0B73A065"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6DDD0813"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38BA262"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2EE16F95"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198262C6" w14:textId="77777777" w:rsidR="00CD55F1" w:rsidRDefault="00CD55F1" w:rsidP="001E05F8">
            <w:pPr>
              <w:jc w:val="center"/>
            </w:pPr>
          </w:p>
        </w:tc>
        <w:tc>
          <w:tcPr>
            <w:tcW w:w="883" w:type="dxa"/>
            <w:shd w:val="clear" w:color="auto" w:fill="auto"/>
            <w:vAlign w:val="center"/>
          </w:tcPr>
          <w:p w14:paraId="3A140FE2" w14:textId="77777777" w:rsidR="00CD55F1" w:rsidRDefault="00CD55F1" w:rsidP="00024DD9">
            <w:pPr>
              <w:jc w:val="center"/>
            </w:pPr>
            <w:r w:rsidRPr="005B7BEE">
              <w:rPr>
                <w:sz w:val="14"/>
                <w:szCs w:val="14"/>
              </w:rPr>
              <w:t>Remote</w:t>
            </w:r>
          </w:p>
        </w:tc>
        <w:tc>
          <w:tcPr>
            <w:tcW w:w="783" w:type="dxa"/>
            <w:shd w:val="clear" w:color="auto" w:fill="auto"/>
            <w:vAlign w:val="center"/>
          </w:tcPr>
          <w:p w14:paraId="2EB235A8" w14:textId="77777777" w:rsidR="00CD55F1" w:rsidRDefault="00CD55F1" w:rsidP="00024DD9">
            <w:pPr>
              <w:jc w:val="center"/>
            </w:pPr>
            <w:r>
              <w:rPr>
                <w:rFonts w:ascii="Calibri" w:hAnsi="Calibri" w:cs="Calibri"/>
              </w:rPr>
              <w:t>0</w:t>
            </w:r>
          </w:p>
        </w:tc>
        <w:tc>
          <w:tcPr>
            <w:tcW w:w="666" w:type="dxa"/>
            <w:shd w:val="clear" w:color="auto" w:fill="auto"/>
            <w:vAlign w:val="center"/>
          </w:tcPr>
          <w:p w14:paraId="05C13EBC" w14:textId="77777777" w:rsidR="00CD55F1" w:rsidRDefault="00CD55F1" w:rsidP="00024DD9">
            <w:pPr>
              <w:jc w:val="center"/>
            </w:pPr>
            <w:r>
              <w:rPr>
                <w:rFonts w:ascii="Calibri" w:hAnsi="Calibri" w:cs="Calibri"/>
              </w:rPr>
              <w:t>2</w:t>
            </w:r>
          </w:p>
        </w:tc>
        <w:tc>
          <w:tcPr>
            <w:tcW w:w="698" w:type="dxa"/>
            <w:shd w:val="clear" w:color="auto" w:fill="auto"/>
            <w:vAlign w:val="center"/>
          </w:tcPr>
          <w:p w14:paraId="61905776" w14:textId="77777777" w:rsidR="00CD55F1" w:rsidRDefault="00CD55F1" w:rsidP="00024DD9">
            <w:pPr>
              <w:jc w:val="center"/>
            </w:pPr>
            <w:r>
              <w:rPr>
                <w:rFonts w:ascii="Calibri" w:hAnsi="Calibri" w:cs="Calibri"/>
              </w:rPr>
              <w:t>0</w:t>
            </w:r>
          </w:p>
        </w:tc>
        <w:tc>
          <w:tcPr>
            <w:tcW w:w="612" w:type="dxa"/>
            <w:shd w:val="clear" w:color="auto" w:fill="auto"/>
            <w:vAlign w:val="center"/>
          </w:tcPr>
          <w:p w14:paraId="7978274D" w14:textId="77777777" w:rsidR="00CD55F1" w:rsidRDefault="00CD55F1" w:rsidP="00024DD9">
            <w:pPr>
              <w:jc w:val="center"/>
            </w:pPr>
            <w:r>
              <w:rPr>
                <w:rFonts w:ascii="Calibri" w:hAnsi="Calibri" w:cs="Calibri"/>
              </w:rPr>
              <w:t>0</w:t>
            </w:r>
          </w:p>
        </w:tc>
        <w:tc>
          <w:tcPr>
            <w:tcW w:w="939" w:type="dxa"/>
            <w:shd w:val="clear" w:color="auto" w:fill="auto"/>
            <w:vAlign w:val="center"/>
          </w:tcPr>
          <w:p w14:paraId="1188A239" w14:textId="77777777" w:rsidR="00CD55F1" w:rsidRDefault="00CD55F1" w:rsidP="00024DD9">
            <w:pPr>
              <w:jc w:val="center"/>
            </w:pPr>
            <w:r>
              <w:rPr>
                <w:rFonts w:ascii="Calibri" w:hAnsi="Calibri" w:cs="Calibri"/>
              </w:rPr>
              <w:t>0</w:t>
            </w:r>
          </w:p>
        </w:tc>
      </w:tr>
      <w:tr w:rsidR="00CD55F1" w:rsidRPr="00F60A9B" w14:paraId="44505706" w14:textId="77777777" w:rsidTr="00024DD9">
        <w:trPr>
          <w:jc w:val="center"/>
        </w:trPr>
        <w:tc>
          <w:tcPr>
            <w:tcW w:w="884" w:type="dxa"/>
            <w:tcBorders>
              <w:right w:val="single" w:sz="12" w:space="0" w:color="auto"/>
            </w:tcBorders>
          </w:tcPr>
          <w:p w14:paraId="19EF1F9D"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059C7DF7" w14:textId="77777777" w:rsidR="00CD55F1" w:rsidRPr="00F60A9B" w:rsidRDefault="00CD55F1" w:rsidP="00024DD9">
            <w:pPr>
              <w:jc w:val="center"/>
            </w:pPr>
            <w:r>
              <w:rPr>
                <w:rFonts w:ascii="Calibri" w:hAnsi="Calibri" w:cs="Calibri"/>
              </w:rPr>
              <w:t>0</w:t>
            </w:r>
          </w:p>
        </w:tc>
        <w:tc>
          <w:tcPr>
            <w:tcW w:w="668" w:type="dxa"/>
            <w:vAlign w:val="center"/>
          </w:tcPr>
          <w:p w14:paraId="5F991B7C"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0FC04B1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F0CE860"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0D3B87DD"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3FD7ECB9" w14:textId="77777777" w:rsidR="00CD55F1" w:rsidRDefault="00CD55F1" w:rsidP="001E05F8">
            <w:pPr>
              <w:keepNext/>
              <w:jc w:val="center"/>
            </w:pPr>
          </w:p>
        </w:tc>
        <w:tc>
          <w:tcPr>
            <w:tcW w:w="883" w:type="dxa"/>
            <w:vAlign w:val="center"/>
          </w:tcPr>
          <w:p w14:paraId="59A13AF7" w14:textId="77777777" w:rsidR="00CD55F1" w:rsidRDefault="00CD55F1" w:rsidP="00024DD9">
            <w:pPr>
              <w:keepNext/>
              <w:jc w:val="center"/>
            </w:pPr>
            <w:r w:rsidRPr="005B7BEE">
              <w:rPr>
                <w:sz w:val="14"/>
                <w:szCs w:val="14"/>
              </w:rPr>
              <w:t>Improbable</w:t>
            </w:r>
          </w:p>
        </w:tc>
        <w:tc>
          <w:tcPr>
            <w:tcW w:w="783" w:type="dxa"/>
            <w:vAlign w:val="center"/>
          </w:tcPr>
          <w:p w14:paraId="195FF3B1" w14:textId="77777777" w:rsidR="00CD55F1" w:rsidRDefault="00CD55F1" w:rsidP="00024DD9">
            <w:pPr>
              <w:keepNext/>
              <w:jc w:val="center"/>
            </w:pPr>
            <w:r>
              <w:rPr>
                <w:rFonts w:ascii="Calibri" w:hAnsi="Calibri" w:cs="Calibri"/>
              </w:rPr>
              <w:t>0</w:t>
            </w:r>
          </w:p>
        </w:tc>
        <w:tc>
          <w:tcPr>
            <w:tcW w:w="666" w:type="dxa"/>
            <w:vAlign w:val="center"/>
          </w:tcPr>
          <w:p w14:paraId="11149E9A" w14:textId="77777777" w:rsidR="00CD55F1" w:rsidRDefault="00CD55F1" w:rsidP="00024DD9">
            <w:pPr>
              <w:keepNext/>
              <w:jc w:val="center"/>
            </w:pPr>
            <w:r>
              <w:rPr>
                <w:rFonts w:ascii="Calibri" w:hAnsi="Calibri" w:cs="Calibri"/>
              </w:rPr>
              <w:t>1</w:t>
            </w:r>
          </w:p>
        </w:tc>
        <w:tc>
          <w:tcPr>
            <w:tcW w:w="698" w:type="dxa"/>
            <w:vAlign w:val="center"/>
          </w:tcPr>
          <w:p w14:paraId="5F15307E"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4AF2349A" w14:textId="77777777" w:rsidR="00CD55F1" w:rsidRDefault="00CD55F1" w:rsidP="00024DD9">
            <w:pPr>
              <w:keepNext/>
              <w:jc w:val="center"/>
            </w:pPr>
            <w:r>
              <w:rPr>
                <w:rFonts w:ascii="Calibri" w:hAnsi="Calibri" w:cs="Calibri"/>
              </w:rPr>
              <w:t>0</w:t>
            </w:r>
          </w:p>
        </w:tc>
        <w:tc>
          <w:tcPr>
            <w:tcW w:w="939" w:type="dxa"/>
            <w:vAlign w:val="center"/>
          </w:tcPr>
          <w:p w14:paraId="48D8E830" w14:textId="77777777" w:rsidR="00CD55F1" w:rsidRDefault="00CD55F1" w:rsidP="00024DD9">
            <w:pPr>
              <w:keepNext/>
              <w:jc w:val="center"/>
            </w:pPr>
            <w:r w:rsidRPr="00F60A9B">
              <w:rPr>
                <w:rFonts w:ascii="Calibri" w:hAnsi="Calibri" w:cs="Calibri"/>
              </w:rPr>
              <w:t>0</w:t>
            </w:r>
          </w:p>
        </w:tc>
      </w:tr>
    </w:tbl>
    <w:p w14:paraId="592755FF" w14:textId="6BF9F40C" w:rsidR="00CD55F1" w:rsidRDefault="00CD55F1" w:rsidP="00CD55F1">
      <w:pPr>
        <w:pStyle w:val="Caption"/>
        <w:keepNext/>
        <w:tabs>
          <w:tab w:val="center" w:pos="4680"/>
          <w:tab w:val="right" w:pos="9360"/>
        </w:tabs>
        <w:spacing w:before="120"/>
        <w:jc w:val="center"/>
      </w:pPr>
      <w:bookmarkStart w:id="72" w:name="_Ref147836117"/>
      <w:r>
        <w:t xml:space="preserve">Equation </w:t>
      </w:r>
      <w:r>
        <w:fldChar w:fldCharType="begin"/>
      </w:r>
      <w:r>
        <w:instrText xml:space="preserve"> SEQ Equation \* ARABIC </w:instrText>
      </w:r>
      <w:r>
        <w:fldChar w:fldCharType="separate"/>
      </w:r>
      <w:r w:rsidR="003468AE">
        <w:rPr>
          <w:noProof/>
        </w:rPr>
        <w:t>20</w:t>
      </w:r>
      <w:r>
        <w:rPr>
          <w:noProof/>
        </w:rPr>
        <w:fldChar w:fldCharType="end"/>
      </w:r>
      <w:bookmarkEnd w:id="72"/>
    </w:p>
    <w:p w14:paraId="551B0927" w14:textId="77777777" w:rsidR="00CD55F1" w:rsidRDefault="00CD55F1" w:rsidP="00CD55F1">
      <w:pPr>
        <w:spacing w:before="160"/>
        <w:rPr>
          <w:rFonts w:eastAsiaTheme="minorEastAsia"/>
        </w:rPr>
      </w:pPr>
      <w:r>
        <w:rPr>
          <w:rFonts w:eastAsiaTheme="minorEastAsia"/>
        </w:rPr>
        <w:t xml:space="preserve">Note that this has eliminated all of the risks in the ‘Critical’ column of the right-hand side of the previous equation.  </w:t>
      </w:r>
    </w:p>
    <w:p w14:paraId="093AFE21" w14:textId="77777777" w:rsidR="00CD55F1" w:rsidRDefault="00CD55F1" w:rsidP="00CD55F1">
      <w:pPr>
        <w:spacing w:before="160"/>
        <w:rPr>
          <w:rFonts w:eastAsiaTheme="minorEastAsia"/>
        </w:rPr>
      </w:pPr>
    </w:p>
    <w:p w14:paraId="546C7320" w14:textId="42131C5F" w:rsidR="00FB04BA" w:rsidRDefault="00CD55F1" w:rsidP="00CD55F1">
      <w:pPr>
        <w:spacing w:before="160"/>
        <w:rPr>
          <w:rFonts w:eastAsiaTheme="minorEastAsia"/>
        </w:rPr>
      </w:pPr>
      <w:r>
        <w:rPr>
          <w:rFonts w:eastAsiaTheme="minorEastAsia"/>
        </w:rPr>
        <w:lastRenderedPageBreak/>
        <w:t xml:space="preserve">Previous simplifications have now eliminated all of the risks from the right-hand side of </w:t>
      </w:r>
      <w:r>
        <w:rPr>
          <w:rFonts w:eastAsiaTheme="minorEastAsia"/>
        </w:rPr>
        <w:fldChar w:fldCharType="begin"/>
      </w:r>
      <w:r>
        <w:rPr>
          <w:rFonts w:eastAsiaTheme="minorEastAsia"/>
        </w:rPr>
        <w:instrText xml:space="preserve"> REF _Ref147836117 \h </w:instrText>
      </w:r>
      <w:r>
        <w:rPr>
          <w:rFonts w:eastAsiaTheme="minorEastAsia"/>
        </w:rPr>
      </w:r>
      <w:r>
        <w:rPr>
          <w:rFonts w:eastAsiaTheme="minorEastAsia"/>
        </w:rPr>
        <w:fldChar w:fldCharType="separate"/>
      </w:r>
      <w:r w:rsidR="001E41EA">
        <w:t xml:space="preserve">Equation </w:t>
      </w:r>
      <w:r w:rsidR="001E41EA">
        <w:rPr>
          <w:noProof/>
        </w:rPr>
        <w:t>20</w:t>
      </w:r>
      <w:r>
        <w:rPr>
          <w:rFonts w:eastAsiaTheme="minorEastAsia"/>
        </w:rPr>
        <w:fldChar w:fldCharType="end"/>
      </w:r>
      <w:r>
        <w:rPr>
          <w:rFonts w:eastAsiaTheme="minorEastAsia"/>
        </w:rPr>
        <w:t xml:space="preserve"> that are greater than ‘Minor’.  While it may now seem clear to some people that </w:t>
      </w:r>
      <w:r>
        <w:rPr>
          <w:rFonts w:eastAsiaTheme="minorEastAsia"/>
        </w:rPr>
        <w:fldChar w:fldCharType="begin"/>
      </w:r>
      <w:r>
        <w:rPr>
          <w:rFonts w:eastAsiaTheme="minorEastAsia"/>
        </w:rPr>
        <w:instrText xml:space="preserve"> REF _Ref147836117 \h </w:instrText>
      </w:r>
      <w:r>
        <w:rPr>
          <w:rFonts w:eastAsiaTheme="minorEastAsia"/>
        </w:rPr>
      </w:r>
      <w:r>
        <w:rPr>
          <w:rFonts w:eastAsiaTheme="minorEastAsia"/>
        </w:rPr>
        <w:fldChar w:fldCharType="separate"/>
      </w:r>
      <w:r w:rsidR="001E41EA">
        <w:t xml:space="preserve">Equation </w:t>
      </w:r>
      <w:r w:rsidR="001E41EA">
        <w:rPr>
          <w:noProof/>
        </w:rPr>
        <w:t>20</w:t>
      </w:r>
      <w:r>
        <w:rPr>
          <w:rFonts w:eastAsiaTheme="minorEastAsia"/>
        </w:rPr>
        <w:fldChar w:fldCharType="end"/>
      </w:r>
      <w:r>
        <w:rPr>
          <w:rFonts w:eastAsiaTheme="minorEastAsia"/>
        </w:rPr>
        <w:t xml:space="preserve"> is true; i.e., the total risk on the left is greater than the total risk on the right, we will continue simplifying </w:t>
      </w:r>
      <w:r>
        <w:rPr>
          <w:rFonts w:eastAsiaTheme="minorEastAsia"/>
        </w:rPr>
        <w:fldChar w:fldCharType="begin"/>
      </w:r>
      <w:r>
        <w:rPr>
          <w:rFonts w:eastAsiaTheme="minorEastAsia"/>
        </w:rPr>
        <w:instrText xml:space="preserve"> REF _Ref147836117 \h </w:instrText>
      </w:r>
      <w:r>
        <w:rPr>
          <w:rFonts w:eastAsiaTheme="minorEastAsia"/>
        </w:rPr>
      </w:r>
      <w:r>
        <w:rPr>
          <w:rFonts w:eastAsiaTheme="minorEastAsia"/>
        </w:rPr>
        <w:fldChar w:fldCharType="separate"/>
      </w:r>
      <w:r w:rsidR="001E41EA">
        <w:t xml:space="preserve">Equation </w:t>
      </w:r>
      <w:r w:rsidR="001E41EA">
        <w:rPr>
          <w:noProof/>
        </w:rPr>
        <w:t>20</w:t>
      </w:r>
      <w:r>
        <w:rPr>
          <w:rFonts w:eastAsiaTheme="minorEastAsia"/>
        </w:rPr>
        <w:fldChar w:fldCharType="end"/>
      </w:r>
      <w:r>
        <w:rPr>
          <w:rFonts w:eastAsiaTheme="minorEastAsia"/>
        </w:rPr>
        <w:t xml:space="preserve"> further to illustrate the fourth, and most powerful, ‘risk algebra’ rule</w:t>
      </w:r>
      <w:r w:rsidR="00185BB9">
        <w:rPr>
          <w:rFonts w:eastAsiaTheme="minorEastAsia"/>
        </w:rPr>
        <w:t xml:space="preserve">, </w:t>
      </w:r>
      <w:r w:rsidR="0036794A">
        <w:rPr>
          <w:rFonts w:eastAsiaTheme="minorEastAsia"/>
        </w:rPr>
        <w:fldChar w:fldCharType="begin"/>
      </w:r>
      <w:r w:rsidR="0036794A">
        <w:rPr>
          <w:rFonts w:eastAsiaTheme="minorEastAsia"/>
        </w:rPr>
        <w:instrText xml:space="preserve"> REF _Ref151367950 \h </w:instrText>
      </w:r>
      <w:r w:rsidR="0036794A">
        <w:rPr>
          <w:rFonts w:eastAsiaTheme="minorEastAsia"/>
        </w:rPr>
      </w:r>
      <w:r w:rsidR="0036794A">
        <w:rPr>
          <w:rFonts w:eastAsiaTheme="minorEastAsia"/>
        </w:rPr>
        <w:fldChar w:fldCharType="separate"/>
      </w:r>
      <w:r w:rsidR="0036794A" w:rsidRPr="00646086">
        <w:rPr>
          <w:rFonts w:eastAsia="TimesNewRomanPSMT" w:cs="TimesNewRomanPSMT"/>
          <w:b/>
          <w:color w:val="000000"/>
          <w:u w:val="single"/>
        </w:rPr>
        <w:t>Removing Unequal Risks</w:t>
      </w:r>
      <w:r w:rsidR="0036794A">
        <w:rPr>
          <w:rFonts w:eastAsiaTheme="minorEastAsia"/>
        </w:rPr>
        <w:fldChar w:fldCharType="end"/>
      </w:r>
      <w:r>
        <w:rPr>
          <w:rFonts w:eastAsiaTheme="minorEastAsia"/>
        </w:rPr>
        <w:t xml:space="preserve">.  </w:t>
      </w:r>
    </w:p>
    <w:p w14:paraId="585E0E32" w14:textId="77777777" w:rsidR="00CD55F1" w:rsidRPr="00F60A9B" w:rsidRDefault="00CD55F1" w:rsidP="00AA2310">
      <w:pPr>
        <w:spacing w:after="0" w:line="240" w:lineRule="auto"/>
        <w:rPr>
          <w:rFonts w:eastAsiaTheme="minorEastAsia"/>
        </w:rPr>
      </w:pPr>
    </w:p>
    <w:p w14:paraId="2B5373A0" w14:textId="351EF123" w:rsidR="00CD55F1" w:rsidRPr="00F60A9B" w:rsidRDefault="00CD55F1" w:rsidP="00A600C8">
      <w:pPr>
        <w:pStyle w:val="Heading2"/>
      </w:pPr>
      <w:bookmarkStart w:id="73" w:name="_Ref151361318"/>
      <w:bookmarkStart w:id="74" w:name="_Ref151362774"/>
      <w:bookmarkStart w:id="75" w:name="_Ref151363956"/>
      <w:bookmarkStart w:id="76" w:name="_Ref151367950"/>
      <w:bookmarkStart w:id="77" w:name="_Ref151368036"/>
      <w:bookmarkStart w:id="78" w:name="_Ref151368057"/>
      <w:bookmarkStart w:id="79" w:name="_Ref151368162"/>
      <w:bookmarkStart w:id="80" w:name="_Toc156728652"/>
      <w:r w:rsidRPr="00646086">
        <w:rPr>
          <w:rFonts w:eastAsia="TimesNewRomanPSMT" w:cs="TimesNewRomanPSMT"/>
          <w:b/>
          <w:color w:val="000000"/>
          <w:u w:val="single"/>
        </w:rPr>
        <w:t>Removing Unequal Risks</w:t>
      </w:r>
      <w:bookmarkEnd w:id="73"/>
      <w:bookmarkEnd w:id="74"/>
      <w:bookmarkEnd w:id="75"/>
      <w:bookmarkEnd w:id="76"/>
      <w:bookmarkEnd w:id="77"/>
      <w:bookmarkEnd w:id="78"/>
      <w:bookmarkEnd w:id="79"/>
      <w:bookmarkEnd w:id="80"/>
    </w:p>
    <w:p w14:paraId="5F888BE4" w14:textId="6035F2D5" w:rsidR="00FB04BA" w:rsidRDefault="00B1260B" w:rsidP="002776B0">
      <w:pPr>
        <w:rPr>
          <w:rFonts w:eastAsiaTheme="minorEastAsia"/>
          <w:iCs/>
        </w:rPr>
      </w:pPr>
      <w:r>
        <w:rPr>
          <w:rFonts w:eastAsiaTheme="minorEastAsia"/>
        </w:rPr>
        <w:t xml:space="preserve">In the section titled </w:t>
      </w:r>
      <w:r>
        <w:rPr>
          <w:rFonts w:eastAsiaTheme="minorEastAsia"/>
        </w:rPr>
        <w:fldChar w:fldCharType="begin"/>
      </w:r>
      <w:r>
        <w:rPr>
          <w:rFonts w:eastAsiaTheme="minorEastAsia"/>
        </w:rPr>
        <w:instrText xml:space="preserve"> REF _Ref151218484 \h </w:instrText>
      </w:r>
      <w:r>
        <w:rPr>
          <w:rFonts w:eastAsiaTheme="minorEastAsia"/>
        </w:rPr>
      </w:r>
      <w:r>
        <w:rPr>
          <w:rFonts w:eastAsiaTheme="minorEastAsia"/>
        </w:rPr>
        <w:fldChar w:fldCharType="separate"/>
      </w:r>
      <w:r w:rsidRPr="00646086">
        <w:rPr>
          <w:rFonts w:eastAsia="TimesNewRomanPSMT" w:cs="TimesNewRomanPSMT"/>
          <w:b/>
          <w:color w:val="000000"/>
          <w:u w:val="single"/>
        </w:rPr>
        <w:t>Removing Identical Risks</w:t>
      </w:r>
      <w:r>
        <w:rPr>
          <w:rFonts w:eastAsiaTheme="minorEastAsia"/>
        </w:rPr>
        <w:fldChar w:fldCharType="end"/>
      </w:r>
      <w:r>
        <w:rPr>
          <w:rFonts w:cs="Arial"/>
          <w:iCs/>
        </w:rPr>
        <w:t xml:space="preserve">, we noted that </w:t>
      </w:r>
      <m:oMath>
        <m:d>
          <m:dPr>
            <m:begChr m:val="{"/>
            <m:endChr m:val="}"/>
            <m:ctrlPr>
              <w:rPr>
                <w:rFonts w:ascii="Cambria Math" w:hAnsi="Cambria Math" w:cs="Arial"/>
                <w:i/>
                <w:iCs/>
              </w:rPr>
            </m:ctrlPr>
          </m:dPr>
          <m:e>
            <m:r>
              <w:rPr>
                <w:rFonts w:ascii="Cambria Math" w:hAnsi="Cambria Math" w:cs="Arial"/>
              </w:rPr>
              <m:t>a, 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c,b</m:t>
            </m:r>
          </m:e>
        </m:d>
      </m:oMath>
      <w:r w:rsidRPr="00F60A9B">
        <w:rPr>
          <w:rFonts w:eastAsiaTheme="minorEastAsia" w:cs="Arial"/>
          <w:iCs/>
        </w:rPr>
        <w:t xml:space="preserve"> implies the simpler equation </w:t>
      </w:r>
      <m:oMath>
        <m:d>
          <m:dPr>
            <m:begChr m:val="{"/>
            <m:endChr m:val="}"/>
            <m:ctrlPr>
              <w:rPr>
                <w:rFonts w:ascii="Cambria Math" w:hAnsi="Cambria Math" w:cs="Arial"/>
                <w:i/>
                <w:iCs/>
              </w:rPr>
            </m:ctrlPr>
          </m:dPr>
          <m:e>
            <m:r>
              <w:rPr>
                <w:rFonts w:ascii="Cambria Math" w:hAnsi="Cambria Math" w:cs="Arial"/>
              </w:rPr>
              <m:t>a</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m:t>
            </m:r>
          </m:e>
        </m:d>
      </m:oMath>
      <w:r w:rsidRPr="00F60A9B">
        <w:rPr>
          <w:rFonts w:eastAsiaTheme="minorEastAsia" w:cs="Arial"/>
        </w:rPr>
        <w:t xml:space="preserve">.  </w:t>
      </w:r>
      <w:r>
        <w:rPr>
          <w:rFonts w:eastAsiaTheme="minorEastAsia" w:cs="Arial"/>
        </w:rPr>
        <w:t>We will now do the same with unequal risks</w:t>
      </w:r>
      <w:r w:rsidR="00172D3C">
        <w:rPr>
          <w:rFonts w:eastAsiaTheme="minorEastAsia" w:cs="Arial"/>
        </w:rPr>
        <w:t xml:space="preserve">.  The result will be </w:t>
      </w:r>
      <w:r w:rsidR="00770C39">
        <w:rPr>
          <w:rFonts w:eastAsiaTheme="minorEastAsia" w:cs="Arial"/>
        </w:rPr>
        <w:t xml:space="preserve">very similar </w:t>
      </w:r>
      <w:r w:rsidR="00172D3C">
        <w:rPr>
          <w:rFonts w:eastAsiaTheme="minorEastAsia" w:cs="Arial"/>
        </w:rPr>
        <w:t xml:space="preserve">to </w:t>
      </w:r>
      <w:r w:rsidR="00172D3C">
        <w:rPr>
          <w:rFonts w:eastAsiaTheme="minorEastAsia"/>
        </w:rPr>
        <w:fldChar w:fldCharType="begin"/>
      </w:r>
      <w:r w:rsidR="00172D3C">
        <w:rPr>
          <w:rFonts w:eastAsiaTheme="minorEastAsia"/>
        </w:rPr>
        <w:instrText xml:space="preserve"> REF _Ref151218484 \h </w:instrText>
      </w:r>
      <w:r w:rsidR="00172D3C">
        <w:rPr>
          <w:rFonts w:eastAsiaTheme="minorEastAsia"/>
        </w:rPr>
      </w:r>
      <w:r w:rsidR="00172D3C">
        <w:rPr>
          <w:rFonts w:eastAsiaTheme="minorEastAsia"/>
        </w:rPr>
        <w:fldChar w:fldCharType="separate"/>
      </w:r>
      <w:r w:rsidR="00172D3C" w:rsidRPr="00646086">
        <w:rPr>
          <w:rFonts w:eastAsia="TimesNewRomanPSMT" w:cs="TimesNewRomanPSMT"/>
          <w:b/>
          <w:color w:val="000000"/>
          <w:u w:val="single"/>
        </w:rPr>
        <w:t>Removing Identical Risks</w:t>
      </w:r>
      <w:r w:rsidR="00172D3C">
        <w:rPr>
          <w:rFonts w:eastAsiaTheme="minorEastAsia"/>
        </w:rPr>
        <w:fldChar w:fldCharType="end"/>
      </w:r>
      <w:r w:rsidR="00172D3C">
        <w:rPr>
          <w:rFonts w:cs="Arial"/>
          <w:iCs/>
        </w:rPr>
        <w:t>, but with one additional consideration</w:t>
      </w:r>
      <w:r w:rsidR="00F25C6B">
        <w:t xml:space="preserve">.  </w:t>
      </w:r>
    </w:p>
    <w:p w14:paraId="1230BF02" w14:textId="5E08A906" w:rsidR="004820A5" w:rsidRPr="0094116C" w:rsidRDefault="004820A5" w:rsidP="00E164E6">
      <w:pPr>
        <w:pStyle w:val="Heading3"/>
        <w:rPr>
          <w:rFonts w:eastAsiaTheme="minorEastAsia"/>
        </w:rPr>
      </w:pPr>
      <w:bookmarkStart w:id="81" w:name="_Toc156728653"/>
      <w:r w:rsidRPr="0094116C">
        <w:rPr>
          <w:rFonts w:eastAsiaTheme="minorEastAsia"/>
        </w:rPr>
        <w:t>Theory:</w:t>
      </w:r>
      <w:bookmarkEnd w:id="81"/>
      <w:r w:rsidRPr="0094116C">
        <w:rPr>
          <w:rFonts w:eastAsiaTheme="minorEastAsia"/>
        </w:rPr>
        <w:t xml:space="preserve"> </w:t>
      </w:r>
    </w:p>
    <w:p w14:paraId="3BFFFCC4" w14:textId="09FACBA6" w:rsidR="006602A2" w:rsidRDefault="006602A2" w:rsidP="002A221F">
      <w:pPr>
        <w:rPr>
          <w:rFonts w:eastAsiaTheme="minorEastAsia" w:cs="Arial"/>
          <w:iCs/>
        </w:rPr>
      </w:pPr>
      <w:r>
        <w:rPr>
          <w:rFonts w:eastAsiaTheme="minorEastAsia" w:cs="Arial"/>
        </w:rPr>
        <w:t>C</w:t>
      </w:r>
      <w:r w:rsidR="00C048A2">
        <w:rPr>
          <w:rFonts w:eastAsiaTheme="minorEastAsia" w:cs="Arial"/>
        </w:rPr>
        <w:t xml:space="preserve">onsider </w:t>
      </w:r>
      <w:r>
        <w:rPr>
          <w:rFonts w:eastAsiaTheme="minorEastAsia" w:cs="Arial"/>
        </w:rPr>
        <w:t xml:space="preserve">our starting </w:t>
      </w:r>
      <w:r w:rsidR="00C048A2">
        <w:rPr>
          <w:rFonts w:eastAsiaTheme="minorEastAsia" w:cs="Arial"/>
        </w:rPr>
        <w:t>equation</w:t>
      </w:r>
      <w:r>
        <w:rPr>
          <w:rFonts w:eastAsiaTheme="minorEastAsia" w:cs="Arial"/>
        </w:rPr>
        <w:t>:</w:t>
      </w:r>
      <w:r w:rsidR="00C048A2">
        <w:rPr>
          <w:rFonts w:eastAsiaTheme="minorEastAsia" w:cs="Arial"/>
        </w:rPr>
        <w:t xml:space="preserve"> </w:t>
      </w:r>
      <m:oMath>
        <m:d>
          <m:dPr>
            <m:begChr m:val="{"/>
            <m:endChr m:val="}"/>
            <m:ctrlPr>
              <w:rPr>
                <w:rFonts w:ascii="Cambria Math" w:hAnsi="Cambria Math" w:cs="Arial"/>
                <w:i/>
                <w:iCs/>
              </w:rPr>
            </m:ctrlPr>
          </m:dPr>
          <m:e>
            <m:r>
              <w:rPr>
                <w:rFonts w:ascii="Cambria Math" w:hAnsi="Cambria Math" w:cs="Arial"/>
              </w:rPr>
              <m:t>a,b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c,d</m:t>
            </m:r>
          </m:e>
        </m:d>
      </m:oMath>
      <w:r w:rsidR="00C048A2">
        <w:rPr>
          <w:rFonts w:eastAsiaTheme="minorEastAsia" w:cs="Arial"/>
        </w:rPr>
        <w:t xml:space="preserve">.  </w:t>
      </w:r>
      <w:r>
        <w:rPr>
          <w:rFonts w:eastAsiaTheme="minorEastAsia" w:cs="Arial"/>
        </w:rPr>
        <w:t xml:space="preserve">We will </w:t>
      </w:r>
      <w:r w:rsidR="00C048A2">
        <w:rPr>
          <w:rFonts w:eastAsiaTheme="minorEastAsia" w:cs="Arial"/>
        </w:rPr>
        <w:t xml:space="preserve">introduce the symbology of </w:t>
      </w:r>
      <m:oMath>
        <m:d>
          <m:dPr>
            <m:begChr m:val="|"/>
            <m:endChr m:val="|"/>
            <m:ctrlPr>
              <w:rPr>
                <w:rFonts w:ascii="Cambria Math" w:hAnsi="Cambria Math" w:cs="Arial"/>
                <w:i/>
                <w:iCs/>
              </w:rPr>
            </m:ctrlPr>
          </m:dPr>
          <m:e>
            <m:d>
              <m:dPr>
                <m:begChr m:val="{"/>
                <m:endChr m:val="}"/>
                <m:ctrlPr>
                  <w:rPr>
                    <w:rFonts w:ascii="Cambria Math" w:hAnsi="Cambria Math" w:cs="Arial"/>
                    <w:i/>
                    <w:iCs/>
                  </w:rPr>
                </m:ctrlPr>
              </m:dPr>
              <m:e>
                <m:r>
                  <w:rPr>
                    <w:rFonts w:ascii="Cambria Math" w:hAnsi="Cambria Math" w:cs="Arial"/>
                  </w:rPr>
                  <m:t>x</m:t>
                </m:r>
              </m:e>
            </m:d>
          </m:e>
        </m:d>
      </m:oMath>
      <w:r w:rsidR="00C048A2">
        <w:rPr>
          <w:rFonts w:eastAsiaTheme="minorEastAsia" w:cs="Arial"/>
          <w:iCs/>
        </w:rPr>
        <w:t xml:space="preserve"> as a metric that measures the amount of risk in the set </w:t>
      </w:r>
      <m:oMath>
        <m:d>
          <m:dPr>
            <m:begChr m:val="{"/>
            <m:endChr m:val="}"/>
            <m:ctrlPr>
              <w:rPr>
                <w:rFonts w:ascii="Cambria Math" w:eastAsiaTheme="minorEastAsia" w:hAnsi="Cambria Math" w:cs="Arial"/>
                <w:i/>
                <w:iCs/>
              </w:rPr>
            </m:ctrlPr>
          </m:dPr>
          <m:e>
            <m:r>
              <w:rPr>
                <w:rFonts w:ascii="Cambria Math" w:eastAsiaTheme="minorEastAsia" w:hAnsi="Cambria Math" w:cs="Arial"/>
              </w:rPr>
              <m:t>x</m:t>
            </m:r>
          </m:e>
        </m:d>
      </m:oMath>
      <w:r>
        <w:rPr>
          <w:rFonts w:eastAsiaTheme="minorEastAsia" w:cs="Arial"/>
          <w:iCs/>
        </w:rPr>
        <w:t xml:space="preserve">.  </w:t>
      </w:r>
      <w:r w:rsidR="00085483">
        <w:rPr>
          <w:rFonts w:eastAsiaTheme="minorEastAsia" w:cs="Arial"/>
          <w:iCs/>
        </w:rPr>
        <w:t xml:space="preserve">Since </w:t>
      </w:r>
      <m:oMath>
        <m:d>
          <m:dPr>
            <m:begChr m:val="{"/>
            <m:endChr m:val="}"/>
            <m:ctrlPr>
              <w:rPr>
                <w:rFonts w:ascii="Cambria Math" w:hAnsi="Cambria Math" w:cs="Arial"/>
                <w:i/>
                <w:iCs/>
              </w:rPr>
            </m:ctrlPr>
          </m:dPr>
          <m:e>
            <m:r>
              <w:rPr>
                <w:rFonts w:ascii="Cambria Math" w:hAnsi="Cambria Math" w:cs="Arial"/>
              </w:rPr>
              <m:t>b</m:t>
            </m:r>
          </m:e>
        </m:d>
      </m:oMath>
      <w:r w:rsidR="00085483">
        <w:rPr>
          <w:rFonts w:eastAsiaTheme="minorEastAsia" w:cs="Arial"/>
          <w:iCs/>
        </w:rPr>
        <w:t xml:space="preserve"> is a set of risks that was removed from </w:t>
      </w:r>
      <m:oMath>
        <m:d>
          <m:dPr>
            <m:begChr m:val="{"/>
            <m:endChr m:val="}"/>
            <m:ctrlPr>
              <w:rPr>
                <w:rFonts w:ascii="Cambria Math" w:hAnsi="Cambria Math" w:cs="Arial"/>
                <w:i/>
                <w:iCs/>
              </w:rPr>
            </m:ctrlPr>
          </m:dPr>
          <m:e>
            <m:r>
              <w:rPr>
                <w:rFonts w:ascii="Cambria Math" w:hAnsi="Cambria Math" w:cs="Arial"/>
              </w:rPr>
              <m:t>a</m:t>
            </m:r>
          </m:e>
        </m:d>
      </m:oMath>
      <w:r w:rsidR="00C048A2">
        <w:rPr>
          <w:rFonts w:eastAsiaTheme="minorEastAsia" w:cs="Arial"/>
          <w:iCs/>
        </w:rPr>
        <w:t xml:space="preserve">, then </w:t>
      </w:r>
      <m:oMath>
        <m:d>
          <m:dPr>
            <m:begChr m:val="{"/>
            <m:endChr m:val="}"/>
            <m:ctrlPr>
              <w:rPr>
                <w:rFonts w:ascii="Cambria Math" w:hAnsi="Cambria Math" w:cs="Arial"/>
                <w:i/>
                <w:iCs/>
              </w:rPr>
            </m:ctrlPr>
          </m:dPr>
          <m:e>
            <m:r>
              <w:rPr>
                <w:rFonts w:ascii="Cambria Math" w:hAnsi="Cambria Math" w:cs="Arial"/>
              </w:rPr>
              <m:t>a</m:t>
            </m:r>
          </m:e>
        </m:d>
        <m:r>
          <w:rPr>
            <w:rFonts w:ascii="Cambria Math" w:hAnsi="Cambria Math" w:cs="Arial"/>
          </w:rPr>
          <m:t>⋂</m:t>
        </m:r>
        <m:d>
          <m:dPr>
            <m:begChr m:val="{"/>
            <m:endChr m:val="}"/>
            <m:ctrlPr>
              <w:rPr>
                <w:rFonts w:ascii="Cambria Math" w:hAnsi="Cambria Math" w:cs="Arial"/>
                <w:i/>
                <w:iCs/>
              </w:rPr>
            </m:ctrlPr>
          </m:dPr>
          <m:e>
            <m:r>
              <w:rPr>
                <w:rFonts w:ascii="Cambria Math" w:hAnsi="Cambria Math" w:cs="Arial"/>
              </w:rPr>
              <m:t>b</m:t>
            </m:r>
          </m:e>
        </m:d>
        <m:r>
          <w:rPr>
            <w:rFonts w:ascii="Cambria Math" w:hAnsi="Cambria Math" w:cs="Arial"/>
          </w:rPr>
          <m:t>=∅</m:t>
        </m:r>
      </m:oMath>
      <w:r w:rsidR="00085483">
        <w:rPr>
          <w:rFonts w:eastAsiaTheme="minorEastAsia" w:cs="Arial"/>
          <w:iCs/>
        </w:rPr>
        <w:t xml:space="preserve">.  But, </w:t>
      </w:r>
      <w:r w:rsidR="00C048A2">
        <w:rPr>
          <w:rFonts w:eastAsiaTheme="minorEastAsia" w:cs="Arial"/>
          <w:iCs/>
        </w:rPr>
        <w:t xml:space="preserve">because </w:t>
      </w:r>
      <m:oMath>
        <m:d>
          <m:dPr>
            <m:begChr m:val="{"/>
            <m:endChr m:val="}"/>
            <m:ctrlPr>
              <w:rPr>
                <w:rFonts w:ascii="Cambria Math" w:hAnsi="Cambria Math" w:cs="Arial"/>
                <w:i/>
                <w:iCs/>
              </w:rPr>
            </m:ctrlPr>
          </m:dPr>
          <m:e>
            <m:r>
              <w:rPr>
                <w:rFonts w:ascii="Cambria Math" w:hAnsi="Cambria Math" w:cs="Arial"/>
              </w:rPr>
              <m:t>a</m:t>
            </m:r>
          </m:e>
        </m:d>
        <m:r>
          <w:rPr>
            <w:rFonts w:ascii="Cambria Math" w:hAnsi="Cambria Math" w:cs="Arial"/>
          </w:rPr>
          <m:t>⋂</m:t>
        </m:r>
        <m:d>
          <m:dPr>
            <m:begChr m:val="{"/>
            <m:endChr m:val="}"/>
            <m:ctrlPr>
              <w:rPr>
                <w:rFonts w:ascii="Cambria Math" w:hAnsi="Cambria Math" w:cs="Arial"/>
                <w:i/>
                <w:iCs/>
              </w:rPr>
            </m:ctrlPr>
          </m:dPr>
          <m:e>
            <m:r>
              <w:rPr>
                <w:rFonts w:ascii="Cambria Math" w:hAnsi="Cambria Math" w:cs="Arial"/>
              </w:rPr>
              <m:t>b</m:t>
            </m:r>
          </m:e>
        </m:d>
        <m:r>
          <w:rPr>
            <w:rFonts w:ascii="Cambria Math" w:hAnsi="Cambria Math" w:cs="Arial"/>
          </w:rPr>
          <m:t>=∅</m:t>
        </m:r>
      </m:oMath>
      <w:r w:rsidR="00C048A2">
        <w:rPr>
          <w:rFonts w:eastAsiaTheme="minorEastAsia" w:cs="Arial"/>
          <w:iCs/>
        </w:rPr>
        <w:t xml:space="preserve">, then </w:t>
      </w:r>
      <m:oMath>
        <m:d>
          <m:dPr>
            <m:begChr m:val="|"/>
            <m:endChr m:val="|"/>
            <m:ctrlPr>
              <w:rPr>
                <w:rFonts w:ascii="Cambria Math" w:eastAsiaTheme="minorEastAsia" w:hAnsi="Cambria Math" w:cs="Arial"/>
                <w:i/>
                <w:iCs/>
              </w:rPr>
            </m:ctrlPr>
          </m:dPr>
          <m:e>
            <m:r>
              <w:rPr>
                <w:rFonts w:ascii="Cambria Math" w:eastAsiaTheme="minorEastAsia" w:hAnsi="Cambria Math" w:cs="Arial"/>
              </w:rPr>
              <m:t>{a,b}</m:t>
            </m:r>
          </m:e>
        </m:d>
        <m:r>
          <w:rPr>
            <w:rFonts w:ascii="Cambria Math" w:eastAsiaTheme="minorEastAsia"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a</m:t>
                </m:r>
              </m:e>
            </m:d>
          </m:e>
        </m:d>
        <m:r>
          <w:rPr>
            <w:rFonts w:ascii="Cambria Math"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b</m:t>
                </m:r>
              </m:e>
            </m:d>
          </m:e>
        </m:d>
      </m:oMath>
      <w:r w:rsidR="00C048A2">
        <w:rPr>
          <w:rFonts w:eastAsiaTheme="minorEastAsia" w:cs="Arial"/>
          <w:iCs/>
        </w:rPr>
        <w:t xml:space="preserve">.  Similarly, </w:t>
      </w:r>
      <m:oMath>
        <m:d>
          <m:dPr>
            <m:begChr m:val="|"/>
            <m:endChr m:val="|"/>
            <m:ctrlPr>
              <w:rPr>
                <w:rFonts w:ascii="Cambria Math" w:eastAsiaTheme="minorEastAsia" w:hAnsi="Cambria Math" w:cs="Arial"/>
                <w:i/>
                <w:iCs/>
              </w:rPr>
            </m:ctrlPr>
          </m:dPr>
          <m:e>
            <m:r>
              <w:rPr>
                <w:rFonts w:ascii="Cambria Math" w:eastAsiaTheme="minorEastAsia" w:hAnsi="Cambria Math" w:cs="Arial"/>
              </w:rPr>
              <m:t>{c,d}</m:t>
            </m:r>
          </m:e>
        </m:d>
        <m:r>
          <w:rPr>
            <w:rFonts w:ascii="Cambria Math" w:eastAsiaTheme="minorEastAsia"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c</m:t>
                </m:r>
              </m:e>
            </m:d>
          </m:e>
        </m:d>
        <m:r>
          <w:rPr>
            <w:rFonts w:ascii="Cambria Math"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d</m:t>
                </m:r>
              </m:e>
            </m:d>
          </m:e>
        </m:d>
      </m:oMath>
      <w:r w:rsidR="00085483">
        <w:rPr>
          <w:rFonts w:eastAsiaTheme="minorEastAsia" w:cs="Arial"/>
          <w:iCs/>
        </w:rPr>
        <w:t>.  Therefore</w:t>
      </w:r>
      <w:r w:rsidR="00C048A2">
        <w:rPr>
          <w:rFonts w:eastAsiaTheme="minorEastAsia" w:cs="Arial"/>
          <w:iCs/>
        </w:rPr>
        <w:t xml:space="preserve">, </w:t>
      </w:r>
      <m:oMath>
        <m:d>
          <m:dPr>
            <m:begChr m:val="{"/>
            <m:endChr m:val="}"/>
            <m:ctrlPr>
              <w:rPr>
                <w:rFonts w:ascii="Cambria Math" w:hAnsi="Cambria Math" w:cs="Arial"/>
                <w:i/>
                <w:iCs/>
              </w:rPr>
            </m:ctrlPr>
          </m:dPr>
          <m:e>
            <m:r>
              <w:rPr>
                <w:rFonts w:ascii="Cambria Math" w:hAnsi="Cambria Math" w:cs="Arial"/>
              </w:rPr>
              <m:t>a,b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c,d</m:t>
            </m:r>
          </m:e>
        </m:d>
      </m:oMath>
      <w:r w:rsidR="00AB40D2">
        <w:rPr>
          <w:rFonts w:eastAsiaTheme="minorEastAsia" w:cs="Arial"/>
        </w:rPr>
        <w:t xml:space="preserve"> is equivalent to </w:t>
      </w:r>
      <m:oMath>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a</m:t>
                </m:r>
              </m:e>
            </m:d>
          </m:e>
        </m:d>
        <m:r>
          <w:rPr>
            <w:rFonts w:ascii="Cambria Math"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b</m:t>
                </m:r>
              </m:e>
            </m:d>
          </m:e>
        </m:d>
        <m:r>
          <w:rPr>
            <w:rFonts w:ascii="Cambria Math" w:hAnsi="Cambria Math" w:cs="Arial"/>
          </w:rPr>
          <m:t xml:space="preserve"> </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 xml:space="preserve"> </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c</m:t>
                </m:r>
              </m:e>
            </m:d>
          </m:e>
        </m:d>
        <m:r>
          <w:rPr>
            <w:rFonts w:ascii="Cambria Math" w:hAnsi="Cambria Math" w:cs="Arial"/>
          </w:rPr>
          <m:t>+</m:t>
        </m:r>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d</m:t>
                </m:r>
              </m:e>
            </m:d>
          </m:e>
        </m:d>
      </m:oMath>
      <w:r w:rsidR="00AB40D2">
        <w:rPr>
          <w:rFonts w:eastAsiaTheme="minorEastAsia" w:cs="Arial"/>
          <w:iCs/>
        </w:rPr>
        <w:t xml:space="preserve">.  </w:t>
      </w:r>
      <w:r w:rsidR="00085483">
        <w:rPr>
          <w:rFonts w:eastAsiaTheme="minorEastAsia" w:cs="Arial"/>
          <w:iCs/>
        </w:rPr>
        <w:t xml:space="preserve">Since </w:t>
      </w:r>
      <m:oMath>
        <m:d>
          <m:dPr>
            <m:begChr m:val="|"/>
            <m:endChr m:val="|"/>
            <m:ctrlPr>
              <w:rPr>
                <w:rFonts w:ascii="Cambria Math" w:hAnsi="Cambria Math" w:cs="Arial"/>
                <w:i/>
                <w:iCs/>
              </w:rPr>
            </m:ctrlPr>
          </m:dPr>
          <m:e>
            <m:d>
              <m:dPr>
                <m:begChr m:val="{"/>
                <m:endChr m:val="}"/>
                <m:ctrlPr>
                  <w:rPr>
                    <w:rFonts w:ascii="Cambria Math" w:hAnsi="Cambria Math" w:cs="Arial"/>
                    <w:i/>
                  </w:rPr>
                </m:ctrlPr>
              </m:dPr>
              <m:e>
                <m:r>
                  <w:rPr>
                    <w:rFonts w:ascii="Cambria Math" w:hAnsi="Cambria Math" w:cs="Arial"/>
                  </w:rPr>
                  <m:t>a</m:t>
                </m:r>
              </m:e>
            </m:d>
          </m:e>
        </m:d>
      </m:oMath>
      <w:r w:rsidR="00085483">
        <w:rPr>
          <w:rFonts w:eastAsiaTheme="minorEastAsia" w:cs="Arial"/>
          <w:iCs/>
        </w:rPr>
        <w:t xml:space="preserve"> is a lot of symbols, we will </w:t>
      </w:r>
      <w:r w:rsidR="00AB40D2">
        <w:rPr>
          <w:rFonts w:eastAsiaTheme="minorEastAsia" w:cs="Arial"/>
          <w:iCs/>
        </w:rPr>
        <w:t>simplify the symbology</w:t>
      </w:r>
      <w:r w:rsidR="00085483">
        <w:rPr>
          <w:rFonts w:eastAsiaTheme="minorEastAsia" w:cs="Arial"/>
          <w:iCs/>
        </w:rPr>
        <w:t xml:space="preserve"> so that </w:t>
      </w:r>
      <m:oMath>
        <m:r>
          <w:rPr>
            <w:rFonts w:ascii="Cambria Math" w:hAnsi="Cambria Math" w:cs="Arial"/>
          </w:rPr>
          <m:t>a</m:t>
        </m:r>
      </m:oMath>
      <w:r w:rsidR="00085483">
        <w:rPr>
          <w:rFonts w:eastAsiaTheme="minorEastAsia" w:cs="Arial"/>
          <w:iCs/>
        </w:rPr>
        <w:t xml:space="preserve">, </w:t>
      </w:r>
      <m:oMath>
        <m:r>
          <w:rPr>
            <w:rFonts w:ascii="Cambria Math" w:eastAsiaTheme="minorEastAsia" w:hAnsi="Cambria Math" w:cs="Arial"/>
          </w:rPr>
          <m:t>b</m:t>
        </m:r>
      </m:oMath>
      <w:r w:rsidR="00085483">
        <w:rPr>
          <w:rFonts w:eastAsiaTheme="minorEastAsia" w:cs="Arial"/>
          <w:iCs/>
        </w:rPr>
        <w:t xml:space="preserve">, </w:t>
      </w:r>
      <m:oMath>
        <m:r>
          <w:rPr>
            <w:rFonts w:ascii="Cambria Math" w:eastAsiaTheme="minorEastAsia" w:hAnsi="Cambria Math" w:cs="Arial"/>
          </w:rPr>
          <m:t>c</m:t>
        </m:r>
      </m:oMath>
      <w:r w:rsidR="00085483">
        <w:rPr>
          <w:rFonts w:eastAsiaTheme="minorEastAsia" w:cs="Arial"/>
          <w:iCs/>
        </w:rPr>
        <w:t xml:space="preserve">, and </w:t>
      </w:r>
      <m:oMath>
        <m:r>
          <w:rPr>
            <w:rFonts w:ascii="Cambria Math" w:eastAsiaTheme="minorEastAsia" w:hAnsi="Cambria Math" w:cs="Arial"/>
          </w:rPr>
          <m:t>d</m:t>
        </m:r>
      </m:oMath>
      <w:r w:rsidR="00085483">
        <w:rPr>
          <w:rFonts w:eastAsiaTheme="minorEastAsia" w:cs="Arial"/>
          <w:iCs/>
        </w:rPr>
        <w:t xml:space="preserve"> represent the amount of risk in each set of risks and simplify </w:t>
      </w:r>
      <m:oMath>
        <m:d>
          <m:dPr>
            <m:begChr m:val="{"/>
            <m:endChr m:val="}"/>
            <m:ctrlPr>
              <w:rPr>
                <w:rFonts w:ascii="Cambria Math" w:hAnsi="Cambria Math" w:cs="Arial"/>
                <w:i/>
                <w:iCs/>
              </w:rPr>
            </m:ctrlPr>
          </m:dPr>
          <m:e>
            <m:r>
              <w:rPr>
                <w:rFonts w:ascii="Cambria Math" w:hAnsi="Cambria Math" w:cs="Arial"/>
              </w:rPr>
              <m:t>a,b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c,d</m:t>
            </m:r>
          </m:e>
        </m:d>
      </m:oMath>
      <w:r w:rsidR="00085483">
        <w:rPr>
          <w:rFonts w:eastAsiaTheme="minorEastAsia" w:cs="Arial"/>
        </w:rPr>
        <w:t xml:space="preserve"> to </w:t>
      </w:r>
      <m:oMath>
        <m:r>
          <w:rPr>
            <w:rFonts w:ascii="Cambria Math" w:hAnsi="Cambria Math" w:cs="Arial"/>
          </w:rPr>
          <m:t>a+b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c+d</m:t>
        </m:r>
      </m:oMath>
      <w:r w:rsidR="00085483">
        <w:rPr>
          <w:rFonts w:eastAsiaTheme="minorEastAsia" w:cs="Arial"/>
          <w:iCs/>
        </w:rPr>
        <w:t xml:space="preserve">.  With this symbology, </w:t>
      </w:r>
      <w:r w:rsidR="00AB40D2">
        <w:rPr>
          <w:rFonts w:eastAsiaTheme="minorEastAsia" w:cs="Arial"/>
          <w:iCs/>
        </w:rPr>
        <w:t xml:space="preserve">we want to simplify </w:t>
      </w:r>
      <m:oMath>
        <m:r>
          <w:rPr>
            <w:rFonts w:ascii="Cambria Math" w:hAnsi="Cambria Math" w:cs="Arial"/>
          </w:rPr>
          <m:t>a+b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c+d</m:t>
        </m:r>
      </m:oMath>
      <w:r w:rsidR="00AB40D2">
        <w:rPr>
          <w:rFonts w:eastAsiaTheme="minorEastAsia" w:cs="Arial"/>
          <w:iCs/>
        </w:rPr>
        <w:t xml:space="preserve"> to </w:t>
      </w:r>
      <m:oMath>
        <m:r>
          <w:rPr>
            <w:rFonts w:ascii="Cambria Math"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c</m:t>
        </m:r>
      </m:oMath>
      <w:r w:rsidR="00AB40D2">
        <w:rPr>
          <w:rFonts w:eastAsiaTheme="minorEastAsia" w:cs="Arial"/>
          <w:iCs/>
        </w:rPr>
        <w:t xml:space="preserve">. </w:t>
      </w:r>
    </w:p>
    <w:p w14:paraId="1F1D84D1" w14:textId="20F80D29" w:rsidR="00C048A2" w:rsidRDefault="00AB40D2" w:rsidP="002A221F">
      <w:pPr>
        <w:rPr>
          <w:rFonts w:eastAsiaTheme="minorEastAsia" w:cs="Arial"/>
          <w:iCs/>
        </w:rPr>
      </w:pPr>
      <w:r>
        <w:rPr>
          <w:rFonts w:eastAsiaTheme="minorEastAsia" w:cs="Arial"/>
        </w:rPr>
        <w:t xml:space="preserve">Since we are removing unequal risks, then either </w:t>
      </w:r>
      <m:oMath>
        <m:r>
          <w:rPr>
            <w:rFonts w:ascii="Cambria Math"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d</m:t>
        </m:r>
      </m:oMath>
      <w:r>
        <w:rPr>
          <w:rFonts w:eastAsiaTheme="minorEastAsia" w:cs="Arial"/>
          <w:iCs/>
        </w:rPr>
        <w:t xml:space="preserve"> or </w:t>
      </w:r>
      <m:oMath>
        <m:r>
          <w:rPr>
            <w:rFonts w:ascii="Cambria Math" w:eastAsiaTheme="minorEastAsia" w:hAnsi="Cambria Math" w:cs="Arial"/>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b</m:t>
        </m:r>
      </m:oMath>
      <w:r>
        <w:rPr>
          <w:rFonts w:eastAsiaTheme="minorEastAsia" w:cs="Arial"/>
          <w:iCs/>
        </w:rPr>
        <w:t>, and we will consider each case</w:t>
      </w:r>
      <w:r w:rsidR="006602A2">
        <w:rPr>
          <w:rFonts w:eastAsiaTheme="minorEastAsia" w:cs="Arial"/>
          <w:iCs/>
        </w:rPr>
        <w:t xml:space="preserve"> in turn</w:t>
      </w:r>
      <w:r>
        <w:rPr>
          <w:rFonts w:eastAsiaTheme="minorEastAsia" w:cs="Arial"/>
          <w:iCs/>
        </w:rPr>
        <w:t xml:space="preserve">.   </w:t>
      </w:r>
    </w:p>
    <w:p w14:paraId="7A43245C" w14:textId="759DCCD3" w:rsidR="00AB40D2" w:rsidRDefault="006602A2" w:rsidP="002A221F">
      <w:pPr>
        <w:rPr>
          <w:rFonts w:eastAsiaTheme="minorEastAsia" w:cs="Arial"/>
          <w:iCs/>
        </w:rPr>
      </w:pPr>
      <w:r>
        <w:rPr>
          <w:rFonts w:eastAsiaTheme="minorEastAsia" w:cs="Arial"/>
          <w:iCs/>
        </w:rPr>
        <w:t xml:space="preserve">For </w:t>
      </w:r>
      <w:r w:rsidR="00AB40D2">
        <w:rPr>
          <w:rFonts w:eastAsiaTheme="minorEastAsia" w:cs="Arial"/>
          <w:iCs/>
        </w:rPr>
        <w:t xml:space="preserve">the case where </w:t>
      </w:r>
      <m:oMath>
        <m:r>
          <w:rPr>
            <w:rFonts w:ascii="Cambria Math"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d</m:t>
        </m:r>
      </m:oMath>
      <w:r w:rsidR="00AB40D2">
        <w:rPr>
          <w:rFonts w:eastAsiaTheme="minorEastAsia" w:cs="Arial"/>
          <w:iCs/>
        </w:rPr>
        <w:t xml:space="preserve">: </w:t>
      </w:r>
    </w:p>
    <w:p w14:paraId="4B3D0076" w14:textId="3FE03F36" w:rsidR="0044583F" w:rsidRDefault="00C56126" w:rsidP="00AB40D2">
      <w:pPr>
        <w:ind w:left="720"/>
        <w:rPr>
          <w:rFonts w:eastAsiaTheme="minorEastAsia" w:cs="Arial"/>
          <w:iCs/>
        </w:rPr>
      </w:pPr>
      <w:r>
        <w:rPr>
          <w:rFonts w:eastAsiaTheme="minorEastAsia" w:cs="Arial"/>
          <w:iCs/>
        </w:rPr>
        <w:t>If we start with</w:t>
      </w:r>
      <w:r w:rsidR="00085483">
        <w:rPr>
          <w:rFonts w:eastAsiaTheme="minorEastAsia" w:cs="Arial"/>
          <w:iCs/>
        </w:rPr>
        <w:t xml:space="preserve"> </w:t>
      </w:r>
      <w:r w:rsidR="00085483">
        <w:rPr>
          <w:rFonts w:eastAsiaTheme="minorEastAsia" w:cs="Arial"/>
          <w:iCs/>
        </w:rPr>
        <w:fldChar w:fldCharType="begin"/>
      </w:r>
      <w:r w:rsidR="00085483">
        <w:rPr>
          <w:rFonts w:eastAsiaTheme="minorEastAsia" w:cs="Arial"/>
          <w:iCs/>
        </w:rPr>
        <w:instrText xml:space="preserve"> REF _Ref147639186 \h </w:instrText>
      </w:r>
      <w:r w:rsidR="00085483">
        <w:rPr>
          <w:rFonts w:eastAsiaTheme="minorEastAsia" w:cs="Arial"/>
          <w:iCs/>
        </w:rPr>
      </w:r>
      <w:r w:rsidR="00085483">
        <w:rPr>
          <w:rFonts w:eastAsiaTheme="minorEastAsia" w:cs="Arial"/>
          <w:iCs/>
        </w:rPr>
        <w:fldChar w:fldCharType="separate"/>
      </w:r>
      <w:r w:rsidR="00085483">
        <w:t xml:space="preserve">Equation </w:t>
      </w:r>
      <w:r w:rsidR="00085483">
        <w:rPr>
          <w:noProof/>
        </w:rPr>
        <w:t>9</w:t>
      </w:r>
      <w:r w:rsidR="00085483">
        <w:rPr>
          <w:rFonts w:eastAsiaTheme="minorEastAsia" w:cs="Arial"/>
          <w:iCs/>
        </w:rPr>
        <w:fldChar w:fldCharType="end"/>
      </w:r>
      <w:r w:rsidR="00085483">
        <w:rPr>
          <w:rFonts w:eastAsiaTheme="minorEastAsia" w:cs="Arial"/>
          <w:iCs/>
        </w:rPr>
        <w:t xml:space="preserve"> written as</w:t>
      </w:r>
      <w:r>
        <w:rPr>
          <w:rFonts w:eastAsiaTheme="minorEastAsia" w:cs="Arial"/>
          <w:iCs/>
        </w:rPr>
        <w:t xml:space="preserve"> </w:t>
      </w:r>
      <m:oMath>
        <m:r>
          <w:rPr>
            <w:rFonts w:ascii="Cambria Math"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c</m:t>
        </m:r>
      </m:oMath>
      <w:r w:rsidR="00085483">
        <w:rPr>
          <w:rFonts w:eastAsiaTheme="minorEastAsia" w:cs="Arial"/>
          <w:iCs/>
        </w:rPr>
        <w:t>,</w:t>
      </w:r>
      <w:r>
        <w:rPr>
          <w:rFonts w:eastAsiaTheme="minorEastAsia" w:cs="Arial"/>
          <w:iCs/>
        </w:rPr>
        <w:t xml:space="preserve"> and </w:t>
      </w:r>
      <w:r w:rsidR="0044583F">
        <w:rPr>
          <w:rFonts w:eastAsiaTheme="minorEastAsia" w:cs="Arial"/>
          <w:iCs/>
        </w:rPr>
        <w:t xml:space="preserve">remove </w:t>
      </w:r>
      <m:oMath>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oMath>
      <w:r w:rsidR="0044583F">
        <w:rPr>
          <w:rFonts w:eastAsiaTheme="minorEastAsia" w:cs="Arial"/>
          <w:iCs/>
        </w:rPr>
        <w:t xml:space="preserve"> from </w:t>
      </w:r>
      <m:oMath>
        <m:r>
          <w:rPr>
            <w:rFonts w:ascii="Cambria Math" w:eastAsiaTheme="minorEastAsia" w:hAnsi="Cambria Math" w:cs="Arial"/>
          </w:rPr>
          <m:t>a</m:t>
        </m:r>
      </m:oMath>
      <w:r w:rsidR="0044583F">
        <w:rPr>
          <w:rFonts w:eastAsiaTheme="minorEastAsia" w:cs="Arial"/>
          <w:iCs/>
        </w:rPr>
        <w:t xml:space="preserve"> (so,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oMath>
      <w:r w:rsidR="0044583F">
        <w:rPr>
          <w:rFonts w:eastAsiaTheme="minorEastAsia" w:cs="Arial"/>
          <w:iCs/>
        </w:rPr>
        <w:t xml:space="preserve">) and remove </w:t>
      </w:r>
      <m:oMath>
        <m:sSub>
          <m:sSubPr>
            <m:ctrlPr>
              <w:rPr>
                <w:rFonts w:ascii="Cambria Math" w:hAnsi="Cambria Math" w:cs="Arial"/>
                <w:i/>
                <w:iCs/>
              </w:rPr>
            </m:ctrlPr>
          </m:sSubPr>
          <m:e>
            <m:r>
              <w:rPr>
                <w:rFonts w:ascii="Cambria Math" w:hAnsi="Cambria Math" w:cs="Arial"/>
              </w:rPr>
              <m:t>d</m:t>
            </m:r>
          </m:e>
          <m:sub>
            <m:r>
              <w:rPr>
                <w:rFonts w:ascii="Cambria Math" w:hAnsi="Cambria Math" w:cs="Arial"/>
              </w:rPr>
              <m:t>1</m:t>
            </m:r>
          </m:sub>
        </m:sSub>
      </m:oMath>
      <w:r w:rsidR="0044583F">
        <w:rPr>
          <w:rFonts w:eastAsiaTheme="minorEastAsia" w:cs="Arial"/>
          <w:iCs/>
        </w:rPr>
        <w:t xml:space="preserve"> from </w:t>
      </w:r>
      <m:oMath>
        <m:r>
          <w:rPr>
            <w:rFonts w:ascii="Cambria Math" w:eastAsiaTheme="minorEastAsia" w:hAnsi="Cambria Math" w:cs="Arial"/>
          </w:rPr>
          <m:t>c</m:t>
        </m:r>
      </m:oMath>
      <w:r w:rsidR="0044583F">
        <w:rPr>
          <w:rFonts w:eastAsiaTheme="minorEastAsia" w:cs="Arial"/>
          <w:iCs/>
        </w:rPr>
        <w:t xml:space="preserve"> (so, </w:t>
      </w:r>
      <m:oMath>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=c</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cs="Arial"/>
                <w:i/>
                <w:iCs/>
              </w:rPr>
            </m:ctrlPr>
          </m:sSubPr>
          <m:e>
            <m:r>
              <w:rPr>
                <w:rFonts w:ascii="Cambria Math" w:hAnsi="Cambria Math" w:cs="Arial"/>
              </w:rPr>
              <m:t>d</m:t>
            </m:r>
          </m:e>
          <m:sub>
            <m:r>
              <w:rPr>
                <w:rFonts w:ascii="Cambria Math" w:hAnsi="Cambria Math" w:cs="Arial"/>
              </w:rPr>
              <m:t>1</m:t>
            </m:r>
          </m:sub>
        </m:sSub>
      </m:oMath>
      <w:r w:rsidR="0044583F">
        <w:rPr>
          <w:rFonts w:eastAsiaTheme="minorEastAsia" w:cs="Arial"/>
          <w:iCs/>
        </w:rPr>
        <w:t xml:space="preserve">), then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sidR="0044583F">
        <w:rPr>
          <w:rFonts w:eastAsiaTheme="minorEastAsia" w:cs="Arial"/>
          <w:iCs/>
        </w:rPr>
        <w:t xml:space="preserve"> and </w:t>
      </w:r>
      <m:oMath>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sidR="0044583F">
        <w:rPr>
          <w:rFonts w:eastAsiaTheme="minorEastAsia" w:cs="Arial"/>
          <w:iCs/>
        </w:rPr>
        <w:t xml:space="preserve"> implies that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hAnsi="Cambria Math" w:cs="Arial"/>
          </w:rPr>
          <m:t>)</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oMath>
      <w:r w:rsidR="0044583F">
        <w:rPr>
          <w:rFonts w:eastAsiaTheme="minorEastAsia" w:cs="Arial"/>
          <w:iCs/>
        </w:rPr>
        <w:t xml:space="preserve">, where </w:t>
      </w:r>
      <m:oMath>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0</m:t>
        </m:r>
      </m:oMath>
      <w:r w:rsidR="0044583F">
        <w:rPr>
          <w:rFonts w:eastAsiaTheme="minorEastAsia" w:cs="Arial"/>
          <w:iCs/>
        </w:rPr>
        <w:t xml:space="preserve">.  </w:t>
      </w:r>
    </w:p>
    <w:p w14:paraId="69B0A455" w14:textId="0D47B99A" w:rsidR="0044583F" w:rsidRDefault="007114EA" w:rsidP="00AB40D2">
      <w:pPr>
        <w:ind w:left="720"/>
        <w:rPr>
          <w:rFonts w:eastAsiaTheme="minorEastAsia" w:cs="Arial"/>
          <w:iCs/>
        </w:rPr>
      </w:pPr>
      <w:r>
        <w:rPr>
          <w:rFonts w:eastAsiaTheme="minorEastAsia" w:cs="Arial"/>
          <w:iCs/>
        </w:rPr>
        <w:t>Therefore, w</w:t>
      </w:r>
      <w:r w:rsidR="0044583F">
        <w:rPr>
          <w:rFonts w:eastAsiaTheme="minorEastAsia" w:cs="Arial"/>
          <w:iCs/>
        </w:rPr>
        <w:t>hen we simplify</w:t>
      </w:r>
      <w:r w:rsidR="0044583F" w:rsidRPr="00EE40B0">
        <w:rPr>
          <w:rFonts w:ascii="Cambria Math" w:hAnsi="Cambria Math" w:cs="Arial"/>
          <w:i/>
          <w:iCs/>
        </w:rPr>
        <w:t xml:space="preserve"> </w:t>
      </w:r>
      <w:r w:rsidR="0044583F">
        <w:rPr>
          <w:rFonts w:eastAsiaTheme="minorEastAsia" w:cs="Arial"/>
          <w:iCs/>
        </w:rPr>
        <w:t xml:space="preserve">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hAnsi="Cambria Math" w:cs="Arial"/>
          </w:rPr>
          <m:t>&gt;</m:t>
        </m: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sidR="0044583F">
        <w:rPr>
          <w:rFonts w:ascii="Cambria Math" w:eastAsiaTheme="minorEastAsia" w:hAnsi="Cambria Math" w:cs="Arial"/>
        </w:rPr>
        <w:t xml:space="preserve"> to </w:t>
      </w:r>
      <w:r w:rsidR="0044583F">
        <w:rPr>
          <w:rFonts w:eastAsiaTheme="minorEastAsia" w:cs="Arial"/>
          <w:iCs/>
        </w:rPr>
        <w:t xml:space="preserve">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&gt;</m:t>
        </m: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oMath>
      <w:r w:rsidR="0044583F">
        <w:rPr>
          <w:rFonts w:eastAsiaTheme="minorEastAsia" w:cs="Arial"/>
          <w:iCs/>
        </w:rPr>
        <w:t xml:space="preserve">, the amount of risk on the left-hand side of the equation is reduced by the amount of  </w:t>
      </w:r>
      <m:oMath>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sidR="0044583F">
        <w:rPr>
          <w:rFonts w:eastAsiaTheme="minorEastAsia" w:cs="Arial"/>
          <w:iCs/>
        </w:rPr>
        <w:t xml:space="preserve">.  </w:t>
      </w:r>
    </w:p>
    <w:p w14:paraId="02FDA9AE" w14:textId="5F9EF9F1" w:rsidR="0044583F" w:rsidRDefault="0044583F" w:rsidP="00AB40D2">
      <w:pPr>
        <w:ind w:left="720"/>
        <w:rPr>
          <w:rFonts w:eastAsiaTheme="minorEastAsia" w:cs="Arial"/>
          <w:iCs/>
        </w:rPr>
      </w:pPr>
      <w:r>
        <w:rPr>
          <w:rFonts w:eastAsiaTheme="minorEastAsia" w:cs="Arial"/>
          <w:iCs/>
        </w:rPr>
        <w:t xml:space="preserve">If we repeat the previous paragraph </w:t>
      </w:r>
      <m:oMath>
        <m:r>
          <w:rPr>
            <w:rFonts w:ascii="Cambria Math" w:eastAsiaTheme="minorEastAsia" w:hAnsi="Cambria Math" w:cs="Arial"/>
          </w:rPr>
          <m:t>n</m:t>
        </m:r>
      </m:oMath>
      <w:r>
        <w:rPr>
          <w:rFonts w:eastAsiaTheme="minorEastAsia" w:cs="Arial"/>
        </w:rPr>
        <w:t xml:space="preserve"> times, </w:t>
      </w:r>
      <w:r>
        <w:rPr>
          <w:rFonts w:eastAsiaTheme="minorEastAsia" w:cs="Arial"/>
          <w:iCs/>
        </w:rPr>
        <w:t xml:space="preserve">then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sidR="007114EA">
        <w:rPr>
          <w:rFonts w:eastAsiaTheme="minorEastAsia" w:cs="Arial"/>
          <w:iCs/>
        </w:rPr>
        <w:t xml:space="preserve"> becomes </w:t>
      </w:r>
    </w:p>
    <w:p w14:paraId="7195F3AF" w14:textId="0D468D29" w:rsidR="007114EA" w:rsidRPr="005F25EA" w:rsidRDefault="00000000" w:rsidP="00AB40D2">
      <w:pPr>
        <w:ind w:left="720"/>
        <w:rPr>
          <w:rFonts w:eastAsiaTheme="minorEastAsia" w:cs="Arial"/>
          <w:iCs/>
        </w:rPr>
      </w:pPr>
      <m:oMathPara>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r>
            <w:rPr>
              <w:rFonts w:ascii="Cambria Math" w:eastAsiaTheme="minorEastAsia" w:hAnsi="Cambria Math" w:cs="Arial"/>
            </w:rPr>
            <m:t>+</m:t>
          </m:r>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e>
          </m:nary>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oMath>
      </m:oMathPara>
    </w:p>
    <w:p w14:paraId="2BDC35A7" w14:textId="2375DC06" w:rsidR="005F25EA" w:rsidRDefault="005F25EA" w:rsidP="00AB40D2">
      <w:pPr>
        <w:ind w:left="720"/>
        <w:rPr>
          <w:rFonts w:eastAsiaTheme="minorEastAsia" w:cs="Arial"/>
          <w:iCs/>
        </w:rPr>
      </w:pPr>
      <w:r>
        <w:rPr>
          <w:rFonts w:eastAsiaTheme="minorEastAsia" w:cs="Arial"/>
          <w:iCs/>
        </w:rPr>
        <w:t xml:space="preserve">and, simplifying the previous equation to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oMath>
      <w:r>
        <w:rPr>
          <w:rFonts w:eastAsiaTheme="minorEastAsia" w:cs="Arial"/>
          <w:iCs/>
        </w:rPr>
        <w:t xml:space="preserve">, then the amount of risk on the left-hand side of the equation is reduced by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e>
        </m:nary>
      </m:oMath>
      <w:r w:rsidR="00A94D02">
        <w:rPr>
          <w:rFonts w:eastAsiaTheme="minorEastAsia" w:cs="Arial"/>
          <w:iCs/>
        </w:rPr>
        <w:t xml:space="preserve">.  </w:t>
      </w:r>
    </w:p>
    <w:p w14:paraId="1AC43124" w14:textId="7942FC21" w:rsidR="00A94D02" w:rsidRDefault="00A94D02" w:rsidP="00AB40D2">
      <w:pPr>
        <w:ind w:left="720"/>
        <w:rPr>
          <w:rFonts w:eastAsiaTheme="minorEastAsia" w:cs="Arial"/>
          <w:iCs/>
        </w:rPr>
      </w:pPr>
      <w:r>
        <w:rPr>
          <w:rFonts w:eastAsiaTheme="minorEastAsia" w:cs="Arial"/>
          <w:iCs/>
        </w:rPr>
        <w:t xml:space="preserve">As </w:t>
      </w:r>
      <m:oMath>
        <m:r>
          <w:rPr>
            <w:rFonts w:ascii="Cambria Math" w:eastAsiaTheme="minorEastAsia" w:hAnsi="Cambria Math" w:cs="Arial"/>
          </w:rPr>
          <m:t>n</m:t>
        </m:r>
      </m:oMath>
      <w:r>
        <w:rPr>
          <w:rFonts w:eastAsiaTheme="minorEastAsia" w:cs="Arial"/>
          <w:iCs/>
        </w:rPr>
        <w:t xml:space="preserve"> increases, one of two things will happen first.  Either: </w:t>
      </w:r>
    </w:p>
    <w:p w14:paraId="454910A8" w14:textId="1BFAE118" w:rsidR="00A94D02" w:rsidRDefault="00000000">
      <w:pPr>
        <w:pStyle w:val="ListParagraph"/>
        <w:numPr>
          <w:ilvl w:val="0"/>
          <w:numId w:val="39"/>
        </w:numPr>
        <w:rPr>
          <w:rFonts w:eastAsiaTheme="minorEastAsia" w:cs="Arial"/>
          <w:iCs/>
        </w:rPr>
      </w:pPr>
      <m:oMath>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r>
          <w:rPr>
            <w:rFonts w:ascii="Cambria Math" w:eastAsiaTheme="minorEastAsia" w:hAnsi="Cambria Math" w:cs="Arial"/>
          </w:rPr>
          <m:t>=0</m:t>
        </m:r>
      </m:oMath>
      <w:r w:rsidR="00A94D02">
        <w:rPr>
          <w:rFonts w:eastAsiaTheme="minorEastAsia" w:cs="Arial"/>
          <w:iCs/>
        </w:rPr>
        <w:t xml:space="preserve">; i.e., there are more risks to remove on the left-hand side of the equation, but no more risks to remove from the right-hand side of the equation, or </w:t>
      </w:r>
    </w:p>
    <w:p w14:paraId="296B2F5A" w14:textId="56F34091" w:rsidR="00A94D02" w:rsidRPr="00A94D02" w:rsidRDefault="00000000">
      <w:pPr>
        <w:pStyle w:val="ListParagraph"/>
        <w:numPr>
          <w:ilvl w:val="0"/>
          <w:numId w:val="39"/>
        </w:numPr>
        <w:rPr>
          <w:rFonts w:eastAsiaTheme="minorEastAsia" w:cs="Arial"/>
          <w:iCs/>
        </w:rPr>
      </w:pP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r>
          <w:rPr>
            <w:rFonts w:ascii="Cambria Math" w:eastAsiaTheme="minorEastAsia" w:hAnsi="Cambria Math" w:cs="Arial"/>
          </w:rPr>
          <m:t>=0</m:t>
        </m:r>
      </m:oMath>
      <w:r w:rsidR="00A94D02">
        <w:rPr>
          <w:rFonts w:eastAsiaTheme="minorEastAsia" w:cs="Arial"/>
          <w:iCs/>
        </w:rPr>
        <w:t xml:space="preserve">; i.e., there are more risks to remove on the right-hand side of the equation, but no more risks to remove from the left-hand side of the equation.  </w:t>
      </w:r>
    </w:p>
    <w:p w14:paraId="69937E04" w14:textId="1BAEB3A7" w:rsidR="00A94D02" w:rsidRDefault="00A94D02" w:rsidP="00AB40D2">
      <w:pPr>
        <w:ind w:left="720"/>
        <w:rPr>
          <w:rFonts w:eastAsiaTheme="minorEastAsia" w:cs="Arial"/>
          <w:iCs/>
        </w:rPr>
      </w:pPr>
      <w:r>
        <w:rPr>
          <w:rFonts w:eastAsiaTheme="minorEastAsia" w:cs="Arial"/>
          <w:iCs/>
        </w:rPr>
        <w:t xml:space="preserve">If the first case occurs, then we’ve shown that </w:t>
      </w:r>
      <w:r>
        <w:rPr>
          <w:rFonts w:eastAsiaTheme="minorEastAsia" w:cs="Arial"/>
          <w:iCs/>
        </w:rPr>
        <w:fldChar w:fldCharType="begin"/>
      </w:r>
      <w:r>
        <w:rPr>
          <w:rFonts w:eastAsiaTheme="minorEastAsia" w:cs="Arial"/>
          <w:iCs/>
        </w:rPr>
        <w:instrText xml:space="preserve"> REF _Ref147639186 \h </w:instrText>
      </w:r>
      <w:r>
        <w:rPr>
          <w:rFonts w:eastAsiaTheme="minorEastAsia" w:cs="Arial"/>
          <w:iCs/>
        </w:rPr>
      </w:r>
      <w:r>
        <w:rPr>
          <w:rFonts w:eastAsiaTheme="minorEastAsia" w:cs="Arial"/>
          <w:iCs/>
        </w:rPr>
        <w:fldChar w:fldCharType="separate"/>
      </w:r>
      <w:r>
        <w:t xml:space="preserve">Equation </w:t>
      </w:r>
      <w:r>
        <w:rPr>
          <w:noProof/>
        </w:rPr>
        <w:t>9</w:t>
      </w:r>
      <w:r>
        <w:rPr>
          <w:rFonts w:eastAsiaTheme="minorEastAsia" w:cs="Arial"/>
          <w:iCs/>
        </w:rPr>
        <w:fldChar w:fldCharType="end"/>
      </w:r>
      <w:r>
        <w:rPr>
          <w:rFonts w:eastAsiaTheme="minorEastAsia" w:cs="Arial"/>
          <w:iCs/>
        </w:rPr>
        <w:t xml:space="preserve"> is true. </w:t>
      </w:r>
    </w:p>
    <w:p w14:paraId="564857F1" w14:textId="71DF7688" w:rsidR="00A94D02" w:rsidRDefault="000B0172" w:rsidP="00AB40D2">
      <w:pPr>
        <w:ind w:left="720"/>
        <w:rPr>
          <w:rFonts w:eastAsiaTheme="minorEastAsia" w:cs="Arial"/>
          <w:iCs/>
        </w:rPr>
      </w:pPr>
      <w:r>
        <w:rPr>
          <w:rFonts w:eastAsiaTheme="minorEastAsia" w:cs="Arial"/>
          <w:iCs/>
        </w:rPr>
        <w:lastRenderedPageBreak/>
        <w:t>On the other hand, i</w:t>
      </w:r>
      <w:r w:rsidR="00A94D02">
        <w:rPr>
          <w:rFonts w:eastAsiaTheme="minorEastAsia" w:cs="Arial"/>
          <w:iCs/>
        </w:rPr>
        <w:t xml:space="preserve">f the second case occurs, we haven’t necessarily shown that </w:t>
      </w:r>
      <w:r w:rsidR="00A94D02">
        <w:rPr>
          <w:rFonts w:eastAsiaTheme="minorEastAsia" w:cs="Arial"/>
          <w:iCs/>
        </w:rPr>
        <w:fldChar w:fldCharType="begin"/>
      </w:r>
      <w:r w:rsidR="00A94D02">
        <w:rPr>
          <w:rFonts w:eastAsiaTheme="minorEastAsia" w:cs="Arial"/>
          <w:iCs/>
        </w:rPr>
        <w:instrText xml:space="preserve"> REF _Ref147639186 \h </w:instrText>
      </w:r>
      <w:r w:rsidR="00A94D02">
        <w:rPr>
          <w:rFonts w:eastAsiaTheme="minorEastAsia" w:cs="Arial"/>
          <w:iCs/>
        </w:rPr>
      </w:r>
      <w:r w:rsidR="00A94D02">
        <w:rPr>
          <w:rFonts w:eastAsiaTheme="minorEastAsia" w:cs="Arial"/>
          <w:iCs/>
        </w:rPr>
        <w:fldChar w:fldCharType="separate"/>
      </w:r>
      <w:r w:rsidR="00A94D02">
        <w:t xml:space="preserve">Equation </w:t>
      </w:r>
      <w:r w:rsidR="00A94D02">
        <w:rPr>
          <w:noProof/>
        </w:rPr>
        <w:t>9</w:t>
      </w:r>
      <w:r w:rsidR="00A94D02">
        <w:rPr>
          <w:rFonts w:eastAsiaTheme="minorEastAsia" w:cs="Arial"/>
          <w:iCs/>
        </w:rPr>
        <w:fldChar w:fldCharType="end"/>
      </w:r>
      <w:r w:rsidR="00A94D02">
        <w:rPr>
          <w:rFonts w:eastAsiaTheme="minorEastAsia" w:cs="Arial"/>
          <w:iCs/>
        </w:rPr>
        <w:t xml:space="preserve"> is false</w:t>
      </w:r>
      <w:r w:rsidR="007F515C">
        <w:rPr>
          <w:rFonts w:eastAsiaTheme="minorEastAsia" w:cs="Arial"/>
          <w:iCs/>
        </w:rPr>
        <w:t xml:space="preserve">.  It is also possible that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e>
        </m:nary>
      </m:oMath>
      <w:r w:rsidR="007F515C">
        <w:rPr>
          <w:rFonts w:eastAsiaTheme="minorEastAsia" w:cs="Arial"/>
          <w:iCs/>
        </w:rPr>
        <w:t xml:space="preserve"> grew </w:t>
      </w:r>
      <w:r>
        <w:rPr>
          <w:rFonts w:eastAsiaTheme="minorEastAsia" w:cs="Arial"/>
          <w:iCs/>
        </w:rPr>
        <w:t xml:space="preserve">larger than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i</m:t>
            </m:r>
          </m:sub>
        </m:sSub>
      </m:oMath>
      <w:r>
        <w:rPr>
          <w:rFonts w:eastAsiaTheme="minorEastAsia" w:cs="Arial"/>
          <w:iCs/>
        </w:rPr>
        <w:t xml:space="preserve">.  The only way to tell which of these options occurred is to reverse the inequality in </w:t>
      </w:r>
      <w:r>
        <w:rPr>
          <w:rFonts w:eastAsiaTheme="minorEastAsia" w:cs="Arial"/>
          <w:iCs/>
        </w:rPr>
        <w:fldChar w:fldCharType="begin"/>
      </w:r>
      <w:r>
        <w:rPr>
          <w:rFonts w:eastAsiaTheme="minorEastAsia" w:cs="Arial"/>
          <w:iCs/>
        </w:rPr>
        <w:instrText xml:space="preserve"> REF _Ref147639186 \h </w:instrText>
      </w:r>
      <w:r>
        <w:rPr>
          <w:rFonts w:eastAsiaTheme="minorEastAsia" w:cs="Arial"/>
          <w:iCs/>
        </w:rPr>
      </w:r>
      <w:r>
        <w:rPr>
          <w:rFonts w:eastAsiaTheme="minorEastAsia" w:cs="Arial"/>
          <w:iCs/>
        </w:rPr>
        <w:fldChar w:fldCharType="separate"/>
      </w:r>
      <w:r>
        <w:t xml:space="preserve">Equation </w:t>
      </w:r>
      <w:r>
        <w:rPr>
          <w:noProof/>
        </w:rPr>
        <w:t>9</w:t>
      </w:r>
      <w:r>
        <w:rPr>
          <w:rFonts w:eastAsiaTheme="minorEastAsia" w:cs="Arial"/>
          <w:iCs/>
        </w:rPr>
        <w:fldChar w:fldCharType="end"/>
      </w:r>
      <w:r>
        <w:rPr>
          <w:rFonts w:eastAsiaTheme="minorEastAsia" w:cs="Arial"/>
          <w:iCs/>
        </w:rPr>
        <w:t xml:space="preserve"> and simplify it again.  Since, in this new equation, </w:t>
      </w:r>
      <m:oMath>
        <m:r>
          <w:rPr>
            <w:rFonts w:ascii="Cambria Math" w:eastAsiaTheme="minorEastAsia" w:hAnsi="Cambria Math" w:cs="Arial"/>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b</m:t>
        </m:r>
      </m:oMath>
      <w:r>
        <w:rPr>
          <w:rFonts w:eastAsiaTheme="minorEastAsia" w:cs="Arial"/>
          <w:iCs/>
        </w:rPr>
        <w:t xml:space="preserve">, so </w:t>
      </w:r>
    </w:p>
    <w:p w14:paraId="3BE669F5" w14:textId="13FEA8F3" w:rsidR="000B0172" w:rsidRPr="005F25EA" w:rsidRDefault="00000000" w:rsidP="000B0172">
      <w:pPr>
        <w:ind w:left="720"/>
        <w:rPr>
          <w:rFonts w:eastAsiaTheme="minorEastAsia" w:cs="Arial"/>
          <w:iCs/>
        </w:rPr>
      </w:pPr>
      <m:oMathPara>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r>
            <w:rPr>
              <w:rFonts w:ascii="Cambria Math" w:eastAsiaTheme="minorEastAsia" w:hAnsi="Cambria Math" w:cs="Arial"/>
            </w:rPr>
            <m:t>+</m:t>
          </m:r>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e>
          </m:nary>
        </m:oMath>
      </m:oMathPara>
    </w:p>
    <w:p w14:paraId="7DE3EB56" w14:textId="0F4F6186" w:rsidR="000B0172" w:rsidRDefault="000B0172" w:rsidP="00AB40D2">
      <w:pPr>
        <w:ind w:left="720"/>
        <w:rPr>
          <w:rFonts w:eastAsiaTheme="minorEastAsia" w:cs="Arial"/>
          <w:iCs/>
        </w:rPr>
      </w:pPr>
      <w:r>
        <w:rPr>
          <w:rFonts w:eastAsiaTheme="minorEastAsia" w:cs="Arial"/>
          <w:iCs/>
        </w:rPr>
        <w:t xml:space="preserve">and the result of the simplification will be different than it was the first time.  </w:t>
      </w:r>
    </w:p>
    <w:p w14:paraId="0F9AED4D" w14:textId="16496736" w:rsidR="001C108A" w:rsidRDefault="001C108A" w:rsidP="001C108A">
      <w:pPr>
        <w:rPr>
          <w:rFonts w:eastAsiaTheme="minorEastAsia" w:cs="Arial"/>
          <w:iCs/>
        </w:rPr>
      </w:pPr>
      <w:r>
        <w:rPr>
          <w:rFonts w:eastAsiaTheme="minorEastAsia" w:cs="Arial"/>
          <w:iCs/>
        </w:rPr>
        <w:t xml:space="preserve">For the case where </w:t>
      </w:r>
      <m:oMath>
        <m:r>
          <w:rPr>
            <w:rFonts w:ascii="Cambria Math" w:hAnsi="Cambria Math" w:cs="Arial"/>
          </w:rPr>
          <m:t>d</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b</m:t>
        </m:r>
      </m:oMath>
      <w:r>
        <w:rPr>
          <w:rFonts w:eastAsiaTheme="minorEastAsia" w:cs="Arial"/>
          <w:iCs/>
        </w:rPr>
        <w:t xml:space="preserve">: </w:t>
      </w:r>
    </w:p>
    <w:p w14:paraId="458E4C8F" w14:textId="07990463" w:rsidR="001C108A" w:rsidRDefault="001C108A" w:rsidP="001C108A">
      <w:pPr>
        <w:ind w:left="720"/>
        <w:rPr>
          <w:rFonts w:eastAsiaTheme="minorEastAsia" w:cs="Arial"/>
          <w:iCs/>
        </w:rPr>
      </w:pPr>
      <w:r>
        <w:rPr>
          <w:rFonts w:eastAsiaTheme="minorEastAsia" w:cs="Arial"/>
          <w:iCs/>
        </w:rPr>
        <w:t xml:space="preserve">If we start with </w:t>
      </w:r>
      <w:r>
        <w:rPr>
          <w:rFonts w:eastAsiaTheme="minorEastAsia" w:cs="Arial"/>
          <w:iCs/>
        </w:rPr>
        <w:fldChar w:fldCharType="begin"/>
      </w:r>
      <w:r>
        <w:rPr>
          <w:rFonts w:eastAsiaTheme="minorEastAsia" w:cs="Arial"/>
          <w:iCs/>
        </w:rPr>
        <w:instrText xml:space="preserve"> REF _Ref147639186 \h </w:instrText>
      </w:r>
      <w:r>
        <w:rPr>
          <w:rFonts w:eastAsiaTheme="minorEastAsia" w:cs="Arial"/>
          <w:iCs/>
        </w:rPr>
      </w:r>
      <w:r>
        <w:rPr>
          <w:rFonts w:eastAsiaTheme="minorEastAsia" w:cs="Arial"/>
          <w:iCs/>
        </w:rPr>
        <w:fldChar w:fldCharType="separate"/>
      </w:r>
      <w:r>
        <w:t xml:space="preserve">Equation </w:t>
      </w:r>
      <w:r>
        <w:rPr>
          <w:noProof/>
        </w:rPr>
        <w:t>9</w:t>
      </w:r>
      <w:r>
        <w:rPr>
          <w:rFonts w:eastAsiaTheme="minorEastAsia" w:cs="Arial"/>
          <w:iCs/>
        </w:rPr>
        <w:fldChar w:fldCharType="end"/>
      </w:r>
      <w:r>
        <w:rPr>
          <w:rFonts w:eastAsiaTheme="minorEastAsia" w:cs="Arial"/>
          <w:iCs/>
        </w:rPr>
        <w:t xml:space="preserve"> written as </w:t>
      </w:r>
      <m:oMath>
        <m:r>
          <w:rPr>
            <w:rFonts w:ascii="Cambria Math"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c</m:t>
        </m:r>
      </m:oMath>
      <w:r>
        <w:rPr>
          <w:rFonts w:eastAsiaTheme="minorEastAsia" w:cs="Arial"/>
          <w:iCs/>
        </w:rPr>
        <w:t xml:space="preserve">, and remove </w:t>
      </w:r>
      <m:oMath>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oMath>
      <w:r>
        <w:rPr>
          <w:rFonts w:eastAsiaTheme="minorEastAsia" w:cs="Arial"/>
          <w:iCs/>
        </w:rPr>
        <w:t xml:space="preserve"> from </w:t>
      </w:r>
      <m:oMath>
        <m:r>
          <w:rPr>
            <w:rFonts w:ascii="Cambria Math" w:eastAsiaTheme="minorEastAsia" w:hAnsi="Cambria Math" w:cs="Arial"/>
          </w:rPr>
          <m:t>a</m:t>
        </m:r>
      </m:oMath>
      <w:r>
        <w:rPr>
          <w:rFonts w:eastAsiaTheme="minorEastAsia" w:cs="Arial"/>
          <w:iCs/>
        </w:rPr>
        <w:t xml:space="preserve"> (so,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oMath>
      <w:r>
        <w:rPr>
          <w:rFonts w:eastAsiaTheme="minorEastAsia" w:cs="Arial"/>
          <w:iCs/>
        </w:rPr>
        <w:t xml:space="preserve">) and remove </w:t>
      </w:r>
      <m:oMath>
        <m:sSub>
          <m:sSubPr>
            <m:ctrlPr>
              <w:rPr>
                <w:rFonts w:ascii="Cambria Math" w:hAnsi="Cambria Math" w:cs="Arial"/>
                <w:i/>
                <w:iCs/>
              </w:rPr>
            </m:ctrlPr>
          </m:sSubPr>
          <m:e>
            <m:r>
              <w:rPr>
                <w:rFonts w:ascii="Cambria Math" w:hAnsi="Cambria Math" w:cs="Arial"/>
              </w:rPr>
              <m:t>d</m:t>
            </m:r>
          </m:e>
          <m:sub>
            <m:r>
              <w:rPr>
                <w:rFonts w:ascii="Cambria Math" w:hAnsi="Cambria Math" w:cs="Arial"/>
              </w:rPr>
              <m:t>1</m:t>
            </m:r>
          </m:sub>
        </m:sSub>
      </m:oMath>
      <w:r>
        <w:rPr>
          <w:rFonts w:eastAsiaTheme="minorEastAsia" w:cs="Arial"/>
          <w:iCs/>
        </w:rPr>
        <w:t xml:space="preserve"> from </w:t>
      </w:r>
      <m:oMath>
        <m:r>
          <w:rPr>
            <w:rFonts w:ascii="Cambria Math" w:eastAsiaTheme="minorEastAsia" w:hAnsi="Cambria Math" w:cs="Arial"/>
          </w:rPr>
          <m:t>c</m:t>
        </m:r>
      </m:oMath>
      <w:r>
        <w:rPr>
          <w:rFonts w:eastAsiaTheme="minorEastAsia" w:cs="Arial"/>
          <w:iCs/>
        </w:rPr>
        <w:t xml:space="preserve"> (so, </w:t>
      </w:r>
      <m:oMath>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=c</m:t>
        </m:r>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hAnsi="Cambria Math" w:cs="Arial"/>
                <w:i/>
                <w:iCs/>
              </w:rPr>
            </m:ctrlPr>
          </m:sSubPr>
          <m:e>
            <m:r>
              <w:rPr>
                <w:rFonts w:ascii="Cambria Math" w:hAnsi="Cambria Math" w:cs="Arial"/>
              </w:rPr>
              <m:t>d</m:t>
            </m:r>
          </m:e>
          <m:sub>
            <m:r>
              <w:rPr>
                <w:rFonts w:ascii="Cambria Math" w:hAnsi="Cambria Math" w:cs="Arial"/>
              </w:rPr>
              <m:t>1</m:t>
            </m:r>
          </m:sub>
        </m:sSub>
      </m:oMath>
      <w:r>
        <w:rPr>
          <w:rFonts w:eastAsiaTheme="minorEastAsia" w:cs="Arial"/>
          <w:iCs/>
        </w:rPr>
        <w:t xml:space="preserve">), then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Pr>
          <w:rFonts w:eastAsiaTheme="minorEastAsia" w:cs="Arial"/>
          <w:iCs/>
        </w:rPr>
        <w:t xml:space="preserve"> and </w:t>
      </w:r>
      <m:oMath>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Pr>
          <w:rFonts w:eastAsiaTheme="minorEastAsia" w:cs="Arial"/>
          <w:iCs/>
        </w:rPr>
        <w:t xml:space="preserve"> implies that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hAnsi="Cambria Math" w:cs="Arial"/>
          </w:rPr>
          <m:t>)</m:t>
        </m:r>
      </m:oMath>
      <w:r>
        <w:rPr>
          <w:rFonts w:eastAsiaTheme="minorEastAsia" w:cs="Arial"/>
          <w:iCs/>
        </w:rPr>
        <w:t xml:space="preserve">, where </w:t>
      </w:r>
      <m:oMath>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0</m:t>
        </m:r>
      </m:oMath>
      <w:r>
        <w:rPr>
          <w:rFonts w:eastAsiaTheme="minorEastAsia" w:cs="Arial"/>
          <w:iCs/>
        </w:rPr>
        <w:t xml:space="preserve">.  </w:t>
      </w:r>
    </w:p>
    <w:p w14:paraId="7F1BDC84" w14:textId="4C1FD00A" w:rsidR="001C108A" w:rsidRDefault="001C108A" w:rsidP="001C108A">
      <w:pPr>
        <w:ind w:left="720"/>
        <w:rPr>
          <w:rFonts w:eastAsiaTheme="minorEastAsia" w:cs="Arial"/>
          <w:iCs/>
        </w:rPr>
      </w:pPr>
      <w:r>
        <w:rPr>
          <w:rFonts w:eastAsiaTheme="minorEastAsia" w:cs="Arial"/>
          <w:iCs/>
        </w:rPr>
        <w:t>Therefore, when we simplify</w:t>
      </w:r>
      <w:r w:rsidRPr="00EE40B0">
        <w:rPr>
          <w:rFonts w:ascii="Cambria Math" w:hAnsi="Cambria Math" w:cs="Arial"/>
          <w:i/>
          <w:iCs/>
        </w:rPr>
        <w:t xml:space="preserve"> </w:t>
      </w:r>
      <w:r>
        <w:rPr>
          <w:rFonts w:eastAsiaTheme="minorEastAsia" w:cs="Arial"/>
          <w:iCs/>
        </w:rPr>
        <w:t xml:space="preserve">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r>
          <w:rPr>
            <w:rFonts w:ascii="Cambria Math" w:hAnsi="Cambria Math" w:cs="Arial"/>
          </w:rPr>
          <m:t>&gt;</m:t>
        </m: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r>
          <w:rPr>
            <w:rFonts w:ascii="Cambria Math" w:hAnsi="Cambria Math" w:cs="Arial"/>
          </w:rPr>
          <m:t>+</m:t>
        </m: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oMath>
      <w:r>
        <w:rPr>
          <w:rFonts w:ascii="Cambria Math" w:eastAsiaTheme="minorEastAsia" w:hAnsi="Cambria Math" w:cs="Arial"/>
        </w:rPr>
        <w:t xml:space="preserve"> to </w:t>
      </w:r>
      <w:r>
        <w:rPr>
          <w:rFonts w:eastAsiaTheme="minorEastAsia" w:cs="Arial"/>
          <w:iCs/>
        </w:rPr>
        <w:t xml:space="preserve">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&gt;</m:t>
        </m: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1</m:t>
            </m:r>
          </m:sub>
        </m:sSub>
      </m:oMath>
      <w:r>
        <w:rPr>
          <w:rFonts w:eastAsiaTheme="minorEastAsia" w:cs="Arial"/>
          <w:iCs/>
        </w:rPr>
        <w:t xml:space="preserve">, the amount of risk on the right-hand side of the equation is reduced by the amount of  </w:t>
      </w:r>
      <m:oMath>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1</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1</m:t>
            </m:r>
          </m:sub>
        </m:sSub>
      </m:oMath>
      <w:r>
        <w:rPr>
          <w:rFonts w:eastAsiaTheme="minorEastAsia" w:cs="Arial"/>
          <w:iCs/>
        </w:rPr>
        <w:t xml:space="preserve">.  </w:t>
      </w:r>
    </w:p>
    <w:p w14:paraId="6AE7BA99" w14:textId="77777777" w:rsidR="001C108A" w:rsidRDefault="001C108A" w:rsidP="001C108A">
      <w:pPr>
        <w:ind w:left="720"/>
        <w:rPr>
          <w:rFonts w:eastAsiaTheme="minorEastAsia" w:cs="Arial"/>
          <w:iCs/>
        </w:rPr>
      </w:pPr>
      <w:r>
        <w:rPr>
          <w:rFonts w:eastAsiaTheme="minorEastAsia" w:cs="Arial"/>
          <w:iCs/>
        </w:rPr>
        <w:t xml:space="preserve">If we repeat the previous paragraph </w:t>
      </w:r>
      <m:oMath>
        <m:r>
          <w:rPr>
            <w:rFonts w:ascii="Cambria Math" w:eastAsiaTheme="minorEastAsia" w:hAnsi="Cambria Math" w:cs="Arial"/>
          </w:rPr>
          <m:t>n</m:t>
        </m:r>
      </m:oMath>
      <w:r>
        <w:rPr>
          <w:rFonts w:eastAsiaTheme="minorEastAsia" w:cs="Arial"/>
        </w:rPr>
        <w:t xml:space="preserve"> times, </w:t>
      </w:r>
      <w:r>
        <w:rPr>
          <w:rFonts w:eastAsiaTheme="minorEastAsia" w:cs="Arial"/>
          <w:iCs/>
        </w:rPr>
        <w:t xml:space="preserve">then </w:t>
      </w:r>
      <m:oMath>
        <m:r>
          <w:rPr>
            <w:rFonts w:ascii="Cambria Math" w:eastAsiaTheme="minorEastAsia" w:hAnsi="Cambria Math" w:cs="Arial"/>
          </w:rPr>
          <m:t>a</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eastAsiaTheme="minorEastAsia" w:hAnsi="Cambria Math"/>
          </w:rPr>
          <m:t>c</m:t>
        </m:r>
      </m:oMath>
      <w:r>
        <w:rPr>
          <w:rFonts w:eastAsiaTheme="minorEastAsia" w:cs="Arial"/>
          <w:iCs/>
        </w:rPr>
        <w:t xml:space="preserve"> becomes </w:t>
      </w:r>
    </w:p>
    <w:p w14:paraId="56EE6928" w14:textId="2F390B48" w:rsidR="001C108A" w:rsidRPr="005F25EA" w:rsidRDefault="00000000" w:rsidP="001C108A">
      <w:pPr>
        <w:ind w:left="720"/>
        <w:rPr>
          <w:rFonts w:eastAsiaTheme="minorEastAsia" w:cs="Arial"/>
          <w:iCs/>
        </w:rPr>
      </w:pPr>
      <m:oMathPara>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r>
            <w:rPr>
              <w:rFonts w:ascii="Cambria Math" w:eastAsiaTheme="minorEastAsia" w:hAnsi="Cambria Math" w:cs="Arial"/>
            </w:rPr>
            <m:t>+</m:t>
          </m:r>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e>
          </m:nary>
        </m:oMath>
      </m:oMathPara>
    </w:p>
    <w:p w14:paraId="1344FAD3" w14:textId="4D2B45CF" w:rsidR="001C108A" w:rsidRDefault="001C108A" w:rsidP="001C108A">
      <w:pPr>
        <w:ind w:left="720"/>
        <w:rPr>
          <w:rFonts w:eastAsiaTheme="minorEastAsia" w:cs="Arial"/>
          <w:iCs/>
        </w:rPr>
      </w:pPr>
      <w:r>
        <w:rPr>
          <w:rFonts w:eastAsiaTheme="minorEastAsia" w:cs="Arial"/>
          <w:iCs/>
        </w:rPr>
        <w:t xml:space="preserve">and, simplifying the previous equation to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oMath>
      <w:r>
        <w:rPr>
          <w:rFonts w:eastAsiaTheme="minorEastAsia" w:cs="Arial"/>
          <w:iCs/>
        </w:rPr>
        <w:t xml:space="preserve">, then the amount of risk on the right-hand side of the equation is reduced by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e>
        </m:nary>
      </m:oMath>
      <w:r>
        <w:rPr>
          <w:rFonts w:eastAsiaTheme="minorEastAsia" w:cs="Arial"/>
          <w:iCs/>
        </w:rPr>
        <w:t xml:space="preserve">.  </w:t>
      </w:r>
    </w:p>
    <w:p w14:paraId="62041402" w14:textId="77777777" w:rsidR="001C108A" w:rsidRDefault="001C108A" w:rsidP="001C108A">
      <w:pPr>
        <w:ind w:left="720"/>
        <w:rPr>
          <w:rFonts w:eastAsiaTheme="minorEastAsia" w:cs="Arial"/>
          <w:iCs/>
        </w:rPr>
      </w:pPr>
      <w:r>
        <w:rPr>
          <w:rFonts w:eastAsiaTheme="minorEastAsia" w:cs="Arial"/>
          <w:iCs/>
        </w:rPr>
        <w:t xml:space="preserve">As </w:t>
      </w:r>
      <m:oMath>
        <m:r>
          <w:rPr>
            <w:rFonts w:ascii="Cambria Math" w:eastAsiaTheme="minorEastAsia" w:hAnsi="Cambria Math" w:cs="Arial"/>
          </w:rPr>
          <m:t>n</m:t>
        </m:r>
      </m:oMath>
      <w:r>
        <w:rPr>
          <w:rFonts w:eastAsiaTheme="minorEastAsia" w:cs="Arial"/>
          <w:iCs/>
        </w:rPr>
        <w:t xml:space="preserve"> increases, one of two things will happen first.  Either: </w:t>
      </w:r>
    </w:p>
    <w:p w14:paraId="518077D4" w14:textId="77777777" w:rsidR="001C108A" w:rsidRDefault="00000000">
      <w:pPr>
        <w:pStyle w:val="ListParagraph"/>
        <w:numPr>
          <w:ilvl w:val="0"/>
          <w:numId w:val="40"/>
        </w:numPr>
        <w:rPr>
          <w:rFonts w:eastAsiaTheme="minorEastAsia" w:cs="Arial"/>
          <w:iCs/>
        </w:rPr>
      </w:pPr>
      <m:oMath>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n</m:t>
            </m:r>
          </m:sub>
        </m:sSub>
        <m:r>
          <w:rPr>
            <w:rFonts w:ascii="Cambria Math" w:eastAsiaTheme="minorEastAsia" w:hAnsi="Cambria Math" w:cs="Arial"/>
          </w:rPr>
          <m:t>=0</m:t>
        </m:r>
      </m:oMath>
      <w:r w:rsidR="001C108A">
        <w:rPr>
          <w:rFonts w:eastAsiaTheme="minorEastAsia" w:cs="Arial"/>
          <w:iCs/>
        </w:rPr>
        <w:t xml:space="preserve">; i.e., there are more risks to remove on the left-hand side of the equation, but no more risks to remove from the right-hand side of the equation, or </w:t>
      </w:r>
    </w:p>
    <w:p w14:paraId="4881D775" w14:textId="77777777" w:rsidR="001C108A" w:rsidRPr="00A94D02" w:rsidRDefault="00000000">
      <w:pPr>
        <w:pStyle w:val="ListParagraph"/>
        <w:numPr>
          <w:ilvl w:val="0"/>
          <w:numId w:val="40"/>
        </w:numPr>
        <w:rPr>
          <w:rFonts w:eastAsiaTheme="minorEastAsia" w:cs="Arial"/>
          <w:iCs/>
        </w:rPr>
      </w:pP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n</m:t>
            </m:r>
          </m:sub>
        </m:sSub>
        <m:r>
          <w:rPr>
            <w:rFonts w:ascii="Cambria Math" w:eastAsiaTheme="minorEastAsia" w:hAnsi="Cambria Math" w:cs="Arial"/>
          </w:rPr>
          <m:t>=0</m:t>
        </m:r>
      </m:oMath>
      <w:r w:rsidR="001C108A">
        <w:rPr>
          <w:rFonts w:eastAsiaTheme="minorEastAsia" w:cs="Arial"/>
          <w:iCs/>
        </w:rPr>
        <w:t xml:space="preserve">; i.e., there are more risks to remove on the right-hand side of the equation, but no more risks to remove from the left-hand side of the equation.  </w:t>
      </w:r>
    </w:p>
    <w:p w14:paraId="295DF2D9" w14:textId="3FE3858D" w:rsidR="00BC3770" w:rsidRDefault="001C108A" w:rsidP="001C108A">
      <w:pPr>
        <w:ind w:left="720"/>
        <w:rPr>
          <w:rFonts w:eastAsiaTheme="minorEastAsia" w:cs="Arial"/>
          <w:iCs/>
        </w:rPr>
      </w:pPr>
      <w:r>
        <w:rPr>
          <w:rFonts w:eastAsiaTheme="minorEastAsia" w:cs="Arial"/>
          <w:iCs/>
        </w:rPr>
        <w:t>If the first case occurs,</w:t>
      </w:r>
      <w:r w:rsidR="00BC3770">
        <w:rPr>
          <w:rFonts w:eastAsiaTheme="minorEastAsia" w:cs="Arial"/>
          <w:iCs/>
        </w:rPr>
        <w:t xml:space="preserve"> we haven’t necessarily shown that </w:t>
      </w:r>
      <w:r w:rsidR="00BC3770">
        <w:rPr>
          <w:rFonts w:eastAsiaTheme="minorEastAsia" w:cs="Arial"/>
          <w:iCs/>
        </w:rPr>
        <w:fldChar w:fldCharType="begin"/>
      </w:r>
      <w:r w:rsidR="00BC3770">
        <w:rPr>
          <w:rFonts w:eastAsiaTheme="minorEastAsia" w:cs="Arial"/>
          <w:iCs/>
        </w:rPr>
        <w:instrText xml:space="preserve"> REF _Ref147639186 \h </w:instrText>
      </w:r>
      <w:r w:rsidR="00BC3770">
        <w:rPr>
          <w:rFonts w:eastAsiaTheme="minorEastAsia" w:cs="Arial"/>
          <w:iCs/>
        </w:rPr>
      </w:r>
      <w:r w:rsidR="00BC3770">
        <w:rPr>
          <w:rFonts w:eastAsiaTheme="minorEastAsia" w:cs="Arial"/>
          <w:iCs/>
        </w:rPr>
        <w:fldChar w:fldCharType="separate"/>
      </w:r>
      <w:r w:rsidR="00BC3770">
        <w:t xml:space="preserve">Equation </w:t>
      </w:r>
      <w:r w:rsidR="00BC3770">
        <w:rPr>
          <w:noProof/>
        </w:rPr>
        <w:t>9</w:t>
      </w:r>
      <w:r w:rsidR="00BC3770">
        <w:rPr>
          <w:rFonts w:eastAsiaTheme="minorEastAsia" w:cs="Arial"/>
          <w:iCs/>
        </w:rPr>
        <w:fldChar w:fldCharType="end"/>
      </w:r>
      <w:r w:rsidR="00BC3770">
        <w:rPr>
          <w:rFonts w:eastAsiaTheme="minorEastAsia" w:cs="Arial"/>
          <w:iCs/>
        </w:rPr>
        <w:t xml:space="preserve"> is false.  It is also possible that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e>
        </m:nary>
      </m:oMath>
      <w:r w:rsidR="00BC3770">
        <w:rPr>
          <w:rFonts w:eastAsiaTheme="minorEastAsia" w:cs="Arial"/>
          <w:iCs/>
        </w:rPr>
        <w:t xml:space="preserve"> grew larger than </w:t>
      </w:r>
      <m:oMath>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i</m:t>
            </m:r>
          </m:sub>
        </m:sSub>
      </m:oMath>
      <w:r w:rsidR="00BC3770">
        <w:rPr>
          <w:rFonts w:eastAsiaTheme="minorEastAsia" w:cs="Arial"/>
          <w:iCs/>
        </w:rPr>
        <w:t>.</w:t>
      </w:r>
    </w:p>
    <w:p w14:paraId="6DC35BAE" w14:textId="4728A907" w:rsidR="001C108A" w:rsidRDefault="002776B0" w:rsidP="002776B0">
      <w:pPr>
        <w:ind w:left="720"/>
        <w:rPr>
          <w:rFonts w:eastAsiaTheme="minorEastAsia" w:cs="Arial"/>
          <w:iCs/>
        </w:rPr>
      </w:pPr>
      <w:r>
        <w:rPr>
          <w:rFonts w:eastAsiaTheme="minorEastAsia" w:cs="Arial"/>
          <w:iCs/>
        </w:rPr>
        <w:t xml:space="preserve">And, if the second case occurs, we still haven’t necessarily shown that </w:t>
      </w:r>
      <w:r>
        <w:rPr>
          <w:rFonts w:eastAsiaTheme="minorEastAsia" w:cs="Arial"/>
          <w:iCs/>
        </w:rPr>
        <w:fldChar w:fldCharType="begin"/>
      </w:r>
      <w:r>
        <w:rPr>
          <w:rFonts w:eastAsiaTheme="minorEastAsia" w:cs="Arial"/>
          <w:iCs/>
        </w:rPr>
        <w:instrText xml:space="preserve"> REF _Ref147639186 \h </w:instrText>
      </w:r>
      <w:r>
        <w:rPr>
          <w:rFonts w:eastAsiaTheme="minorEastAsia" w:cs="Arial"/>
          <w:iCs/>
        </w:rPr>
      </w:r>
      <w:r>
        <w:rPr>
          <w:rFonts w:eastAsiaTheme="minorEastAsia" w:cs="Arial"/>
          <w:iCs/>
        </w:rPr>
        <w:fldChar w:fldCharType="separate"/>
      </w:r>
      <w:r>
        <w:t xml:space="preserve">Equation </w:t>
      </w:r>
      <w:r>
        <w:rPr>
          <w:noProof/>
        </w:rPr>
        <w:t>9</w:t>
      </w:r>
      <w:r>
        <w:rPr>
          <w:rFonts w:eastAsiaTheme="minorEastAsia" w:cs="Arial"/>
          <w:iCs/>
        </w:rPr>
        <w:fldChar w:fldCharType="end"/>
      </w:r>
      <w:r>
        <w:rPr>
          <w:rFonts w:eastAsiaTheme="minorEastAsia" w:cs="Arial"/>
          <w:iCs/>
        </w:rPr>
        <w:t xml:space="preserve"> is false.  It is also possible that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e>
        </m:nary>
      </m:oMath>
      <w:r>
        <w:rPr>
          <w:rFonts w:eastAsiaTheme="minorEastAsia" w:cs="Arial"/>
          <w:iCs/>
        </w:rPr>
        <w:t xml:space="preserve"> grew larger than </w:t>
      </w:r>
      <m:oMath>
        <m:sSub>
          <m:sSubPr>
            <m:ctrlPr>
              <w:rPr>
                <w:rFonts w:ascii="Cambria Math" w:eastAsiaTheme="minorEastAsia" w:hAnsi="Cambria Math" w:cs="Arial"/>
                <w:i/>
                <w:iCs/>
              </w:rPr>
            </m:ctrlPr>
          </m:sSubPr>
          <m:e>
            <m:r>
              <w:rPr>
                <w:rFonts w:ascii="Cambria Math" w:eastAsiaTheme="minorEastAsia" w:hAnsi="Cambria Math" w:cs="Arial"/>
              </w:rPr>
              <m:t>a</m:t>
            </m:r>
          </m:e>
          <m:sub>
            <m:r>
              <w:rPr>
                <w:rFonts w:ascii="Cambria Math" w:eastAsiaTheme="minorEastAsia" w:hAnsi="Cambria Math" w:cs="Arial"/>
              </w:rPr>
              <m:t>i</m:t>
            </m:r>
          </m:sub>
        </m:sSub>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sSub>
          <m:sSubPr>
            <m:ctrlPr>
              <w:rPr>
                <w:rFonts w:ascii="Cambria Math" w:eastAsiaTheme="minorEastAsia" w:hAnsi="Cambria Math" w:cs="Arial"/>
                <w:i/>
                <w:iCs/>
              </w:rPr>
            </m:ctrlPr>
          </m:sSubPr>
          <m:e>
            <m:r>
              <w:rPr>
                <w:rFonts w:ascii="Cambria Math" w:eastAsiaTheme="minorEastAsia" w:hAnsi="Cambria Math" w:cs="Arial"/>
              </w:rPr>
              <m:t>c</m:t>
            </m:r>
          </m:e>
          <m:sub>
            <m:r>
              <w:rPr>
                <w:rFonts w:ascii="Cambria Math" w:eastAsiaTheme="minorEastAsia" w:hAnsi="Cambria Math" w:cs="Arial"/>
              </w:rPr>
              <m:t>i</m:t>
            </m:r>
          </m:sub>
        </m:sSub>
      </m:oMath>
      <w:r>
        <w:rPr>
          <w:rFonts w:eastAsiaTheme="minorEastAsia" w:cs="Arial"/>
          <w:iCs/>
        </w:rPr>
        <w:t xml:space="preserve">.  </w:t>
      </w:r>
    </w:p>
    <w:p w14:paraId="4DB60063" w14:textId="442E7F7F" w:rsidR="004820A5" w:rsidRPr="00D92E04" w:rsidRDefault="002776B0" w:rsidP="008674CD">
      <w:pPr>
        <w:rPr>
          <w:rFonts w:eastAsiaTheme="minorEastAsia" w:cs="Arial"/>
          <w:b/>
          <w:bCs/>
        </w:rPr>
      </w:pPr>
      <w:r>
        <w:rPr>
          <w:rFonts w:eastAsiaTheme="minorEastAsia" w:cs="Arial"/>
          <w:iCs/>
        </w:rPr>
        <w:t xml:space="preserve">Comparing the two previous cases, we can see that the only option that enables us to conclude whether </w:t>
      </w:r>
      <w:r>
        <w:rPr>
          <w:rFonts w:eastAsiaTheme="minorEastAsia" w:cs="Arial"/>
          <w:iCs/>
        </w:rPr>
        <w:fldChar w:fldCharType="begin"/>
      </w:r>
      <w:r>
        <w:rPr>
          <w:rFonts w:eastAsiaTheme="minorEastAsia" w:cs="Arial"/>
          <w:iCs/>
        </w:rPr>
        <w:instrText xml:space="preserve"> REF _Ref147639186 \h </w:instrText>
      </w:r>
      <w:r>
        <w:rPr>
          <w:rFonts w:eastAsiaTheme="minorEastAsia" w:cs="Arial"/>
          <w:iCs/>
        </w:rPr>
      </w:r>
      <w:r>
        <w:rPr>
          <w:rFonts w:eastAsiaTheme="minorEastAsia" w:cs="Arial"/>
          <w:iCs/>
        </w:rPr>
        <w:fldChar w:fldCharType="separate"/>
      </w:r>
      <w:r>
        <w:t xml:space="preserve">Equation </w:t>
      </w:r>
      <w:r>
        <w:rPr>
          <w:noProof/>
        </w:rPr>
        <w:t>9</w:t>
      </w:r>
      <w:r>
        <w:rPr>
          <w:rFonts w:eastAsiaTheme="minorEastAsia" w:cs="Arial"/>
          <w:iCs/>
        </w:rPr>
        <w:fldChar w:fldCharType="end"/>
      </w:r>
      <w:r>
        <w:rPr>
          <w:rFonts w:eastAsiaTheme="minorEastAsia" w:cs="Arial"/>
          <w:iCs/>
        </w:rPr>
        <w:t xml:space="preserve"> is true is </w:t>
      </w:r>
      <w:r w:rsidR="001C108A">
        <w:rPr>
          <w:rFonts w:eastAsiaTheme="minorEastAsia" w:cs="Arial"/>
          <w:iCs/>
        </w:rPr>
        <w:t xml:space="preserve">the case where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d</m:t>
        </m:r>
      </m:oMath>
      <w:r>
        <w:rPr>
          <w:rFonts w:eastAsiaTheme="minorEastAsia" w:cs="Arial"/>
          <w:iCs/>
        </w:rPr>
        <w:t xml:space="preserve">.  Therefore, </w:t>
      </w:r>
      <w:r w:rsidR="00C30B7B">
        <w:rPr>
          <w:rFonts w:eastAsiaTheme="minorEastAsia" w:cs="Arial"/>
          <w:iCs/>
        </w:rPr>
        <w:t xml:space="preserve">we will only simplify </w:t>
      </w:r>
      <w:r w:rsidR="00C30B7B">
        <w:rPr>
          <w:rFonts w:eastAsiaTheme="minorEastAsia" w:cs="Arial"/>
          <w:iCs/>
        </w:rPr>
        <w:fldChar w:fldCharType="begin"/>
      </w:r>
      <w:r w:rsidR="00C30B7B">
        <w:rPr>
          <w:rFonts w:eastAsiaTheme="minorEastAsia" w:cs="Arial"/>
          <w:iCs/>
        </w:rPr>
        <w:instrText xml:space="preserve"> REF _Ref147639186 \h </w:instrText>
      </w:r>
      <w:r w:rsidR="00C30B7B">
        <w:rPr>
          <w:rFonts w:eastAsiaTheme="minorEastAsia" w:cs="Arial"/>
          <w:iCs/>
        </w:rPr>
      </w:r>
      <w:r w:rsidR="00C30B7B">
        <w:rPr>
          <w:rFonts w:eastAsiaTheme="minorEastAsia" w:cs="Arial"/>
          <w:iCs/>
        </w:rPr>
        <w:fldChar w:fldCharType="separate"/>
      </w:r>
      <w:r w:rsidR="00C30B7B">
        <w:t xml:space="preserve">Equation </w:t>
      </w:r>
      <w:r w:rsidR="00C30B7B">
        <w:rPr>
          <w:noProof/>
        </w:rPr>
        <w:t>9</w:t>
      </w:r>
      <w:r w:rsidR="00C30B7B">
        <w:rPr>
          <w:rFonts w:eastAsiaTheme="minorEastAsia" w:cs="Arial"/>
          <w:iCs/>
        </w:rPr>
        <w:fldChar w:fldCharType="end"/>
      </w:r>
      <w:r w:rsidR="00C30B7B">
        <w:rPr>
          <w:rFonts w:eastAsiaTheme="minorEastAsia" w:cs="Arial"/>
          <w:iCs/>
        </w:rPr>
        <w:t xml:space="preserve"> by removing unequal risks if </w:t>
      </w:r>
      <m:oMath>
        <m:r>
          <w:rPr>
            <w:rFonts w:ascii="Cambria Math" w:eastAsiaTheme="minorEastAsia" w:hAnsi="Cambria Math" w:cs="Arial"/>
          </w:rPr>
          <m:t>b</m:t>
        </m:r>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r>
          <w:rPr>
            <w:rFonts w:ascii="Cambria Math" w:hAnsi="Cambria Math" w:cs="Arial"/>
          </w:rPr>
          <m:t>d</m:t>
        </m:r>
      </m:oMath>
      <w:r w:rsidR="00C30B7B">
        <w:rPr>
          <w:rFonts w:eastAsiaTheme="minorEastAsia" w:cs="Arial"/>
          <w:iCs/>
        </w:rPr>
        <w:t xml:space="preserve">  is true.  </w:t>
      </w:r>
    </w:p>
    <w:p w14:paraId="7220033F" w14:textId="19059E19" w:rsidR="004820A5" w:rsidRPr="0094116C" w:rsidRDefault="004820A5" w:rsidP="00E164E6">
      <w:pPr>
        <w:pStyle w:val="Heading3"/>
        <w:rPr>
          <w:rFonts w:eastAsiaTheme="minorEastAsia"/>
        </w:rPr>
      </w:pPr>
      <w:bookmarkStart w:id="82" w:name="_Toc156728654"/>
      <w:r w:rsidRPr="0094116C">
        <w:rPr>
          <w:rFonts w:eastAsiaTheme="minorEastAsia"/>
        </w:rPr>
        <w:t>Practice:</w:t>
      </w:r>
      <w:bookmarkEnd w:id="82"/>
    </w:p>
    <w:p w14:paraId="5A729D30" w14:textId="23B9189E" w:rsidR="00CD55F1" w:rsidRPr="00253624" w:rsidRDefault="00C30B7B" w:rsidP="00253624">
      <w:pPr>
        <w:rPr>
          <w:rFonts w:eastAsiaTheme="minorEastAsia" w:cs="Arial"/>
        </w:rPr>
      </w:pPr>
      <w:r>
        <w:rPr>
          <w:rFonts w:cs="Arial"/>
          <w:iCs/>
        </w:rPr>
        <w:t>I</w:t>
      </w:r>
      <w:r w:rsidR="00CD55F1" w:rsidRPr="00F60A9B">
        <w:rPr>
          <w:rFonts w:cs="Arial"/>
          <w:iCs/>
        </w:rPr>
        <w:t xml:space="preserve">f </w:t>
      </w:r>
      <m:oMath>
        <m:d>
          <m:dPr>
            <m:begChr m:val="{"/>
            <m:endChr m:val="}"/>
            <m:ctrlPr>
              <w:rPr>
                <w:rFonts w:ascii="Cambria Math" w:hAnsi="Cambria Math" w:cs="Arial"/>
                <w:i/>
                <w:iCs/>
              </w:rPr>
            </m:ctrlPr>
          </m:dPr>
          <m:e>
            <m:r>
              <w:rPr>
                <w:rFonts w:ascii="Cambria Math" w:hAnsi="Cambria Math" w:cs="Arial"/>
              </w:rPr>
              <m:t>b</m:t>
            </m:r>
          </m:e>
        </m:d>
      </m:oMath>
      <w:r w:rsidR="00CD55F1" w:rsidRPr="00F60A9B">
        <w:rPr>
          <w:rFonts w:eastAsiaTheme="minorEastAsia" w:cs="Arial"/>
          <w:iCs/>
        </w:rPr>
        <w:t xml:space="preserve"> </w:t>
      </w:r>
      <w:r w:rsidR="00CD55F1" w:rsidRPr="00F60A9B">
        <w:rPr>
          <w:rFonts w:cs="Arial"/>
          <w:iCs/>
        </w:rPr>
        <w:t xml:space="preserve">represents one or more risks, </w:t>
      </w:r>
      <m:oMath>
        <m:d>
          <m:dPr>
            <m:begChr m:val="{"/>
            <m:endChr m:val="}"/>
            <m:ctrlPr>
              <w:rPr>
                <w:rFonts w:ascii="Cambria Math" w:hAnsi="Cambria Math" w:cs="Arial"/>
                <w:i/>
                <w:iCs/>
              </w:rPr>
            </m:ctrlPr>
          </m:dPr>
          <m:e>
            <m:r>
              <w:rPr>
                <w:rFonts w:ascii="Cambria Math" w:hAnsi="Cambria Math" w:cs="Arial"/>
              </w:rPr>
              <m:t>d</m:t>
            </m:r>
          </m:e>
        </m:d>
      </m:oMath>
      <w:r w:rsidR="00CD55F1" w:rsidRPr="00F60A9B">
        <w:rPr>
          <w:rFonts w:cs="Arial"/>
          <w:iCs/>
        </w:rPr>
        <w:t xml:space="preserve"> represents one or more risks, and </w:t>
      </w:r>
      <m:oMath>
        <m:d>
          <m:dPr>
            <m:begChr m:val="{"/>
            <m:endChr m:val="}"/>
            <m:ctrlPr>
              <w:rPr>
                <w:rFonts w:ascii="Cambria Math" w:hAnsi="Cambria Math" w:cs="Arial"/>
                <w:i/>
                <w:iCs/>
              </w:rPr>
            </m:ctrlPr>
          </m:dPr>
          <m:e>
            <m:r>
              <w:rPr>
                <w:rFonts w:ascii="Cambria Math" w:hAnsi="Cambria Math" w:cs="Arial"/>
              </w:rPr>
              <m:t>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d</m:t>
            </m:r>
          </m:e>
        </m:d>
      </m:oMath>
      <w:r w:rsidR="00CD55F1" w:rsidRPr="00F60A9B">
        <w:rPr>
          <w:rFonts w:eastAsiaTheme="minorEastAsia" w:cs="Arial"/>
        </w:rPr>
        <w:t xml:space="preserve">, then </w:t>
      </w:r>
      <m:oMath>
        <m:d>
          <m:dPr>
            <m:begChr m:val="{"/>
            <m:endChr m:val="}"/>
            <m:ctrlPr>
              <w:rPr>
                <w:rFonts w:ascii="Cambria Math" w:hAnsi="Cambria Math" w:cs="Arial"/>
                <w:i/>
                <w:iCs/>
              </w:rPr>
            </m:ctrlPr>
          </m:dPr>
          <m:e>
            <m:r>
              <w:rPr>
                <w:rFonts w:ascii="Cambria Math" w:hAnsi="Cambria Math" w:cs="Arial"/>
              </w:rPr>
              <m:t>a, b</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c,d</m:t>
            </m:r>
          </m:e>
        </m:d>
      </m:oMath>
      <w:r w:rsidR="00CD55F1" w:rsidRPr="00F60A9B">
        <w:rPr>
          <w:rFonts w:eastAsiaTheme="minorEastAsia" w:cs="Arial"/>
          <w:iCs/>
        </w:rPr>
        <w:t xml:space="preserve"> implies the simpler equation </w:t>
      </w:r>
      <m:oMath>
        <m:d>
          <m:dPr>
            <m:begChr m:val="{"/>
            <m:endChr m:val="}"/>
            <m:ctrlPr>
              <w:rPr>
                <w:rFonts w:ascii="Cambria Math" w:hAnsi="Cambria Math" w:cs="Arial"/>
                <w:i/>
                <w:iCs/>
              </w:rPr>
            </m:ctrlPr>
          </m:dPr>
          <m:e>
            <m:r>
              <w:rPr>
                <w:rFonts w:ascii="Cambria Math" w:hAnsi="Cambria Math" w:cs="Arial"/>
              </w:rPr>
              <m:t>a</m:t>
            </m:r>
          </m:e>
        </m:d>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d>
          <m:dPr>
            <m:begChr m:val="{"/>
            <m:endChr m:val="}"/>
            <m:ctrlPr>
              <w:rPr>
                <w:rFonts w:ascii="Cambria Math" w:hAnsi="Cambria Math" w:cs="Arial"/>
                <w:i/>
              </w:rPr>
            </m:ctrlPr>
          </m:dPr>
          <m:e>
            <m:r>
              <w:rPr>
                <w:rFonts w:ascii="Cambria Math" w:hAnsi="Cambria Math" w:cs="Arial"/>
              </w:rPr>
              <m:t>c</m:t>
            </m:r>
          </m:e>
        </m:d>
      </m:oMath>
      <w:r w:rsidR="00CD55F1" w:rsidRPr="00F60A9B">
        <w:rPr>
          <w:rFonts w:eastAsiaTheme="minorEastAsia" w:cs="Arial"/>
        </w:rPr>
        <w:t xml:space="preserve">. </w:t>
      </w:r>
      <w:r w:rsidR="00CD55F1">
        <w:rPr>
          <w:rFonts w:eastAsiaTheme="minorEastAsia" w:cs="Arial"/>
        </w:rPr>
        <w:t xml:space="preserve"> </w:t>
      </w:r>
    </w:p>
    <w:p w14:paraId="0E59F996" w14:textId="128408DB" w:rsidR="00F17C00" w:rsidRPr="0071578E" w:rsidRDefault="00F17C00" w:rsidP="00F17C00">
      <w:pPr>
        <w:ind w:left="792" w:hanging="792"/>
        <w:rPr>
          <w:rFonts w:eastAsiaTheme="minorEastAsia"/>
        </w:rPr>
      </w:pPr>
      <w:r>
        <w:lastRenderedPageBreak/>
        <w:t>NOTE</w:t>
      </w:r>
      <w:r w:rsidRPr="0071578E">
        <w:rPr>
          <w:vertAlign w:val="superscript"/>
        </w:rPr>
        <w:fldChar w:fldCharType="begin"/>
      </w:r>
      <w:r w:rsidRPr="0071578E">
        <w:rPr>
          <w:vertAlign w:val="superscript"/>
        </w:rPr>
        <w:instrText xml:space="preserve"> NOTEREF _Ref151365084 \h </w:instrText>
      </w:r>
      <w:r>
        <w:rPr>
          <w:vertAlign w:val="superscript"/>
        </w:rPr>
        <w:instrText xml:space="preserve"> \* MERGEFORMAT </w:instrText>
      </w:r>
      <w:r w:rsidRPr="0071578E">
        <w:rPr>
          <w:vertAlign w:val="superscript"/>
        </w:rPr>
      </w:r>
      <w:r w:rsidRPr="0071578E">
        <w:rPr>
          <w:vertAlign w:val="superscript"/>
        </w:rPr>
        <w:fldChar w:fldCharType="separate"/>
      </w:r>
      <w:r w:rsidRPr="0071578E">
        <w:rPr>
          <w:vertAlign w:val="superscript"/>
        </w:rPr>
        <w:t>29</w:t>
      </w:r>
      <w:r w:rsidRPr="0071578E">
        <w:rPr>
          <w:vertAlign w:val="superscript"/>
        </w:rPr>
        <w:fldChar w:fldCharType="end"/>
      </w:r>
      <w:r>
        <w:t>:</w:t>
      </w:r>
      <w:r w:rsidRPr="001F6DC8">
        <w:rPr>
          <w:rFonts w:eastAsiaTheme="minorEastAsia"/>
        </w:rPr>
        <w:t xml:space="preserve">  </w:t>
      </w:r>
      <w:r>
        <w:t xml:space="preserve">When </w:t>
      </w:r>
      <w:r>
        <w:fldChar w:fldCharType="begin"/>
      </w:r>
      <w:r>
        <w:instrText xml:space="preserve"> REF _Ref151362774 \h </w:instrText>
      </w:r>
      <w:r>
        <w:fldChar w:fldCharType="separate"/>
      </w:r>
      <w:r w:rsidRPr="00646086">
        <w:rPr>
          <w:rFonts w:eastAsia="TimesNewRomanPSMT" w:cs="TimesNewRomanPSMT"/>
          <w:b/>
          <w:color w:val="000000"/>
          <w:u w:val="single"/>
        </w:rPr>
        <w:t>Removing Unequal Risks</w:t>
      </w:r>
      <w:r>
        <w:fldChar w:fldCharType="end"/>
      </w:r>
      <w:r>
        <w:t xml:space="preserve">, if the simplified version of </w:t>
      </w:r>
      <w:r>
        <w:fldChar w:fldCharType="begin"/>
      </w:r>
      <w:r>
        <w:instrText xml:space="preserve"> REF _Ref147639186 \h </w:instrText>
      </w:r>
      <w:r>
        <w:fldChar w:fldCharType="separate"/>
      </w:r>
      <w:r>
        <w:t xml:space="preserve">Equation </w:t>
      </w:r>
      <w:r>
        <w:rPr>
          <w:noProof/>
        </w:rPr>
        <w:t>9</w:t>
      </w:r>
      <w:r>
        <w:fldChar w:fldCharType="end"/>
      </w:r>
      <w:r>
        <w:t xml:space="preserve"> is true, then the original </w:t>
      </w:r>
      <w:r>
        <w:fldChar w:fldCharType="begin"/>
      </w:r>
      <w:r>
        <w:instrText xml:space="preserve"> REF _Ref147639186 \h </w:instrText>
      </w:r>
      <w:r>
        <w:fldChar w:fldCharType="separate"/>
      </w:r>
      <w:r>
        <w:t xml:space="preserve">Equation </w:t>
      </w:r>
      <w:r>
        <w:rPr>
          <w:noProof/>
        </w:rPr>
        <w:t>9</w:t>
      </w:r>
      <w:r>
        <w:fldChar w:fldCharType="end"/>
      </w:r>
      <w:r>
        <w:t xml:space="preserve"> is also true.  However, if </w:t>
      </w:r>
      <m:oMath>
        <m:nary>
          <m:naryPr>
            <m:chr m:val="∑"/>
            <m:limLoc m:val="undOvr"/>
            <m:ctrlPr>
              <w:rPr>
                <w:rFonts w:ascii="Cambria Math" w:eastAsiaTheme="minorEastAsia" w:hAnsi="Cambria Math" w:cs="Arial"/>
                <w:i/>
                <w:iCs/>
              </w:rPr>
            </m:ctrlPr>
          </m:naryPr>
          <m:sub>
            <m:r>
              <w:rPr>
                <w:rFonts w:ascii="Cambria Math" w:eastAsiaTheme="minorEastAsia" w:hAnsi="Cambria Math" w:cs="Arial"/>
              </w:rPr>
              <m:t>i=1</m:t>
            </m:r>
          </m:sub>
          <m:sup>
            <m:r>
              <w:rPr>
                <w:rFonts w:ascii="Cambria Math" w:eastAsiaTheme="minorEastAsia" w:hAnsi="Cambria Math" w:cs="Arial"/>
              </w:rPr>
              <m:t>n</m:t>
            </m:r>
          </m:sup>
          <m:e>
            <m:d>
              <m:dPr>
                <m:ctrlPr>
                  <w:rPr>
                    <w:rFonts w:ascii="Cambria Math" w:eastAsiaTheme="minorEastAsia" w:hAnsi="Cambria Math" w:cs="Arial"/>
                    <w:i/>
                    <w:iCs/>
                  </w:rPr>
                </m:ctrlPr>
              </m:dPr>
              <m:e>
                <m:d>
                  <m:dPr>
                    <m:begChr m:val="{"/>
                    <m:endChr m:val="}"/>
                    <m:ctrlPr>
                      <w:rPr>
                        <w:rFonts w:ascii="Cambria Math"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e>
            </m:d>
          </m:e>
        </m:nary>
      </m:oMath>
      <w:r>
        <w:rPr>
          <w:rFonts w:eastAsiaTheme="minorEastAsia"/>
          <w:iCs/>
        </w:rPr>
        <w:t xml:space="preserve"> becomes too large, </w:t>
      </w:r>
      <w:r>
        <w:t xml:space="preserve">it is possible to incorrectly show that </w:t>
      </w:r>
      <w:r>
        <w:fldChar w:fldCharType="begin"/>
      </w:r>
      <w:r>
        <w:instrText xml:space="preserve"> REF _Ref147639186 \h </w:instrText>
      </w:r>
      <w:r>
        <w:fldChar w:fldCharType="separate"/>
      </w:r>
      <w:r>
        <w:t xml:space="preserve">Equation </w:t>
      </w:r>
      <w:r>
        <w:rPr>
          <w:noProof/>
        </w:rPr>
        <w:t>9</w:t>
      </w:r>
      <w:r>
        <w:fldChar w:fldCharType="end"/>
      </w:r>
      <w:r>
        <w:t xml:space="preserve"> is false.  In order to minimize the chance this occurs, </w:t>
      </w:r>
      <w:r>
        <w:rPr>
          <w:rFonts w:eastAsiaTheme="minorEastAsia" w:cs="Arial"/>
        </w:rPr>
        <w:t xml:space="preserve">make each </w:t>
      </w:r>
      <m:oMath>
        <m:d>
          <m:dPr>
            <m:begChr m:val="{"/>
            <m:endChr m:val="}"/>
            <m:ctrlPr>
              <w:rPr>
                <w:rFonts w:ascii="Cambria Math"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b</m:t>
                </m:r>
              </m:e>
              <m:sub>
                <m:r>
                  <w:rPr>
                    <w:rFonts w:ascii="Cambria Math" w:eastAsiaTheme="minorEastAsia" w:hAnsi="Cambria Math" w:cs="Arial"/>
                  </w:rPr>
                  <m:t>i</m:t>
                </m:r>
              </m:sub>
            </m:sSub>
          </m:e>
        </m:d>
        <m:groupChr>
          <m:groupChrPr>
            <m:chr m:val="⏞"/>
            <m:pos m:val="top"/>
            <m:vertJc m:val="bot"/>
            <m:ctrlPr>
              <w:rPr>
                <w:rFonts w:ascii="Cambria Math" w:eastAsiaTheme="minorEastAsia" w:hAnsi="Cambria Math"/>
                <w:i/>
              </w:rPr>
            </m:ctrlPr>
          </m:groupChrPr>
          <m:e>
            <m:r>
              <w:rPr>
                <w:rFonts w:ascii="Cambria Math" w:eastAsiaTheme="minorEastAsia" w:hAnsi="Cambria Math"/>
              </w:rPr>
              <m:t>-</m:t>
            </m:r>
          </m:e>
        </m:groupChr>
        <m:d>
          <m:dPr>
            <m:begChr m:val="{"/>
            <m:endChr m:val="}"/>
            <m:ctrlPr>
              <w:rPr>
                <w:rFonts w:ascii="Cambria Math" w:hAnsi="Cambria Math" w:cs="Arial"/>
                <w:i/>
                <w:iCs/>
              </w:rPr>
            </m:ctrlPr>
          </m:dPr>
          <m:e>
            <m:sSub>
              <m:sSubPr>
                <m:ctrlPr>
                  <w:rPr>
                    <w:rFonts w:ascii="Cambria Math" w:eastAsiaTheme="minorEastAsia" w:hAnsi="Cambria Math" w:cs="Arial"/>
                    <w:i/>
                    <w:iCs/>
                  </w:rPr>
                </m:ctrlPr>
              </m:sSubPr>
              <m:e>
                <m:r>
                  <w:rPr>
                    <w:rFonts w:ascii="Cambria Math" w:eastAsiaTheme="minorEastAsia" w:hAnsi="Cambria Math" w:cs="Arial"/>
                  </w:rPr>
                  <m:t>d</m:t>
                </m:r>
              </m:e>
              <m:sub>
                <m:r>
                  <w:rPr>
                    <w:rFonts w:ascii="Cambria Math" w:eastAsiaTheme="minorEastAsia" w:hAnsi="Cambria Math" w:cs="Arial"/>
                  </w:rPr>
                  <m:t>i</m:t>
                </m:r>
              </m:sub>
            </m:sSub>
          </m:e>
        </m:d>
      </m:oMath>
      <w:r>
        <w:rPr>
          <w:rFonts w:eastAsiaTheme="minorEastAsia" w:cs="Arial"/>
        </w:rPr>
        <w:t xml:space="preserve"> as small as possible</w:t>
      </w:r>
      <w:r w:rsidRPr="008674CD">
        <w:rPr>
          <w:rFonts w:eastAsiaTheme="minorEastAsia" w:cs="Arial"/>
        </w:rPr>
        <w:t xml:space="preserve">. </w:t>
      </w:r>
      <w:r>
        <w:t xml:space="preserve"> To pick the most extreme example possible:  Do not use an ‘expected / catastrophic’ risk to remove a ‘improbable / negligible’ risk.  Instead, pick risks for </w:t>
      </w:r>
      <m:oMath>
        <m:d>
          <m:dPr>
            <m:begChr m:val="{"/>
            <m:endChr m:val="}"/>
            <m:ctrlPr>
              <w:rPr>
                <w:rFonts w:ascii="Cambria Math" w:hAnsi="Cambria Math" w:cs="Arial"/>
                <w:i/>
                <w:iCs/>
              </w:rPr>
            </m:ctrlPr>
          </m:dPr>
          <m:e>
            <m:r>
              <w:rPr>
                <w:rFonts w:ascii="Cambria Math" w:hAnsi="Cambria Math" w:cs="Arial"/>
              </w:rPr>
              <m:t>b</m:t>
            </m:r>
          </m:e>
        </m:d>
      </m:oMath>
      <w:r w:rsidRPr="00FA485E">
        <w:rPr>
          <w:rFonts w:eastAsiaTheme="minorEastAsia"/>
          <w:iCs/>
        </w:rPr>
        <w:t xml:space="preserve"> that are as close to, and only slightly greater, than the risks for </w:t>
      </w:r>
      <m:oMath>
        <m:d>
          <m:dPr>
            <m:begChr m:val="{"/>
            <m:endChr m:val="}"/>
            <m:ctrlPr>
              <w:rPr>
                <w:rFonts w:ascii="Cambria Math" w:hAnsi="Cambria Math" w:cs="Arial"/>
                <w:i/>
                <w:iCs/>
              </w:rPr>
            </m:ctrlPr>
          </m:dPr>
          <m:e>
            <m:r>
              <w:rPr>
                <w:rFonts w:ascii="Cambria Math" w:hAnsi="Cambria Math" w:cs="Arial"/>
              </w:rPr>
              <m:t>d</m:t>
            </m:r>
          </m:e>
        </m:d>
      </m:oMath>
      <w:r w:rsidRPr="00FA485E">
        <w:rPr>
          <w:rFonts w:eastAsiaTheme="minorEastAsia"/>
          <w:iCs/>
        </w:rPr>
        <w:t xml:space="preserve"> as possible; e.g., to pick the best possible examples, use </w:t>
      </w:r>
      <m:oMath>
        <m:d>
          <m:dPr>
            <m:begChr m:val="{"/>
            <m:endChr m:val="}"/>
            <m:ctrlPr>
              <w:rPr>
                <w:rFonts w:ascii="Cambria Math" w:hAnsi="Cambria Math" w:cs="Arial"/>
                <w:i/>
                <w:iCs/>
              </w:rPr>
            </m:ctrlPr>
          </m:dPr>
          <m:e>
            <m:r>
              <w:rPr>
                <w:rFonts w:ascii="Cambria Math" w:hAnsi="Cambria Math" w:cs="Arial"/>
              </w:rPr>
              <m:t>b</m:t>
            </m:r>
          </m:e>
        </m:d>
        <m:r>
          <w:rPr>
            <w:rFonts w:ascii="Cambria Math" w:hAnsi="Cambria Math" w:cs="Arial"/>
          </w:rPr>
          <m:t>=</m:t>
        </m:r>
        <m:d>
          <m:dPr>
            <m:begChr m:val="{"/>
            <m:endChr m:val="}"/>
            <m:ctrlPr>
              <w:rPr>
                <w:rFonts w:ascii="Cambria Math" w:eastAsiaTheme="minorEastAsia" w:hAnsi="Cambria Math"/>
                <w:i/>
                <w:iCs/>
              </w:rPr>
            </m:ctrlPr>
          </m:dPr>
          <m:e>
            <m:r>
              <w:rPr>
                <w:rFonts w:ascii="Cambria Math" w:eastAsiaTheme="minorEastAsia" w:hAnsi="Cambria Math"/>
              </w:rPr>
              <m:t>(occasional, critical )</m:t>
            </m:r>
          </m:e>
        </m:d>
      </m:oMath>
      <w:r w:rsidRPr="00FA485E">
        <w:rPr>
          <w:rFonts w:eastAsiaTheme="minorEastAsia"/>
          <w:iCs/>
        </w:rPr>
        <w:t xml:space="preserve"> to remove </w:t>
      </w:r>
      <m:oMath>
        <m:d>
          <m:dPr>
            <m:begChr m:val="{"/>
            <m:endChr m:val="}"/>
            <m:ctrlPr>
              <w:rPr>
                <w:rFonts w:ascii="Cambria Math" w:hAnsi="Cambria Math" w:cs="Arial"/>
                <w:i/>
                <w:iCs/>
              </w:rPr>
            </m:ctrlPr>
          </m:dPr>
          <m:e>
            <m:r>
              <w:rPr>
                <w:rFonts w:ascii="Cambria Math" w:hAnsi="Cambria Math" w:cs="Arial"/>
              </w:rPr>
              <m:t>d</m:t>
            </m:r>
          </m:e>
        </m:d>
        <m:r>
          <w:rPr>
            <w:rFonts w:ascii="Cambria Math" w:hAnsi="Cambria Math" w:cs="Arial"/>
          </w:rPr>
          <m:t>=</m:t>
        </m:r>
        <m:d>
          <m:dPr>
            <m:begChr m:val="{"/>
            <m:endChr m:val="}"/>
            <m:ctrlPr>
              <w:rPr>
                <w:rFonts w:ascii="Cambria Math" w:hAnsi="Cambria Math" w:cs="Arial"/>
                <w:i/>
                <w:iCs/>
              </w:rPr>
            </m:ctrlPr>
          </m:dPr>
          <m:e>
            <m:d>
              <m:dPr>
                <m:ctrlPr>
                  <w:rPr>
                    <w:rFonts w:ascii="Cambria Math" w:hAnsi="Cambria Math" w:cs="Arial"/>
                    <w:i/>
                    <w:iCs/>
                  </w:rPr>
                </m:ctrlPr>
              </m:dPr>
              <m:e>
                <m:r>
                  <w:rPr>
                    <w:rFonts w:ascii="Cambria Math" w:eastAsiaTheme="minorEastAsia" w:hAnsi="Cambria Math"/>
                  </w:rPr>
                  <m:t xml:space="preserve">remote, critical </m:t>
                </m:r>
              </m:e>
            </m:d>
          </m:e>
        </m:d>
      </m:oMath>
      <w:r w:rsidRPr="00FA485E">
        <w:rPr>
          <w:rFonts w:eastAsiaTheme="minorEastAsia"/>
          <w:iCs/>
        </w:rPr>
        <w:t xml:space="preserve">, or use </w:t>
      </w:r>
      <m:oMath>
        <m:d>
          <m:dPr>
            <m:begChr m:val="{"/>
            <m:endChr m:val="}"/>
            <m:ctrlPr>
              <w:rPr>
                <w:rFonts w:ascii="Cambria Math" w:hAnsi="Cambria Math" w:cs="Arial"/>
                <w:i/>
                <w:iCs/>
              </w:rPr>
            </m:ctrlPr>
          </m:dPr>
          <m:e>
            <m:r>
              <w:rPr>
                <w:rFonts w:ascii="Cambria Math" w:hAnsi="Cambria Math" w:cs="Arial"/>
              </w:rPr>
              <m:t>b</m:t>
            </m:r>
          </m:e>
        </m:d>
        <m:r>
          <w:rPr>
            <w:rFonts w:ascii="Cambria Math" w:hAnsi="Cambria Math" w:cs="Arial"/>
          </w:rPr>
          <m:t>=</m:t>
        </m:r>
        <m:d>
          <m:dPr>
            <m:begChr m:val="{"/>
            <m:endChr m:val="}"/>
            <m:ctrlPr>
              <w:rPr>
                <w:rFonts w:ascii="Cambria Math" w:hAnsi="Cambria Math" w:cs="Arial"/>
                <w:i/>
                <w:iCs/>
              </w:rPr>
            </m:ctrlPr>
          </m:dPr>
          <m:e>
            <m:d>
              <m:dPr>
                <m:ctrlPr>
                  <w:rPr>
                    <w:rFonts w:ascii="Cambria Math" w:hAnsi="Cambria Math" w:cs="Arial"/>
                    <w:i/>
                    <w:iCs/>
                  </w:rPr>
                </m:ctrlPr>
              </m:dPr>
              <m:e>
                <m:r>
                  <w:rPr>
                    <w:rFonts w:ascii="Cambria Math" w:eastAsiaTheme="minorEastAsia" w:hAnsi="Cambria Math"/>
                  </w:rPr>
                  <m:t xml:space="preserve">frequent, minor </m:t>
                </m:r>
              </m:e>
            </m:d>
          </m:e>
        </m:d>
      </m:oMath>
      <w:r w:rsidRPr="00FA485E">
        <w:rPr>
          <w:rFonts w:eastAsiaTheme="minorEastAsia"/>
          <w:iCs/>
        </w:rPr>
        <w:t xml:space="preserve"> to remove </w:t>
      </w:r>
      <m:oMath>
        <m:d>
          <m:dPr>
            <m:begChr m:val="{"/>
            <m:endChr m:val="}"/>
            <m:ctrlPr>
              <w:rPr>
                <w:rFonts w:ascii="Cambria Math" w:hAnsi="Cambria Math" w:cs="Arial"/>
                <w:i/>
                <w:iCs/>
              </w:rPr>
            </m:ctrlPr>
          </m:dPr>
          <m:e>
            <m:r>
              <w:rPr>
                <w:rFonts w:ascii="Cambria Math" w:hAnsi="Cambria Math" w:cs="Arial"/>
              </w:rPr>
              <m:t>b</m:t>
            </m:r>
          </m:e>
        </m:d>
        <m:r>
          <w:rPr>
            <w:rFonts w:ascii="Cambria Math" w:hAnsi="Cambria Math" w:cs="Arial"/>
          </w:rPr>
          <m:t>=</m:t>
        </m:r>
        <m:d>
          <m:dPr>
            <m:begChr m:val="{"/>
            <m:endChr m:val="}"/>
            <m:ctrlPr>
              <w:rPr>
                <w:rFonts w:ascii="Cambria Math" w:hAnsi="Cambria Math" w:cs="Arial"/>
                <w:i/>
                <w:iCs/>
              </w:rPr>
            </m:ctrlPr>
          </m:dPr>
          <m:e>
            <m:d>
              <m:dPr>
                <m:ctrlPr>
                  <w:rPr>
                    <w:rFonts w:ascii="Cambria Math" w:hAnsi="Cambria Math" w:cs="Arial"/>
                    <w:i/>
                    <w:iCs/>
                  </w:rPr>
                </m:ctrlPr>
              </m:dPr>
              <m:e>
                <m:r>
                  <w:rPr>
                    <w:rFonts w:ascii="Cambria Math" w:eastAsiaTheme="minorEastAsia" w:hAnsi="Cambria Math"/>
                  </w:rPr>
                  <m:t>occasional, minor</m:t>
                </m:r>
                <m:r>
                  <m:rPr>
                    <m:sty m:val="p"/>
                  </m:rPr>
                  <w:rPr>
                    <w:rFonts w:ascii="Cambria Math" w:eastAsiaTheme="minorEastAsia" w:hAnsi="Cambria Math"/>
                  </w:rPr>
                  <m:t xml:space="preserve"> </m:t>
                </m:r>
              </m:e>
            </m:d>
          </m:e>
        </m:d>
      </m:oMath>
      <w:r w:rsidRPr="00FA485E">
        <w:rPr>
          <w:rFonts w:eastAsiaTheme="minorEastAsia"/>
          <w:iCs/>
        </w:rPr>
        <w:t>.</w:t>
      </w:r>
      <w:r>
        <w:rPr>
          <w:rFonts w:eastAsiaTheme="minorEastAsia"/>
          <w:iCs/>
        </w:rPr>
        <w:t xml:space="preserve">  </w:t>
      </w:r>
    </w:p>
    <w:p w14:paraId="0A5F6315" w14:textId="77777777" w:rsidR="00F17C00" w:rsidRDefault="00F17C00" w:rsidP="00CD55F1"/>
    <w:p w14:paraId="7A0521E9" w14:textId="3E2FE9AD" w:rsidR="00CD55F1" w:rsidRDefault="00CD55F1" w:rsidP="00CD55F1">
      <w:r>
        <w:t xml:space="preserve">Looking at </w:t>
      </w:r>
      <w:r>
        <w:fldChar w:fldCharType="begin"/>
      </w:r>
      <w:r>
        <w:instrText xml:space="preserve"> REF _Ref147836117 \h </w:instrText>
      </w:r>
      <w:r>
        <w:fldChar w:fldCharType="separate"/>
      </w:r>
      <w:r w:rsidR="001E41EA">
        <w:t xml:space="preserve">Equation </w:t>
      </w:r>
      <w:r w:rsidR="001E41EA">
        <w:rPr>
          <w:noProof/>
        </w:rPr>
        <w:t>20</w:t>
      </w:r>
      <w:r>
        <w:fldChar w:fldCharType="end"/>
      </w:r>
      <w:r>
        <w:t xml:space="preserve">, you may note there are 3 ‘Frequent-Serious/Major’ risks on the left-hand side and 3 “Frequent-Minor” risks on the right-hand side.  Since the probabilities are the same and each ‘Serious/Major’ risk is larger than each ‘Minor’ risk, and since the larger risks are on the left-hand side of </w:t>
      </w:r>
      <w:r>
        <w:fldChar w:fldCharType="begin"/>
      </w:r>
      <w:r>
        <w:instrText xml:space="preserve"> REF _Ref147836117 \h </w:instrText>
      </w:r>
      <w:r>
        <w:fldChar w:fldCharType="separate"/>
      </w:r>
      <w:r w:rsidR="001E41EA">
        <w:t xml:space="preserve">Equation </w:t>
      </w:r>
      <w:r w:rsidR="001E41EA">
        <w:rPr>
          <w:noProof/>
        </w:rPr>
        <w:t>20</w:t>
      </w:r>
      <w:r>
        <w:fldChar w:fldCharType="end"/>
      </w:r>
      <w:r>
        <w:t xml:space="preserve">, then the conditions for </w:t>
      </w:r>
      <w:r w:rsidR="0036794A">
        <w:fldChar w:fldCharType="begin"/>
      </w:r>
      <w:r w:rsidR="0036794A">
        <w:instrText xml:space="preserve"> REF _Ref151368036 \h </w:instrText>
      </w:r>
      <w:r w:rsidR="0036794A">
        <w:fldChar w:fldCharType="separate"/>
      </w:r>
      <w:r w:rsidR="0036794A" w:rsidRPr="00646086">
        <w:rPr>
          <w:rFonts w:eastAsia="TimesNewRomanPSMT" w:cs="TimesNewRomanPSMT"/>
          <w:b/>
          <w:color w:val="000000"/>
          <w:u w:val="single"/>
        </w:rPr>
        <w:t>Removing Unequal Risks</w:t>
      </w:r>
      <w:r w:rsidR="0036794A">
        <w:fldChar w:fldCharType="end"/>
      </w:r>
      <w:r>
        <w:t xml:space="preserve"> are met and we can simplify </w:t>
      </w:r>
      <w:r>
        <w:fldChar w:fldCharType="begin"/>
      </w:r>
      <w:r>
        <w:instrText xml:space="preserve"> REF _Ref147836117 \h </w:instrText>
      </w:r>
      <w:r>
        <w:fldChar w:fldCharType="separate"/>
      </w:r>
      <w:r w:rsidR="001E41EA">
        <w:t xml:space="preserve">Equation </w:t>
      </w:r>
      <w:r w:rsidR="001E41EA">
        <w:rPr>
          <w:noProof/>
        </w:rPr>
        <w:t>20</w:t>
      </w:r>
      <w:r>
        <w:fldChar w:fldCharType="end"/>
      </w:r>
      <w:r>
        <w:t xml:space="preserve"> as follows: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49768167" w14:textId="77777777" w:rsidTr="00024DD9">
        <w:trPr>
          <w:tblHeader/>
          <w:jc w:val="center"/>
        </w:trPr>
        <w:tc>
          <w:tcPr>
            <w:tcW w:w="884" w:type="dxa"/>
            <w:tcBorders>
              <w:top w:val="nil"/>
              <w:left w:val="nil"/>
              <w:bottom w:val="single" w:sz="4" w:space="0" w:color="auto"/>
            </w:tcBorders>
            <w:vAlign w:val="center"/>
          </w:tcPr>
          <w:p w14:paraId="31F2E1EE"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DD22BB8"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12E41DE5"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545B8AD2"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56E96FB5"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546F4F4A" w14:textId="77777777" w:rsidR="00CD55F1" w:rsidRPr="005B7BEE" w:rsidRDefault="00CD55F1" w:rsidP="00024DD9">
            <w:pPr>
              <w:jc w:val="center"/>
              <w:rPr>
                <w:sz w:val="14"/>
                <w:szCs w:val="14"/>
              </w:rPr>
            </w:pPr>
            <w:r w:rsidRPr="005B7BEE">
              <w:rPr>
                <w:sz w:val="14"/>
                <w:szCs w:val="14"/>
              </w:rPr>
              <w:t xml:space="preserve">Catastrophic </w:t>
            </w:r>
          </w:p>
          <w:p w14:paraId="4D41B03C"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6C12CC47"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2833C1DF"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64A14813"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1A56E65C"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12D008A7"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51E8AF1B"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669280BD" w14:textId="77777777" w:rsidR="00CD55F1" w:rsidRPr="005B7BEE" w:rsidRDefault="00CD55F1" w:rsidP="00024DD9">
            <w:pPr>
              <w:jc w:val="center"/>
              <w:rPr>
                <w:sz w:val="14"/>
                <w:szCs w:val="14"/>
              </w:rPr>
            </w:pPr>
            <w:r w:rsidRPr="005B7BEE">
              <w:rPr>
                <w:sz w:val="14"/>
                <w:szCs w:val="14"/>
              </w:rPr>
              <w:t xml:space="preserve">Catastrophic </w:t>
            </w:r>
          </w:p>
          <w:p w14:paraId="1D61BC03"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5ED57ACB" w14:textId="77777777" w:rsidTr="00024DD9">
        <w:trPr>
          <w:jc w:val="center"/>
        </w:trPr>
        <w:tc>
          <w:tcPr>
            <w:tcW w:w="884" w:type="dxa"/>
            <w:tcBorders>
              <w:top w:val="single" w:sz="4" w:space="0" w:color="auto"/>
              <w:right w:val="single" w:sz="12" w:space="0" w:color="auto"/>
            </w:tcBorders>
          </w:tcPr>
          <w:p w14:paraId="624F1CBD"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100E7413" w14:textId="77777777" w:rsidR="00CD55F1" w:rsidRPr="00F60A9B" w:rsidRDefault="00CD55F1" w:rsidP="00024DD9">
            <w:pPr>
              <w:jc w:val="center"/>
            </w:pPr>
            <w:r>
              <w:t>0</w:t>
            </w:r>
          </w:p>
        </w:tc>
        <w:tc>
          <w:tcPr>
            <w:tcW w:w="668" w:type="dxa"/>
            <w:tcBorders>
              <w:top w:val="single" w:sz="12" w:space="0" w:color="auto"/>
            </w:tcBorders>
            <w:vAlign w:val="center"/>
          </w:tcPr>
          <w:p w14:paraId="1587C895" w14:textId="77777777" w:rsidR="00CD55F1" w:rsidRPr="00210DD1" w:rsidRDefault="00CD55F1" w:rsidP="00024DD9">
            <w:pPr>
              <w:jc w:val="center"/>
            </w:pPr>
            <w:r>
              <w:t>0</w:t>
            </w:r>
          </w:p>
        </w:tc>
        <w:tc>
          <w:tcPr>
            <w:tcW w:w="680" w:type="dxa"/>
            <w:tcBorders>
              <w:top w:val="single" w:sz="12" w:space="0" w:color="auto"/>
            </w:tcBorders>
            <w:vAlign w:val="center"/>
          </w:tcPr>
          <w:p w14:paraId="1526C124" w14:textId="77777777" w:rsidR="00CD55F1" w:rsidRPr="00210DD1" w:rsidRDefault="00CD55F1" w:rsidP="00024DD9">
            <w:pPr>
              <w:jc w:val="center"/>
            </w:pPr>
            <w:r>
              <w:t>0</w:t>
            </w:r>
          </w:p>
        </w:tc>
        <w:tc>
          <w:tcPr>
            <w:tcW w:w="628" w:type="dxa"/>
            <w:tcBorders>
              <w:top w:val="single" w:sz="12" w:space="0" w:color="auto"/>
            </w:tcBorders>
            <w:vAlign w:val="center"/>
          </w:tcPr>
          <w:p w14:paraId="0ACC40B9" w14:textId="77777777" w:rsidR="00CD55F1" w:rsidRPr="00210DD1" w:rsidRDefault="00CD55F1" w:rsidP="00024DD9">
            <w:pPr>
              <w:jc w:val="center"/>
            </w:pPr>
            <w:r>
              <w:t>0</w:t>
            </w:r>
          </w:p>
        </w:tc>
        <w:tc>
          <w:tcPr>
            <w:tcW w:w="939" w:type="dxa"/>
            <w:tcBorders>
              <w:top w:val="single" w:sz="12" w:space="0" w:color="auto"/>
            </w:tcBorders>
            <w:vAlign w:val="center"/>
          </w:tcPr>
          <w:p w14:paraId="58DBA6FD" w14:textId="77777777" w:rsidR="00CD55F1" w:rsidRPr="00F60A9B" w:rsidRDefault="00CD55F1" w:rsidP="00024DD9">
            <w:pPr>
              <w:jc w:val="center"/>
            </w:pPr>
            <w:r>
              <w:t>0</w:t>
            </w:r>
          </w:p>
        </w:tc>
        <w:tc>
          <w:tcPr>
            <w:tcW w:w="287" w:type="dxa"/>
            <w:tcBorders>
              <w:top w:val="nil"/>
              <w:left w:val="nil"/>
              <w:bottom w:val="nil"/>
              <w:right w:val="nil"/>
            </w:tcBorders>
            <w:vAlign w:val="center"/>
          </w:tcPr>
          <w:p w14:paraId="7DA21112" w14:textId="77777777" w:rsidR="00CD55F1" w:rsidRDefault="00CD55F1" w:rsidP="00024DD9">
            <w:pPr>
              <w:jc w:val="center"/>
            </w:pPr>
          </w:p>
        </w:tc>
        <w:tc>
          <w:tcPr>
            <w:tcW w:w="883" w:type="dxa"/>
            <w:tcBorders>
              <w:top w:val="single" w:sz="12" w:space="0" w:color="auto"/>
            </w:tcBorders>
            <w:vAlign w:val="center"/>
          </w:tcPr>
          <w:p w14:paraId="4D75E596"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3EF583AF" w14:textId="77777777" w:rsidR="00CD55F1" w:rsidRDefault="00CD55F1" w:rsidP="00024DD9">
            <w:pPr>
              <w:jc w:val="center"/>
            </w:pPr>
            <w:r>
              <w:t>0</w:t>
            </w:r>
          </w:p>
        </w:tc>
        <w:tc>
          <w:tcPr>
            <w:tcW w:w="666" w:type="dxa"/>
            <w:tcBorders>
              <w:top w:val="single" w:sz="12" w:space="0" w:color="auto"/>
            </w:tcBorders>
            <w:vAlign w:val="center"/>
          </w:tcPr>
          <w:p w14:paraId="6BC9A265" w14:textId="77777777" w:rsidR="00CD55F1" w:rsidRDefault="00CD55F1" w:rsidP="00024DD9">
            <w:pPr>
              <w:jc w:val="center"/>
            </w:pPr>
            <w:r>
              <w:t>0</w:t>
            </w:r>
          </w:p>
        </w:tc>
        <w:tc>
          <w:tcPr>
            <w:tcW w:w="698" w:type="dxa"/>
            <w:tcBorders>
              <w:top w:val="single" w:sz="12" w:space="0" w:color="auto"/>
            </w:tcBorders>
            <w:vAlign w:val="center"/>
          </w:tcPr>
          <w:p w14:paraId="3167E405" w14:textId="77777777" w:rsidR="00CD55F1" w:rsidRDefault="00CD55F1" w:rsidP="00024DD9">
            <w:pPr>
              <w:jc w:val="center"/>
            </w:pPr>
            <w:r>
              <w:t>0</w:t>
            </w:r>
          </w:p>
        </w:tc>
        <w:tc>
          <w:tcPr>
            <w:tcW w:w="612" w:type="dxa"/>
            <w:tcBorders>
              <w:top w:val="single" w:sz="12" w:space="0" w:color="auto"/>
            </w:tcBorders>
            <w:vAlign w:val="center"/>
          </w:tcPr>
          <w:p w14:paraId="79A359DF" w14:textId="77777777" w:rsidR="00CD55F1" w:rsidRDefault="00CD55F1" w:rsidP="00024DD9">
            <w:pPr>
              <w:jc w:val="center"/>
            </w:pPr>
            <w:r>
              <w:t>0</w:t>
            </w:r>
          </w:p>
        </w:tc>
        <w:tc>
          <w:tcPr>
            <w:tcW w:w="939" w:type="dxa"/>
            <w:tcBorders>
              <w:top w:val="single" w:sz="12" w:space="0" w:color="auto"/>
            </w:tcBorders>
            <w:vAlign w:val="center"/>
          </w:tcPr>
          <w:p w14:paraId="0ABBB9D9" w14:textId="77777777" w:rsidR="00CD55F1" w:rsidRDefault="00CD55F1" w:rsidP="00024DD9">
            <w:pPr>
              <w:jc w:val="center"/>
            </w:pPr>
            <w:r>
              <w:t>0</w:t>
            </w:r>
          </w:p>
        </w:tc>
      </w:tr>
      <w:tr w:rsidR="00CD55F1" w:rsidRPr="00F60A9B" w14:paraId="160EB6F1" w14:textId="77777777" w:rsidTr="00024DD9">
        <w:trPr>
          <w:jc w:val="center"/>
        </w:trPr>
        <w:tc>
          <w:tcPr>
            <w:tcW w:w="884" w:type="dxa"/>
            <w:tcBorders>
              <w:right w:val="single" w:sz="12" w:space="0" w:color="auto"/>
            </w:tcBorders>
          </w:tcPr>
          <w:p w14:paraId="3ED4AA18"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7F8E2738" w14:textId="77777777" w:rsidR="00CD55F1" w:rsidRDefault="00CD55F1" w:rsidP="00024DD9">
            <w:pPr>
              <w:jc w:val="center"/>
            </w:pPr>
            <w:r>
              <w:t>0</w:t>
            </w:r>
          </w:p>
        </w:tc>
        <w:tc>
          <w:tcPr>
            <w:tcW w:w="668" w:type="dxa"/>
            <w:shd w:val="clear" w:color="auto" w:fill="auto"/>
            <w:vAlign w:val="center"/>
          </w:tcPr>
          <w:p w14:paraId="0B837AA5" w14:textId="77777777" w:rsidR="00CD55F1" w:rsidRPr="00210DD1" w:rsidRDefault="00CD55F1" w:rsidP="00024DD9">
            <w:pPr>
              <w:jc w:val="center"/>
            </w:pPr>
            <w:r>
              <w:t>0</w:t>
            </w:r>
          </w:p>
        </w:tc>
        <w:tc>
          <w:tcPr>
            <w:tcW w:w="680" w:type="dxa"/>
            <w:vAlign w:val="center"/>
          </w:tcPr>
          <w:p w14:paraId="4E04C39D" w14:textId="77777777" w:rsidR="00CD55F1" w:rsidRPr="00210DD1" w:rsidRDefault="00CD55F1" w:rsidP="00024DD9">
            <w:pPr>
              <w:jc w:val="center"/>
            </w:pPr>
            <w:r>
              <w:t>0</w:t>
            </w:r>
          </w:p>
        </w:tc>
        <w:tc>
          <w:tcPr>
            <w:tcW w:w="628" w:type="dxa"/>
            <w:vAlign w:val="center"/>
          </w:tcPr>
          <w:p w14:paraId="27D1364D" w14:textId="77777777" w:rsidR="00CD55F1" w:rsidRPr="00210DD1" w:rsidRDefault="00CD55F1" w:rsidP="00024DD9">
            <w:pPr>
              <w:jc w:val="center"/>
            </w:pPr>
            <w:r>
              <w:t>0</w:t>
            </w:r>
          </w:p>
        </w:tc>
        <w:tc>
          <w:tcPr>
            <w:tcW w:w="939" w:type="dxa"/>
            <w:vAlign w:val="center"/>
          </w:tcPr>
          <w:p w14:paraId="201D00C4" w14:textId="77777777" w:rsidR="00CD55F1" w:rsidRDefault="00CD55F1" w:rsidP="00024DD9">
            <w:pPr>
              <w:jc w:val="center"/>
            </w:pPr>
            <w:r>
              <w:t>0</w:t>
            </w:r>
          </w:p>
        </w:tc>
        <w:tc>
          <w:tcPr>
            <w:tcW w:w="287" w:type="dxa"/>
            <w:tcBorders>
              <w:top w:val="nil"/>
              <w:left w:val="nil"/>
              <w:bottom w:val="nil"/>
              <w:right w:val="nil"/>
            </w:tcBorders>
            <w:vAlign w:val="center"/>
          </w:tcPr>
          <w:p w14:paraId="13B31C0C" w14:textId="77777777" w:rsidR="00CD55F1" w:rsidRDefault="00CD55F1" w:rsidP="00024DD9">
            <w:pPr>
              <w:jc w:val="center"/>
            </w:pPr>
          </w:p>
        </w:tc>
        <w:tc>
          <w:tcPr>
            <w:tcW w:w="883" w:type="dxa"/>
            <w:vAlign w:val="center"/>
          </w:tcPr>
          <w:p w14:paraId="5947BEB7" w14:textId="77777777" w:rsidR="00CD55F1" w:rsidRPr="005B7BEE" w:rsidRDefault="00CD55F1" w:rsidP="00024DD9">
            <w:pPr>
              <w:jc w:val="center"/>
              <w:rPr>
                <w:sz w:val="14"/>
                <w:szCs w:val="14"/>
              </w:rPr>
            </w:pPr>
            <w:r>
              <w:rPr>
                <w:sz w:val="14"/>
                <w:szCs w:val="14"/>
              </w:rPr>
              <w:t>Often</w:t>
            </w:r>
          </w:p>
        </w:tc>
        <w:tc>
          <w:tcPr>
            <w:tcW w:w="783" w:type="dxa"/>
            <w:vAlign w:val="center"/>
          </w:tcPr>
          <w:p w14:paraId="306C61D3" w14:textId="77777777" w:rsidR="00CD55F1" w:rsidRDefault="00CD55F1" w:rsidP="00024DD9">
            <w:pPr>
              <w:jc w:val="center"/>
            </w:pPr>
            <w:r>
              <w:t>0</w:t>
            </w:r>
          </w:p>
        </w:tc>
        <w:tc>
          <w:tcPr>
            <w:tcW w:w="666" w:type="dxa"/>
            <w:vAlign w:val="center"/>
          </w:tcPr>
          <w:p w14:paraId="48F1B258" w14:textId="77777777" w:rsidR="00CD55F1" w:rsidRPr="00210DD1" w:rsidRDefault="00CD55F1" w:rsidP="00024DD9">
            <w:pPr>
              <w:jc w:val="center"/>
            </w:pPr>
            <w:r>
              <w:t>0</w:t>
            </w:r>
          </w:p>
        </w:tc>
        <w:tc>
          <w:tcPr>
            <w:tcW w:w="698" w:type="dxa"/>
            <w:vAlign w:val="center"/>
          </w:tcPr>
          <w:p w14:paraId="7B53B9E0" w14:textId="77777777" w:rsidR="00CD55F1" w:rsidRPr="00210DD1" w:rsidRDefault="00CD55F1" w:rsidP="00024DD9">
            <w:pPr>
              <w:jc w:val="center"/>
            </w:pPr>
            <w:r>
              <w:t>0</w:t>
            </w:r>
          </w:p>
        </w:tc>
        <w:tc>
          <w:tcPr>
            <w:tcW w:w="612" w:type="dxa"/>
            <w:vAlign w:val="center"/>
          </w:tcPr>
          <w:p w14:paraId="560EB365" w14:textId="77777777" w:rsidR="00CD55F1" w:rsidRPr="00210DD1" w:rsidRDefault="00CD55F1" w:rsidP="00024DD9">
            <w:pPr>
              <w:jc w:val="center"/>
            </w:pPr>
            <w:r>
              <w:t>0</w:t>
            </w:r>
          </w:p>
        </w:tc>
        <w:tc>
          <w:tcPr>
            <w:tcW w:w="939" w:type="dxa"/>
            <w:vAlign w:val="center"/>
          </w:tcPr>
          <w:p w14:paraId="0D050EA0" w14:textId="77777777" w:rsidR="00CD55F1" w:rsidRDefault="00CD55F1" w:rsidP="00024DD9">
            <w:pPr>
              <w:jc w:val="center"/>
            </w:pPr>
            <w:r>
              <w:t>0</w:t>
            </w:r>
          </w:p>
        </w:tc>
      </w:tr>
      <w:tr w:rsidR="00CD55F1" w:rsidRPr="00F60A9B" w14:paraId="3FD6550E" w14:textId="77777777" w:rsidTr="00024DD9">
        <w:trPr>
          <w:jc w:val="center"/>
        </w:trPr>
        <w:tc>
          <w:tcPr>
            <w:tcW w:w="884" w:type="dxa"/>
            <w:tcBorders>
              <w:right w:val="single" w:sz="12" w:space="0" w:color="auto"/>
            </w:tcBorders>
          </w:tcPr>
          <w:p w14:paraId="4D8CF279"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333EEB44" w14:textId="77777777" w:rsidR="00CD55F1" w:rsidRDefault="00CD55F1" w:rsidP="00024DD9">
            <w:pPr>
              <w:jc w:val="center"/>
            </w:pPr>
            <w:r>
              <w:t>0</w:t>
            </w:r>
          </w:p>
        </w:tc>
        <w:tc>
          <w:tcPr>
            <w:tcW w:w="668" w:type="dxa"/>
            <w:shd w:val="clear" w:color="auto" w:fill="auto"/>
            <w:vAlign w:val="center"/>
          </w:tcPr>
          <w:p w14:paraId="0FD46B58" w14:textId="77777777" w:rsidR="00CD55F1" w:rsidRPr="00210DD1" w:rsidRDefault="00CD55F1" w:rsidP="00024DD9">
            <w:pPr>
              <w:jc w:val="center"/>
            </w:pPr>
            <w:r>
              <w:rPr>
                <w:rFonts w:ascii="Calibri" w:hAnsi="Calibri" w:cs="Calibri"/>
              </w:rPr>
              <w:t>0</w:t>
            </w:r>
          </w:p>
        </w:tc>
        <w:tc>
          <w:tcPr>
            <w:tcW w:w="680" w:type="dxa"/>
            <w:shd w:val="clear" w:color="auto" w:fill="D9E2F3" w:themeFill="accent1" w:themeFillTint="33"/>
            <w:vAlign w:val="center"/>
          </w:tcPr>
          <w:p w14:paraId="6326C810" w14:textId="77777777" w:rsidR="00CD55F1" w:rsidRPr="00210DD1" w:rsidRDefault="00CD55F1" w:rsidP="00024DD9">
            <w:pPr>
              <w:jc w:val="center"/>
            </w:pPr>
            <w:r w:rsidRPr="00F60A9B">
              <w:rPr>
                <w:rFonts w:ascii="Calibri" w:hAnsi="Calibri" w:cs="Calibri"/>
              </w:rPr>
              <w:t>3</w:t>
            </w:r>
            <w:r>
              <w:rPr>
                <w:rFonts w:ascii="Calibri" w:hAnsi="Calibri" w:cs="Calibri"/>
              </w:rPr>
              <w:t>-3 = 0</w:t>
            </w:r>
          </w:p>
        </w:tc>
        <w:tc>
          <w:tcPr>
            <w:tcW w:w="628" w:type="dxa"/>
            <w:shd w:val="clear" w:color="auto" w:fill="auto"/>
            <w:vAlign w:val="center"/>
          </w:tcPr>
          <w:p w14:paraId="61D5F762"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6880682E"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21299709" w14:textId="77777777" w:rsidR="00CD55F1" w:rsidRDefault="00CD55F1" w:rsidP="00024DD9">
            <w:pPr>
              <w:jc w:val="center"/>
            </w:pPr>
          </w:p>
        </w:tc>
        <w:tc>
          <w:tcPr>
            <w:tcW w:w="883" w:type="dxa"/>
            <w:shd w:val="clear" w:color="auto" w:fill="auto"/>
            <w:vAlign w:val="center"/>
          </w:tcPr>
          <w:p w14:paraId="53940471"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707B4A86" w14:textId="77777777" w:rsidR="00CD55F1" w:rsidRDefault="00CD55F1" w:rsidP="00024DD9">
            <w:pPr>
              <w:jc w:val="center"/>
            </w:pPr>
            <w:r>
              <w:rPr>
                <w:rFonts w:ascii="Calibri" w:hAnsi="Calibri" w:cs="Calibri"/>
              </w:rPr>
              <w:t>0</w:t>
            </w:r>
          </w:p>
        </w:tc>
        <w:tc>
          <w:tcPr>
            <w:tcW w:w="666" w:type="dxa"/>
            <w:shd w:val="clear" w:color="auto" w:fill="D9E2F3" w:themeFill="accent1" w:themeFillTint="33"/>
            <w:vAlign w:val="center"/>
          </w:tcPr>
          <w:p w14:paraId="44E6F0F6" w14:textId="77777777" w:rsidR="00CD55F1" w:rsidRPr="00210DD1" w:rsidRDefault="00CD55F1" w:rsidP="00024DD9">
            <w:pPr>
              <w:jc w:val="center"/>
            </w:pPr>
            <w:r>
              <w:rPr>
                <w:rFonts w:ascii="Calibri" w:hAnsi="Calibri" w:cs="Calibri"/>
              </w:rPr>
              <w:t>3-3 = 0</w:t>
            </w:r>
          </w:p>
        </w:tc>
        <w:tc>
          <w:tcPr>
            <w:tcW w:w="698" w:type="dxa"/>
            <w:vAlign w:val="center"/>
          </w:tcPr>
          <w:p w14:paraId="6AB6F7FD" w14:textId="77777777" w:rsidR="00CD55F1" w:rsidRPr="00210DD1" w:rsidRDefault="00CD55F1" w:rsidP="00024DD9">
            <w:pPr>
              <w:jc w:val="center"/>
            </w:pPr>
            <w:r w:rsidRPr="00F60A9B">
              <w:rPr>
                <w:rFonts w:ascii="Calibri" w:hAnsi="Calibri" w:cs="Calibri"/>
              </w:rPr>
              <w:t>0</w:t>
            </w:r>
          </w:p>
        </w:tc>
        <w:tc>
          <w:tcPr>
            <w:tcW w:w="612" w:type="dxa"/>
            <w:vAlign w:val="center"/>
          </w:tcPr>
          <w:p w14:paraId="085490F6" w14:textId="77777777" w:rsidR="00CD55F1" w:rsidRPr="00210DD1" w:rsidRDefault="00CD55F1" w:rsidP="00024DD9">
            <w:pPr>
              <w:jc w:val="center"/>
            </w:pPr>
            <w:r w:rsidRPr="00F60A9B">
              <w:rPr>
                <w:rFonts w:ascii="Calibri" w:hAnsi="Calibri" w:cs="Calibri"/>
              </w:rPr>
              <w:t>0</w:t>
            </w:r>
          </w:p>
        </w:tc>
        <w:tc>
          <w:tcPr>
            <w:tcW w:w="939" w:type="dxa"/>
            <w:vAlign w:val="center"/>
          </w:tcPr>
          <w:p w14:paraId="2F49DDFF" w14:textId="77777777" w:rsidR="00CD55F1" w:rsidRDefault="00CD55F1" w:rsidP="00024DD9">
            <w:pPr>
              <w:jc w:val="center"/>
            </w:pPr>
            <w:r w:rsidRPr="00F60A9B">
              <w:rPr>
                <w:rFonts w:ascii="Calibri" w:hAnsi="Calibri" w:cs="Calibri"/>
              </w:rPr>
              <w:t>0</w:t>
            </w:r>
          </w:p>
        </w:tc>
      </w:tr>
      <w:tr w:rsidR="00CD55F1" w:rsidRPr="00F60A9B" w14:paraId="62302AA4" w14:textId="77777777" w:rsidTr="00024DD9">
        <w:trPr>
          <w:jc w:val="center"/>
        </w:trPr>
        <w:tc>
          <w:tcPr>
            <w:tcW w:w="884" w:type="dxa"/>
            <w:tcBorders>
              <w:right w:val="single" w:sz="12" w:space="0" w:color="auto"/>
            </w:tcBorders>
          </w:tcPr>
          <w:p w14:paraId="1C89D6A0"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6EFB781C" w14:textId="77777777" w:rsidR="00CD55F1" w:rsidRPr="00F60A9B" w:rsidRDefault="00CD55F1" w:rsidP="00024DD9">
            <w:pPr>
              <w:jc w:val="center"/>
            </w:pPr>
            <w:r>
              <w:t>0</w:t>
            </w:r>
          </w:p>
        </w:tc>
        <w:tc>
          <w:tcPr>
            <w:tcW w:w="668" w:type="dxa"/>
            <w:shd w:val="clear" w:color="auto" w:fill="auto"/>
            <w:vAlign w:val="center"/>
          </w:tcPr>
          <w:p w14:paraId="403BCF05"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5181CE9A" w14:textId="77777777" w:rsidR="00CD55F1" w:rsidRPr="00210DD1" w:rsidRDefault="00CD55F1" w:rsidP="00024DD9">
            <w:pPr>
              <w:jc w:val="center"/>
            </w:pPr>
            <w:r>
              <w:rPr>
                <w:rFonts w:ascii="Calibri" w:hAnsi="Calibri" w:cs="Calibri"/>
              </w:rPr>
              <w:t>2</w:t>
            </w:r>
          </w:p>
        </w:tc>
        <w:tc>
          <w:tcPr>
            <w:tcW w:w="628" w:type="dxa"/>
            <w:shd w:val="clear" w:color="auto" w:fill="auto"/>
            <w:vAlign w:val="center"/>
          </w:tcPr>
          <w:p w14:paraId="7BDFD756"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555505F0"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39D1A03B"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39FCBB52" w14:textId="77777777" w:rsidR="00CD55F1" w:rsidRDefault="00CD55F1" w:rsidP="00024DD9">
            <w:pPr>
              <w:jc w:val="center"/>
            </w:pPr>
            <w:r w:rsidRPr="005B7BEE">
              <w:rPr>
                <w:sz w:val="14"/>
                <w:szCs w:val="14"/>
              </w:rPr>
              <w:t>Probable</w:t>
            </w:r>
          </w:p>
        </w:tc>
        <w:tc>
          <w:tcPr>
            <w:tcW w:w="783" w:type="dxa"/>
            <w:shd w:val="clear" w:color="auto" w:fill="auto"/>
            <w:vAlign w:val="center"/>
          </w:tcPr>
          <w:p w14:paraId="2FAB01FF" w14:textId="77777777" w:rsidR="00CD55F1" w:rsidRDefault="00CD55F1" w:rsidP="00024DD9">
            <w:pPr>
              <w:jc w:val="center"/>
            </w:pPr>
            <w:r>
              <w:rPr>
                <w:rFonts w:ascii="Calibri" w:hAnsi="Calibri" w:cs="Calibri"/>
              </w:rPr>
              <w:t>1</w:t>
            </w:r>
          </w:p>
        </w:tc>
        <w:tc>
          <w:tcPr>
            <w:tcW w:w="666" w:type="dxa"/>
            <w:shd w:val="clear" w:color="auto" w:fill="auto"/>
            <w:vAlign w:val="center"/>
          </w:tcPr>
          <w:p w14:paraId="4E7858DF" w14:textId="77777777" w:rsidR="00CD55F1" w:rsidRDefault="00CD55F1" w:rsidP="00024DD9">
            <w:pPr>
              <w:jc w:val="center"/>
            </w:pPr>
            <w:r>
              <w:rPr>
                <w:rFonts w:ascii="Calibri" w:hAnsi="Calibri" w:cs="Calibri"/>
              </w:rPr>
              <w:t>1</w:t>
            </w:r>
          </w:p>
        </w:tc>
        <w:tc>
          <w:tcPr>
            <w:tcW w:w="698" w:type="dxa"/>
            <w:shd w:val="clear" w:color="auto" w:fill="auto"/>
            <w:vAlign w:val="center"/>
          </w:tcPr>
          <w:p w14:paraId="79F6368E" w14:textId="77777777" w:rsidR="00CD55F1" w:rsidRDefault="00CD55F1" w:rsidP="00024DD9">
            <w:pPr>
              <w:jc w:val="center"/>
            </w:pPr>
            <w:r>
              <w:rPr>
                <w:rFonts w:ascii="Calibri" w:hAnsi="Calibri" w:cs="Calibri"/>
              </w:rPr>
              <w:t>0</w:t>
            </w:r>
          </w:p>
        </w:tc>
        <w:tc>
          <w:tcPr>
            <w:tcW w:w="612" w:type="dxa"/>
            <w:shd w:val="clear" w:color="auto" w:fill="auto"/>
            <w:vAlign w:val="center"/>
          </w:tcPr>
          <w:p w14:paraId="7597D3BA" w14:textId="77777777" w:rsidR="00CD55F1" w:rsidRDefault="00CD55F1" w:rsidP="00024DD9">
            <w:pPr>
              <w:jc w:val="center"/>
            </w:pPr>
            <w:r>
              <w:rPr>
                <w:rFonts w:ascii="Calibri" w:hAnsi="Calibri" w:cs="Calibri"/>
              </w:rPr>
              <w:t>0</w:t>
            </w:r>
          </w:p>
        </w:tc>
        <w:tc>
          <w:tcPr>
            <w:tcW w:w="939" w:type="dxa"/>
            <w:vAlign w:val="center"/>
          </w:tcPr>
          <w:p w14:paraId="5CA2875F" w14:textId="77777777" w:rsidR="00CD55F1" w:rsidRDefault="00CD55F1" w:rsidP="00024DD9">
            <w:pPr>
              <w:jc w:val="center"/>
            </w:pPr>
            <w:r w:rsidRPr="00F60A9B">
              <w:rPr>
                <w:rFonts w:ascii="Calibri" w:hAnsi="Calibri" w:cs="Calibri"/>
              </w:rPr>
              <w:t>0</w:t>
            </w:r>
          </w:p>
        </w:tc>
      </w:tr>
      <w:tr w:rsidR="00CD55F1" w:rsidRPr="00F60A9B" w14:paraId="11BAF4A0" w14:textId="77777777" w:rsidTr="00024DD9">
        <w:trPr>
          <w:jc w:val="center"/>
        </w:trPr>
        <w:tc>
          <w:tcPr>
            <w:tcW w:w="884" w:type="dxa"/>
            <w:tcBorders>
              <w:right w:val="single" w:sz="12" w:space="0" w:color="auto"/>
            </w:tcBorders>
          </w:tcPr>
          <w:p w14:paraId="6CE0BB54"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047F78FC"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29510B94"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2535F0CD"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163BF9E" w14:textId="77777777" w:rsidR="00CD55F1" w:rsidRPr="00210DD1" w:rsidRDefault="00CD55F1" w:rsidP="00024DD9">
            <w:pPr>
              <w:jc w:val="center"/>
            </w:pPr>
            <w:r>
              <w:t>2</w:t>
            </w:r>
          </w:p>
        </w:tc>
        <w:tc>
          <w:tcPr>
            <w:tcW w:w="939" w:type="dxa"/>
            <w:shd w:val="clear" w:color="auto" w:fill="auto"/>
            <w:vAlign w:val="center"/>
          </w:tcPr>
          <w:p w14:paraId="0ABACD65"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3B6649A0" w14:textId="77777777" w:rsidR="00CD55F1" w:rsidRDefault="00CD55F1" w:rsidP="00024DD9">
            <w:pPr>
              <w:jc w:val="center"/>
            </w:pPr>
          </w:p>
        </w:tc>
        <w:tc>
          <w:tcPr>
            <w:tcW w:w="883" w:type="dxa"/>
            <w:shd w:val="clear" w:color="auto" w:fill="auto"/>
            <w:vAlign w:val="center"/>
          </w:tcPr>
          <w:p w14:paraId="5E233FDD" w14:textId="77777777" w:rsidR="00CD55F1" w:rsidRDefault="00CD55F1" w:rsidP="00024DD9">
            <w:pPr>
              <w:jc w:val="center"/>
            </w:pPr>
            <w:r w:rsidRPr="005B7BEE">
              <w:rPr>
                <w:sz w:val="14"/>
                <w:szCs w:val="14"/>
              </w:rPr>
              <w:t>Occasional</w:t>
            </w:r>
          </w:p>
        </w:tc>
        <w:tc>
          <w:tcPr>
            <w:tcW w:w="783" w:type="dxa"/>
            <w:shd w:val="clear" w:color="auto" w:fill="auto"/>
            <w:vAlign w:val="center"/>
          </w:tcPr>
          <w:p w14:paraId="0955D8BB" w14:textId="77777777" w:rsidR="00CD55F1" w:rsidRDefault="00CD55F1" w:rsidP="00024DD9">
            <w:pPr>
              <w:jc w:val="center"/>
            </w:pPr>
            <w:r>
              <w:rPr>
                <w:rFonts w:ascii="Calibri" w:hAnsi="Calibri" w:cs="Calibri"/>
              </w:rPr>
              <w:t>1</w:t>
            </w:r>
          </w:p>
        </w:tc>
        <w:tc>
          <w:tcPr>
            <w:tcW w:w="666" w:type="dxa"/>
            <w:shd w:val="clear" w:color="auto" w:fill="auto"/>
            <w:vAlign w:val="center"/>
          </w:tcPr>
          <w:p w14:paraId="3D683070" w14:textId="77777777" w:rsidR="00CD55F1" w:rsidRDefault="00CD55F1" w:rsidP="00024DD9">
            <w:pPr>
              <w:jc w:val="center"/>
            </w:pPr>
            <w:r>
              <w:rPr>
                <w:rFonts w:ascii="Calibri" w:hAnsi="Calibri" w:cs="Calibri"/>
              </w:rPr>
              <w:t>0</w:t>
            </w:r>
          </w:p>
        </w:tc>
        <w:tc>
          <w:tcPr>
            <w:tcW w:w="698" w:type="dxa"/>
            <w:vAlign w:val="center"/>
          </w:tcPr>
          <w:p w14:paraId="6116FC7F" w14:textId="77777777" w:rsidR="00CD55F1" w:rsidRDefault="00CD55F1" w:rsidP="00024DD9">
            <w:pPr>
              <w:jc w:val="center"/>
            </w:pPr>
            <w:r>
              <w:rPr>
                <w:rFonts w:ascii="Calibri" w:hAnsi="Calibri" w:cs="Calibri"/>
              </w:rPr>
              <w:t>0</w:t>
            </w:r>
          </w:p>
        </w:tc>
        <w:tc>
          <w:tcPr>
            <w:tcW w:w="612" w:type="dxa"/>
            <w:vAlign w:val="center"/>
          </w:tcPr>
          <w:p w14:paraId="49E17CBD" w14:textId="77777777" w:rsidR="00CD55F1" w:rsidRDefault="00CD55F1" w:rsidP="00024DD9">
            <w:pPr>
              <w:jc w:val="center"/>
            </w:pPr>
            <w:r>
              <w:rPr>
                <w:rFonts w:ascii="Calibri" w:hAnsi="Calibri" w:cs="Calibri"/>
              </w:rPr>
              <w:t>0</w:t>
            </w:r>
          </w:p>
        </w:tc>
        <w:tc>
          <w:tcPr>
            <w:tcW w:w="939" w:type="dxa"/>
            <w:shd w:val="clear" w:color="auto" w:fill="auto"/>
            <w:vAlign w:val="center"/>
          </w:tcPr>
          <w:p w14:paraId="6A7B2803" w14:textId="77777777" w:rsidR="00CD55F1" w:rsidRDefault="00CD55F1" w:rsidP="00024DD9">
            <w:pPr>
              <w:jc w:val="center"/>
            </w:pPr>
            <w:r>
              <w:rPr>
                <w:rFonts w:ascii="Calibri" w:hAnsi="Calibri" w:cs="Calibri"/>
              </w:rPr>
              <w:t>0</w:t>
            </w:r>
          </w:p>
        </w:tc>
      </w:tr>
      <w:tr w:rsidR="00CD55F1" w:rsidRPr="00F60A9B" w14:paraId="6E482D1F" w14:textId="77777777" w:rsidTr="00024DD9">
        <w:trPr>
          <w:jc w:val="center"/>
        </w:trPr>
        <w:tc>
          <w:tcPr>
            <w:tcW w:w="884" w:type="dxa"/>
            <w:tcBorders>
              <w:right w:val="single" w:sz="12" w:space="0" w:color="auto"/>
            </w:tcBorders>
          </w:tcPr>
          <w:p w14:paraId="4C47696D"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6AA4697D" w14:textId="77777777" w:rsidR="00CD55F1" w:rsidRPr="00F60A9B" w:rsidRDefault="00CD55F1" w:rsidP="00024DD9">
            <w:pPr>
              <w:jc w:val="center"/>
            </w:pPr>
            <w:r>
              <w:rPr>
                <w:rFonts w:ascii="Calibri" w:hAnsi="Calibri" w:cs="Calibri"/>
              </w:rPr>
              <w:t>3</w:t>
            </w:r>
          </w:p>
        </w:tc>
        <w:tc>
          <w:tcPr>
            <w:tcW w:w="668" w:type="dxa"/>
            <w:vAlign w:val="center"/>
          </w:tcPr>
          <w:p w14:paraId="406FDA05"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E0BC417"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46E6AC4"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5B02B4D2"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11DFD168" w14:textId="77777777" w:rsidR="00CD55F1" w:rsidRDefault="00CD55F1" w:rsidP="00024DD9">
            <w:pPr>
              <w:jc w:val="center"/>
            </w:pPr>
          </w:p>
        </w:tc>
        <w:tc>
          <w:tcPr>
            <w:tcW w:w="883" w:type="dxa"/>
            <w:shd w:val="clear" w:color="auto" w:fill="auto"/>
            <w:vAlign w:val="center"/>
          </w:tcPr>
          <w:p w14:paraId="52713296" w14:textId="77777777" w:rsidR="00CD55F1" w:rsidRDefault="00CD55F1" w:rsidP="00024DD9">
            <w:pPr>
              <w:jc w:val="center"/>
            </w:pPr>
            <w:r w:rsidRPr="005B7BEE">
              <w:rPr>
                <w:sz w:val="14"/>
                <w:szCs w:val="14"/>
              </w:rPr>
              <w:t>Remote</w:t>
            </w:r>
          </w:p>
        </w:tc>
        <w:tc>
          <w:tcPr>
            <w:tcW w:w="783" w:type="dxa"/>
            <w:shd w:val="clear" w:color="auto" w:fill="auto"/>
            <w:vAlign w:val="center"/>
          </w:tcPr>
          <w:p w14:paraId="5BAE79FC" w14:textId="77777777" w:rsidR="00CD55F1" w:rsidRDefault="00CD55F1" w:rsidP="00024DD9">
            <w:pPr>
              <w:jc w:val="center"/>
            </w:pPr>
            <w:r>
              <w:rPr>
                <w:rFonts w:ascii="Calibri" w:hAnsi="Calibri" w:cs="Calibri"/>
              </w:rPr>
              <w:t>0</w:t>
            </w:r>
          </w:p>
        </w:tc>
        <w:tc>
          <w:tcPr>
            <w:tcW w:w="666" w:type="dxa"/>
            <w:shd w:val="clear" w:color="auto" w:fill="auto"/>
            <w:vAlign w:val="center"/>
          </w:tcPr>
          <w:p w14:paraId="4F8A9C0D" w14:textId="77777777" w:rsidR="00CD55F1" w:rsidRDefault="00CD55F1" w:rsidP="00024DD9">
            <w:pPr>
              <w:jc w:val="center"/>
            </w:pPr>
            <w:r>
              <w:rPr>
                <w:rFonts w:ascii="Calibri" w:hAnsi="Calibri" w:cs="Calibri"/>
              </w:rPr>
              <w:t>2</w:t>
            </w:r>
          </w:p>
        </w:tc>
        <w:tc>
          <w:tcPr>
            <w:tcW w:w="698" w:type="dxa"/>
            <w:shd w:val="clear" w:color="auto" w:fill="auto"/>
            <w:vAlign w:val="center"/>
          </w:tcPr>
          <w:p w14:paraId="139180F5" w14:textId="77777777" w:rsidR="00CD55F1" w:rsidRDefault="00CD55F1" w:rsidP="00024DD9">
            <w:pPr>
              <w:jc w:val="center"/>
            </w:pPr>
            <w:r>
              <w:rPr>
                <w:rFonts w:ascii="Calibri" w:hAnsi="Calibri" w:cs="Calibri"/>
              </w:rPr>
              <w:t>0</w:t>
            </w:r>
          </w:p>
        </w:tc>
        <w:tc>
          <w:tcPr>
            <w:tcW w:w="612" w:type="dxa"/>
            <w:shd w:val="clear" w:color="auto" w:fill="auto"/>
            <w:vAlign w:val="center"/>
          </w:tcPr>
          <w:p w14:paraId="500CEF80" w14:textId="77777777" w:rsidR="00CD55F1" w:rsidRDefault="00CD55F1" w:rsidP="00024DD9">
            <w:pPr>
              <w:jc w:val="center"/>
            </w:pPr>
            <w:r>
              <w:rPr>
                <w:rFonts w:ascii="Calibri" w:hAnsi="Calibri" w:cs="Calibri"/>
              </w:rPr>
              <w:t>0</w:t>
            </w:r>
          </w:p>
        </w:tc>
        <w:tc>
          <w:tcPr>
            <w:tcW w:w="939" w:type="dxa"/>
            <w:shd w:val="clear" w:color="auto" w:fill="auto"/>
            <w:vAlign w:val="center"/>
          </w:tcPr>
          <w:p w14:paraId="1B4CD9B1" w14:textId="77777777" w:rsidR="00CD55F1" w:rsidRDefault="00CD55F1" w:rsidP="00024DD9">
            <w:pPr>
              <w:jc w:val="center"/>
            </w:pPr>
            <w:r>
              <w:rPr>
                <w:rFonts w:ascii="Calibri" w:hAnsi="Calibri" w:cs="Calibri"/>
              </w:rPr>
              <w:t>0</w:t>
            </w:r>
          </w:p>
        </w:tc>
      </w:tr>
      <w:tr w:rsidR="00CD55F1" w:rsidRPr="00F60A9B" w14:paraId="7D2A430C" w14:textId="77777777" w:rsidTr="00024DD9">
        <w:trPr>
          <w:jc w:val="center"/>
        </w:trPr>
        <w:tc>
          <w:tcPr>
            <w:tcW w:w="884" w:type="dxa"/>
            <w:tcBorders>
              <w:right w:val="single" w:sz="12" w:space="0" w:color="auto"/>
            </w:tcBorders>
          </w:tcPr>
          <w:p w14:paraId="61F7E596"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7E2F97E9" w14:textId="77777777" w:rsidR="00CD55F1" w:rsidRPr="00F60A9B" w:rsidRDefault="00CD55F1" w:rsidP="00024DD9">
            <w:pPr>
              <w:jc w:val="center"/>
            </w:pPr>
            <w:r>
              <w:rPr>
                <w:rFonts w:ascii="Calibri" w:hAnsi="Calibri" w:cs="Calibri"/>
              </w:rPr>
              <w:t>0</w:t>
            </w:r>
          </w:p>
        </w:tc>
        <w:tc>
          <w:tcPr>
            <w:tcW w:w="668" w:type="dxa"/>
            <w:vAlign w:val="center"/>
          </w:tcPr>
          <w:p w14:paraId="02E3BF7B"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63592A5"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047B04B"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5942EA76"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77299A11" w14:textId="77777777" w:rsidR="00CD55F1" w:rsidRDefault="00CD55F1" w:rsidP="00024DD9">
            <w:pPr>
              <w:keepNext/>
              <w:jc w:val="center"/>
            </w:pPr>
          </w:p>
        </w:tc>
        <w:tc>
          <w:tcPr>
            <w:tcW w:w="883" w:type="dxa"/>
            <w:vAlign w:val="center"/>
          </w:tcPr>
          <w:p w14:paraId="1208674E" w14:textId="77777777" w:rsidR="00CD55F1" w:rsidRDefault="00CD55F1" w:rsidP="00024DD9">
            <w:pPr>
              <w:keepNext/>
              <w:jc w:val="center"/>
            </w:pPr>
            <w:r w:rsidRPr="005B7BEE">
              <w:rPr>
                <w:sz w:val="14"/>
                <w:szCs w:val="14"/>
              </w:rPr>
              <w:t>Improbable</w:t>
            </w:r>
          </w:p>
        </w:tc>
        <w:tc>
          <w:tcPr>
            <w:tcW w:w="783" w:type="dxa"/>
            <w:vAlign w:val="center"/>
          </w:tcPr>
          <w:p w14:paraId="676FC8D1" w14:textId="77777777" w:rsidR="00CD55F1" w:rsidRDefault="00CD55F1" w:rsidP="00024DD9">
            <w:pPr>
              <w:keepNext/>
              <w:jc w:val="center"/>
            </w:pPr>
            <w:r>
              <w:rPr>
                <w:rFonts w:ascii="Calibri" w:hAnsi="Calibri" w:cs="Calibri"/>
              </w:rPr>
              <w:t>0</w:t>
            </w:r>
          </w:p>
        </w:tc>
        <w:tc>
          <w:tcPr>
            <w:tcW w:w="666" w:type="dxa"/>
            <w:vAlign w:val="center"/>
          </w:tcPr>
          <w:p w14:paraId="4677DD95" w14:textId="77777777" w:rsidR="00CD55F1" w:rsidRDefault="00CD55F1" w:rsidP="00024DD9">
            <w:pPr>
              <w:keepNext/>
              <w:jc w:val="center"/>
            </w:pPr>
            <w:r>
              <w:rPr>
                <w:rFonts w:ascii="Calibri" w:hAnsi="Calibri" w:cs="Calibri"/>
              </w:rPr>
              <w:t>1</w:t>
            </w:r>
          </w:p>
        </w:tc>
        <w:tc>
          <w:tcPr>
            <w:tcW w:w="698" w:type="dxa"/>
            <w:vAlign w:val="center"/>
          </w:tcPr>
          <w:p w14:paraId="7F7C66EE"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6285B571" w14:textId="77777777" w:rsidR="00CD55F1" w:rsidRDefault="00CD55F1" w:rsidP="00024DD9">
            <w:pPr>
              <w:keepNext/>
              <w:jc w:val="center"/>
            </w:pPr>
            <w:r>
              <w:rPr>
                <w:rFonts w:ascii="Calibri" w:hAnsi="Calibri" w:cs="Calibri"/>
              </w:rPr>
              <w:t>0</w:t>
            </w:r>
          </w:p>
        </w:tc>
        <w:tc>
          <w:tcPr>
            <w:tcW w:w="939" w:type="dxa"/>
            <w:vAlign w:val="center"/>
          </w:tcPr>
          <w:p w14:paraId="3E8E88FE" w14:textId="77777777" w:rsidR="00CD55F1" w:rsidRDefault="00CD55F1" w:rsidP="00024DD9">
            <w:pPr>
              <w:keepNext/>
              <w:jc w:val="center"/>
            </w:pPr>
            <w:r w:rsidRPr="00F60A9B">
              <w:rPr>
                <w:rFonts w:ascii="Calibri" w:hAnsi="Calibri" w:cs="Calibri"/>
              </w:rPr>
              <w:t>0</w:t>
            </w:r>
          </w:p>
        </w:tc>
      </w:tr>
    </w:tbl>
    <w:p w14:paraId="595B2E33" w14:textId="755D2A82" w:rsidR="00CD55F1" w:rsidRDefault="00CD55F1" w:rsidP="00CD55F1">
      <w:pPr>
        <w:spacing w:before="160"/>
      </w:pPr>
      <w:r>
        <w:t xml:space="preserve">Looking at the previous equation, you may note there are 2 ‘Probable-Serious/Major’ risks on the left-hand side and 1 “Probable-Minor” risk and 1 ‘Probable-Negligible’ risk on the right-hand side.  Since the probabilities are the same and a ‘Serious/Major’ risk is larger than either a ‘Minor’ risk or a ‘Negligible’ risk, and since the larger risks are on the left-hand side of </w:t>
      </w:r>
      <w:r>
        <w:fldChar w:fldCharType="begin"/>
      </w:r>
      <w:r>
        <w:instrText xml:space="preserve"> REF _Ref147836117 \h </w:instrText>
      </w:r>
      <w:r>
        <w:fldChar w:fldCharType="separate"/>
      </w:r>
      <w:r w:rsidR="001E41EA">
        <w:t xml:space="preserve">Equation </w:t>
      </w:r>
      <w:r w:rsidR="001E41EA">
        <w:rPr>
          <w:noProof/>
        </w:rPr>
        <w:t>20</w:t>
      </w:r>
      <w:r>
        <w:fldChar w:fldCharType="end"/>
      </w:r>
      <w:r>
        <w:t xml:space="preserve">, then the conditions for </w:t>
      </w:r>
      <w:r w:rsidR="0036794A">
        <w:fldChar w:fldCharType="begin"/>
      </w:r>
      <w:r w:rsidR="0036794A">
        <w:instrText xml:space="preserve"> REF _Ref151368057 \h </w:instrText>
      </w:r>
      <w:r w:rsidR="0036794A">
        <w:fldChar w:fldCharType="separate"/>
      </w:r>
      <w:r w:rsidR="0036794A" w:rsidRPr="00646086">
        <w:rPr>
          <w:rFonts w:eastAsia="TimesNewRomanPSMT" w:cs="TimesNewRomanPSMT"/>
          <w:b/>
          <w:color w:val="000000"/>
          <w:u w:val="single"/>
        </w:rPr>
        <w:t>Removing Unequal Risks</w:t>
      </w:r>
      <w:r w:rsidR="0036794A">
        <w:fldChar w:fldCharType="end"/>
      </w:r>
      <w:r>
        <w:t xml:space="preserve"> are met and we can simplify </w:t>
      </w:r>
      <w:r>
        <w:fldChar w:fldCharType="begin"/>
      </w:r>
      <w:r>
        <w:instrText xml:space="preserve"> REF _Ref147836117 \h </w:instrText>
      </w:r>
      <w:r>
        <w:fldChar w:fldCharType="separate"/>
      </w:r>
      <w:r w:rsidR="001E41EA">
        <w:t xml:space="preserve">Equation </w:t>
      </w:r>
      <w:r w:rsidR="001E41EA">
        <w:rPr>
          <w:noProof/>
        </w:rPr>
        <w:t>20</w:t>
      </w:r>
      <w:r>
        <w:fldChar w:fldCharType="end"/>
      </w:r>
      <w:r>
        <w:t xml:space="preserve"> as follows:</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240B9CF5" w14:textId="77777777" w:rsidTr="00024DD9">
        <w:trPr>
          <w:tblHeader/>
          <w:jc w:val="center"/>
        </w:trPr>
        <w:tc>
          <w:tcPr>
            <w:tcW w:w="884" w:type="dxa"/>
            <w:tcBorders>
              <w:top w:val="nil"/>
              <w:left w:val="nil"/>
              <w:bottom w:val="single" w:sz="4" w:space="0" w:color="auto"/>
            </w:tcBorders>
            <w:vAlign w:val="center"/>
          </w:tcPr>
          <w:p w14:paraId="1A084AB3"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4B266548"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1B085419"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298F0DDD"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70139566"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3A575A26" w14:textId="77777777" w:rsidR="00CD55F1" w:rsidRPr="005B7BEE" w:rsidRDefault="00CD55F1" w:rsidP="00024DD9">
            <w:pPr>
              <w:jc w:val="center"/>
              <w:rPr>
                <w:sz w:val="14"/>
                <w:szCs w:val="14"/>
              </w:rPr>
            </w:pPr>
            <w:r w:rsidRPr="005B7BEE">
              <w:rPr>
                <w:sz w:val="14"/>
                <w:szCs w:val="14"/>
              </w:rPr>
              <w:t xml:space="preserve">Catastrophic </w:t>
            </w:r>
          </w:p>
          <w:p w14:paraId="442A3374"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2204C634"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2C34834C"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759DBC3E"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3F4B9B39"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528EA78F"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45BEE839"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47DFB34A" w14:textId="77777777" w:rsidR="00CD55F1" w:rsidRPr="005B7BEE" w:rsidRDefault="00CD55F1" w:rsidP="00024DD9">
            <w:pPr>
              <w:jc w:val="center"/>
              <w:rPr>
                <w:sz w:val="14"/>
                <w:szCs w:val="14"/>
              </w:rPr>
            </w:pPr>
            <w:r w:rsidRPr="005B7BEE">
              <w:rPr>
                <w:sz w:val="14"/>
                <w:szCs w:val="14"/>
              </w:rPr>
              <w:t xml:space="preserve">Catastrophic </w:t>
            </w:r>
          </w:p>
          <w:p w14:paraId="6BEDFCE4"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16F63E8B" w14:textId="77777777" w:rsidTr="00024DD9">
        <w:trPr>
          <w:jc w:val="center"/>
        </w:trPr>
        <w:tc>
          <w:tcPr>
            <w:tcW w:w="884" w:type="dxa"/>
            <w:tcBorders>
              <w:top w:val="single" w:sz="4" w:space="0" w:color="auto"/>
              <w:right w:val="single" w:sz="12" w:space="0" w:color="auto"/>
            </w:tcBorders>
          </w:tcPr>
          <w:p w14:paraId="6C912CA8"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186B1814" w14:textId="77777777" w:rsidR="00CD55F1" w:rsidRPr="00F60A9B" w:rsidRDefault="00CD55F1" w:rsidP="00024DD9">
            <w:pPr>
              <w:jc w:val="center"/>
            </w:pPr>
            <w:r>
              <w:t>0</w:t>
            </w:r>
          </w:p>
        </w:tc>
        <w:tc>
          <w:tcPr>
            <w:tcW w:w="668" w:type="dxa"/>
            <w:tcBorders>
              <w:top w:val="single" w:sz="12" w:space="0" w:color="auto"/>
            </w:tcBorders>
            <w:vAlign w:val="center"/>
          </w:tcPr>
          <w:p w14:paraId="5F87723C" w14:textId="77777777" w:rsidR="00CD55F1" w:rsidRPr="00210DD1" w:rsidRDefault="00CD55F1" w:rsidP="00024DD9">
            <w:pPr>
              <w:jc w:val="center"/>
            </w:pPr>
            <w:r>
              <w:t>0</w:t>
            </w:r>
          </w:p>
        </w:tc>
        <w:tc>
          <w:tcPr>
            <w:tcW w:w="680" w:type="dxa"/>
            <w:tcBorders>
              <w:top w:val="single" w:sz="12" w:space="0" w:color="auto"/>
            </w:tcBorders>
            <w:vAlign w:val="center"/>
          </w:tcPr>
          <w:p w14:paraId="6A363FC3" w14:textId="77777777" w:rsidR="00CD55F1" w:rsidRPr="00210DD1" w:rsidRDefault="00CD55F1" w:rsidP="00024DD9">
            <w:pPr>
              <w:jc w:val="center"/>
            </w:pPr>
            <w:r>
              <w:t>0</w:t>
            </w:r>
          </w:p>
        </w:tc>
        <w:tc>
          <w:tcPr>
            <w:tcW w:w="628" w:type="dxa"/>
            <w:tcBorders>
              <w:top w:val="single" w:sz="12" w:space="0" w:color="auto"/>
            </w:tcBorders>
            <w:vAlign w:val="center"/>
          </w:tcPr>
          <w:p w14:paraId="3E38FF1F" w14:textId="77777777" w:rsidR="00CD55F1" w:rsidRPr="00210DD1" w:rsidRDefault="00CD55F1" w:rsidP="00024DD9">
            <w:pPr>
              <w:jc w:val="center"/>
            </w:pPr>
            <w:r>
              <w:t>0</w:t>
            </w:r>
          </w:p>
        </w:tc>
        <w:tc>
          <w:tcPr>
            <w:tcW w:w="939" w:type="dxa"/>
            <w:tcBorders>
              <w:top w:val="single" w:sz="12" w:space="0" w:color="auto"/>
            </w:tcBorders>
            <w:vAlign w:val="center"/>
          </w:tcPr>
          <w:p w14:paraId="2BA01597" w14:textId="77777777" w:rsidR="00CD55F1" w:rsidRPr="00F60A9B" w:rsidRDefault="00CD55F1" w:rsidP="00024DD9">
            <w:pPr>
              <w:jc w:val="center"/>
            </w:pPr>
            <w:r>
              <w:t>0</w:t>
            </w:r>
          </w:p>
        </w:tc>
        <w:tc>
          <w:tcPr>
            <w:tcW w:w="287" w:type="dxa"/>
            <w:tcBorders>
              <w:top w:val="nil"/>
              <w:left w:val="nil"/>
              <w:bottom w:val="nil"/>
              <w:right w:val="nil"/>
            </w:tcBorders>
            <w:vAlign w:val="center"/>
          </w:tcPr>
          <w:p w14:paraId="376906B7" w14:textId="77777777" w:rsidR="00CD55F1" w:rsidRDefault="00CD55F1" w:rsidP="00024DD9">
            <w:pPr>
              <w:jc w:val="center"/>
            </w:pPr>
          </w:p>
        </w:tc>
        <w:tc>
          <w:tcPr>
            <w:tcW w:w="883" w:type="dxa"/>
            <w:tcBorders>
              <w:top w:val="single" w:sz="12" w:space="0" w:color="auto"/>
            </w:tcBorders>
            <w:vAlign w:val="center"/>
          </w:tcPr>
          <w:p w14:paraId="5333718C"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7797E43E" w14:textId="77777777" w:rsidR="00CD55F1" w:rsidRDefault="00CD55F1" w:rsidP="00024DD9">
            <w:pPr>
              <w:jc w:val="center"/>
            </w:pPr>
            <w:r>
              <w:t>0</w:t>
            </w:r>
          </w:p>
        </w:tc>
        <w:tc>
          <w:tcPr>
            <w:tcW w:w="666" w:type="dxa"/>
            <w:tcBorders>
              <w:top w:val="single" w:sz="12" w:space="0" w:color="auto"/>
            </w:tcBorders>
            <w:vAlign w:val="center"/>
          </w:tcPr>
          <w:p w14:paraId="191C1D4E" w14:textId="77777777" w:rsidR="00CD55F1" w:rsidRDefault="00CD55F1" w:rsidP="00024DD9">
            <w:pPr>
              <w:jc w:val="center"/>
            </w:pPr>
            <w:r>
              <w:t>0</w:t>
            </w:r>
          </w:p>
        </w:tc>
        <w:tc>
          <w:tcPr>
            <w:tcW w:w="698" w:type="dxa"/>
            <w:tcBorders>
              <w:top w:val="single" w:sz="12" w:space="0" w:color="auto"/>
            </w:tcBorders>
            <w:vAlign w:val="center"/>
          </w:tcPr>
          <w:p w14:paraId="669CF9B3" w14:textId="77777777" w:rsidR="00CD55F1" w:rsidRDefault="00CD55F1" w:rsidP="00024DD9">
            <w:pPr>
              <w:jc w:val="center"/>
            </w:pPr>
            <w:r>
              <w:t>0</w:t>
            </w:r>
          </w:p>
        </w:tc>
        <w:tc>
          <w:tcPr>
            <w:tcW w:w="612" w:type="dxa"/>
            <w:tcBorders>
              <w:top w:val="single" w:sz="12" w:space="0" w:color="auto"/>
            </w:tcBorders>
            <w:vAlign w:val="center"/>
          </w:tcPr>
          <w:p w14:paraId="2F2422FE" w14:textId="77777777" w:rsidR="00CD55F1" w:rsidRDefault="00CD55F1" w:rsidP="00024DD9">
            <w:pPr>
              <w:jc w:val="center"/>
            </w:pPr>
            <w:r>
              <w:t>0</w:t>
            </w:r>
          </w:p>
        </w:tc>
        <w:tc>
          <w:tcPr>
            <w:tcW w:w="939" w:type="dxa"/>
            <w:tcBorders>
              <w:top w:val="single" w:sz="12" w:space="0" w:color="auto"/>
            </w:tcBorders>
            <w:vAlign w:val="center"/>
          </w:tcPr>
          <w:p w14:paraId="185F3162" w14:textId="77777777" w:rsidR="00CD55F1" w:rsidRDefault="00CD55F1" w:rsidP="00024DD9">
            <w:pPr>
              <w:jc w:val="center"/>
            </w:pPr>
            <w:r>
              <w:t>0</w:t>
            </w:r>
          </w:p>
        </w:tc>
      </w:tr>
      <w:tr w:rsidR="00CD55F1" w:rsidRPr="00F60A9B" w14:paraId="2B9C65E8" w14:textId="77777777" w:rsidTr="00024DD9">
        <w:trPr>
          <w:jc w:val="center"/>
        </w:trPr>
        <w:tc>
          <w:tcPr>
            <w:tcW w:w="884" w:type="dxa"/>
            <w:tcBorders>
              <w:right w:val="single" w:sz="12" w:space="0" w:color="auto"/>
            </w:tcBorders>
          </w:tcPr>
          <w:p w14:paraId="7FCA07F9"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04A0E57B" w14:textId="77777777" w:rsidR="00CD55F1" w:rsidRDefault="00CD55F1" w:rsidP="00024DD9">
            <w:pPr>
              <w:jc w:val="center"/>
            </w:pPr>
            <w:r>
              <w:t>0</w:t>
            </w:r>
          </w:p>
        </w:tc>
        <w:tc>
          <w:tcPr>
            <w:tcW w:w="668" w:type="dxa"/>
            <w:shd w:val="clear" w:color="auto" w:fill="auto"/>
            <w:vAlign w:val="center"/>
          </w:tcPr>
          <w:p w14:paraId="2B904347" w14:textId="77777777" w:rsidR="00CD55F1" w:rsidRPr="00210DD1" w:rsidRDefault="00CD55F1" w:rsidP="00024DD9">
            <w:pPr>
              <w:jc w:val="center"/>
            </w:pPr>
            <w:r>
              <w:t>0</w:t>
            </w:r>
          </w:p>
        </w:tc>
        <w:tc>
          <w:tcPr>
            <w:tcW w:w="680" w:type="dxa"/>
            <w:vAlign w:val="center"/>
          </w:tcPr>
          <w:p w14:paraId="5871B8FB" w14:textId="77777777" w:rsidR="00CD55F1" w:rsidRPr="00210DD1" w:rsidRDefault="00CD55F1" w:rsidP="00024DD9">
            <w:pPr>
              <w:jc w:val="center"/>
            </w:pPr>
            <w:r>
              <w:t>0</w:t>
            </w:r>
          </w:p>
        </w:tc>
        <w:tc>
          <w:tcPr>
            <w:tcW w:w="628" w:type="dxa"/>
            <w:vAlign w:val="center"/>
          </w:tcPr>
          <w:p w14:paraId="1DD26C3F" w14:textId="77777777" w:rsidR="00CD55F1" w:rsidRPr="00210DD1" w:rsidRDefault="00CD55F1" w:rsidP="00024DD9">
            <w:pPr>
              <w:jc w:val="center"/>
            </w:pPr>
            <w:r>
              <w:t>0</w:t>
            </w:r>
          </w:p>
        </w:tc>
        <w:tc>
          <w:tcPr>
            <w:tcW w:w="939" w:type="dxa"/>
            <w:vAlign w:val="center"/>
          </w:tcPr>
          <w:p w14:paraId="2C8F786A" w14:textId="77777777" w:rsidR="00CD55F1" w:rsidRDefault="00CD55F1" w:rsidP="00024DD9">
            <w:pPr>
              <w:jc w:val="center"/>
            </w:pPr>
            <w:r>
              <w:t>0</w:t>
            </w:r>
          </w:p>
        </w:tc>
        <w:tc>
          <w:tcPr>
            <w:tcW w:w="287" w:type="dxa"/>
            <w:tcBorders>
              <w:top w:val="nil"/>
              <w:left w:val="nil"/>
              <w:bottom w:val="nil"/>
              <w:right w:val="nil"/>
            </w:tcBorders>
            <w:vAlign w:val="center"/>
          </w:tcPr>
          <w:p w14:paraId="170B57F2" w14:textId="77777777" w:rsidR="00CD55F1" w:rsidRDefault="00CD55F1" w:rsidP="00024DD9">
            <w:pPr>
              <w:jc w:val="center"/>
            </w:pPr>
          </w:p>
        </w:tc>
        <w:tc>
          <w:tcPr>
            <w:tcW w:w="883" w:type="dxa"/>
            <w:vAlign w:val="center"/>
          </w:tcPr>
          <w:p w14:paraId="2939A5CC" w14:textId="77777777" w:rsidR="00CD55F1" w:rsidRPr="005B7BEE" w:rsidRDefault="00CD55F1" w:rsidP="00024DD9">
            <w:pPr>
              <w:jc w:val="center"/>
              <w:rPr>
                <w:sz w:val="14"/>
                <w:szCs w:val="14"/>
              </w:rPr>
            </w:pPr>
            <w:r>
              <w:rPr>
                <w:sz w:val="14"/>
                <w:szCs w:val="14"/>
              </w:rPr>
              <w:t>Often</w:t>
            </w:r>
          </w:p>
        </w:tc>
        <w:tc>
          <w:tcPr>
            <w:tcW w:w="783" w:type="dxa"/>
            <w:vAlign w:val="center"/>
          </w:tcPr>
          <w:p w14:paraId="239A5682" w14:textId="77777777" w:rsidR="00CD55F1" w:rsidRDefault="00CD55F1" w:rsidP="00024DD9">
            <w:pPr>
              <w:jc w:val="center"/>
            </w:pPr>
            <w:r>
              <w:t>0</w:t>
            </w:r>
          </w:p>
        </w:tc>
        <w:tc>
          <w:tcPr>
            <w:tcW w:w="666" w:type="dxa"/>
            <w:vAlign w:val="center"/>
          </w:tcPr>
          <w:p w14:paraId="72F57312" w14:textId="77777777" w:rsidR="00CD55F1" w:rsidRPr="00210DD1" w:rsidRDefault="00CD55F1" w:rsidP="00024DD9">
            <w:pPr>
              <w:jc w:val="center"/>
            </w:pPr>
            <w:r>
              <w:t>0</w:t>
            </w:r>
          </w:p>
        </w:tc>
        <w:tc>
          <w:tcPr>
            <w:tcW w:w="698" w:type="dxa"/>
            <w:vAlign w:val="center"/>
          </w:tcPr>
          <w:p w14:paraId="4D4C5C12" w14:textId="77777777" w:rsidR="00CD55F1" w:rsidRPr="00210DD1" w:rsidRDefault="00CD55F1" w:rsidP="00024DD9">
            <w:pPr>
              <w:jc w:val="center"/>
            </w:pPr>
            <w:r>
              <w:t>0</w:t>
            </w:r>
          </w:p>
        </w:tc>
        <w:tc>
          <w:tcPr>
            <w:tcW w:w="612" w:type="dxa"/>
            <w:vAlign w:val="center"/>
          </w:tcPr>
          <w:p w14:paraId="0574F2FD" w14:textId="77777777" w:rsidR="00CD55F1" w:rsidRPr="00210DD1" w:rsidRDefault="00CD55F1" w:rsidP="00024DD9">
            <w:pPr>
              <w:jc w:val="center"/>
            </w:pPr>
            <w:r>
              <w:t>0</w:t>
            </w:r>
          </w:p>
        </w:tc>
        <w:tc>
          <w:tcPr>
            <w:tcW w:w="939" w:type="dxa"/>
            <w:vAlign w:val="center"/>
          </w:tcPr>
          <w:p w14:paraId="729A7C38" w14:textId="77777777" w:rsidR="00CD55F1" w:rsidRDefault="00CD55F1" w:rsidP="00024DD9">
            <w:pPr>
              <w:jc w:val="center"/>
            </w:pPr>
            <w:r>
              <w:t>0</w:t>
            </w:r>
          </w:p>
        </w:tc>
      </w:tr>
      <w:tr w:rsidR="00CD55F1" w:rsidRPr="00F60A9B" w14:paraId="6C99F50C" w14:textId="77777777" w:rsidTr="00024DD9">
        <w:trPr>
          <w:jc w:val="center"/>
        </w:trPr>
        <w:tc>
          <w:tcPr>
            <w:tcW w:w="884" w:type="dxa"/>
            <w:tcBorders>
              <w:right w:val="single" w:sz="12" w:space="0" w:color="auto"/>
            </w:tcBorders>
          </w:tcPr>
          <w:p w14:paraId="29FE4EF9"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1C286A32" w14:textId="77777777" w:rsidR="00CD55F1" w:rsidRDefault="00CD55F1" w:rsidP="00024DD9">
            <w:pPr>
              <w:jc w:val="center"/>
            </w:pPr>
            <w:r>
              <w:t>0</w:t>
            </w:r>
          </w:p>
        </w:tc>
        <w:tc>
          <w:tcPr>
            <w:tcW w:w="668" w:type="dxa"/>
            <w:shd w:val="clear" w:color="auto" w:fill="auto"/>
            <w:vAlign w:val="center"/>
          </w:tcPr>
          <w:p w14:paraId="557EBB6E"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9E95ECC"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8E6B146"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152B72F8"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3EE651D6" w14:textId="77777777" w:rsidR="00CD55F1" w:rsidRDefault="00CD55F1" w:rsidP="00024DD9">
            <w:pPr>
              <w:jc w:val="center"/>
            </w:pPr>
          </w:p>
        </w:tc>
        <w:tc>
          <w:tcPr>
            <w:tcW w:w="883" w:type="dxa"/>
            <w:shd w:val="clear" w:color="auto" w:fill="auto"/>
            <w:vAlign w:val="center"/>
          </w:tcPr>
          <w:p w14:paraId="24DE4BFF"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7F163386" w14:textId="77777777" w:rsidR="00CD55F1" w:rsidRDefault="00CD55F1" w:rsidP="00024DD9">
            <w:pPr>
              <w:jc w:val="center"/>
            </w:pPr>
            <w:r>
              <w:rPr>
                <w:rFonts w:ascii="Calibri" w:hAnsi="Calibri" w:cs="Calibri"/>
              </w:rPr>
              <w:t>0</w:t>
            </w:r>
          </w:p>
        </w:tc>
        <w:tc>
          <w:tcPr>
            <w:tcW w:w="666" w:type="dxa"/>
            <w:shd w:val="clear" w:color="auto" w:fill="auto"/>
            <w:vAlign w:val="center"/>
          </w:tcPr>
          <w:p w14:paraId="11C39D3C" w14:textId="77777777" w:rsidR="00CD55F1" w:rsidRPr="00210DD1" w:rsidRDefault="00CD55F1" w:rsidP="00024DD9">
            <w:pPr>
              <w:jc w:val="center"/>
            </w:pPr>
            <w:r>
              <w:rPr>
                <w:rFonts w:ascii="Calibri" w:hAnsi="Calibri" w:cs="Calibri"/>
              </w:rPr>
              <w:t>0</w:t>
            </w:r>
          </w:p>
        </w:tc>
        <w:tc>
          <w:tcPr>
            <w:tcW w:w="698" w:type="dxa"/>
            <w:shd w:val="clear" w:color="auto" w:fill="auto"/>
            <w:vAlign w:val="center"/>
          </w:tcPr>
          <w:p w14:paraId="1873BC86" w14:textId="77777777" w:rsidR="00CD55F1" w:rsidRPr="00210DD1" w:rsidRDefault="00CD55F1" w:rsidP="00024DD9">
            <w:pPr>
              <w:jc w:val="center"/>
            </w:pPr>
            <w:r w:rsidRPr="00F60A9B">
              <w:rPr>
                <w:rFonts w:ascii="Calibri" w:hAnsi="Calibri" w:cs="Calibri"/>
              </w:rPr>
              <w:t>0</w:t>
            </w:r>
          </w:p>
        </w:tc>
        <w:tc>
          <w:tcPr>
            <w:tcW w:w="612" w:type="dxa"/>
            <w:vAlign w:val="center"/>
          </w:tcPr>
          <w:p w14:paraId="2B141D39" w14:textId="77777777" w:rsidR="00CD55F1" w:rsidRPr="00210DD1" w:rsidRDefault="00CD55F1" w:rsidP="00024DD9">
            <w:pPr>
              <w:jc w:val="center"/>
            </w:pPr>
            <w:r w:rsidRPr="00F60A9B">
              <w:rPr>
                <w:rFonts w:ascii="Calibri" w:hAnsi="Calibri" w:cs="Calibri"/>
              </w:rPr>
              <w:t>0</w:t>
            </w:r>
          </w:p>
        </w:tc>
        <w:tc>
          <w:tcPr>
            <w:tcW w:w="939" w:type="dxa"/>
            <w:vAlign w:val="center"/>
          </w:tcPr>
          <w:p w14:paraId="3DB1E48E" w14:textId="77777777" w:rsidR="00CD55F1" w:rsidRDefault="00CD55F1" w:rsidP="00024DD9">
            <w:pPr>
              <w:jc w:val="center"/>
            </w:pPr>
            <w:r w:rsidRPr="00F60A9B">
              <w:rPr>
                <w:rFonts w:ascii="Calibri" w:hAnsi="Calibri" w:cs="Calibri"/>
              </w:rPr>
              <w:t>0</w:t>
            </w:r>
          </w:p>
        </w:tc>
      </w:tr>
      <w:tr w:rsidR="00CD55F1" w:rsidRPr="00F60A9B" w14:paraId="65FBD9A6" w14:textId="77777777" w:rsidTr="00024DD9">
        <w:trPr>
          <w:jc w:val="center"/>
        </w:trPr>
        <w:tc>
          <w:tcPr>
            <w:tcW w:w="884" w:type="dxa"/>
            <w:tcBorders>
              <w:right w:val="single" w:sz="12" w:space="0" w:color="auto"/>
            </w:tcBorders>
          </w:tcPr>
          <w:p w14:paraId="695AC8EA"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5ADAA713" w14:textId="77777777" w:rsidR="00CD55F1" w:rsidRPr="00F60A9B" w:rsidRDefault="00CD55F1" w:rsidP="00024DD9">
            <w:pPr>
              <w:jc w:val="center"/>
            </w:pPr>
            <w:r>
              <w:t>0</w:t>
            </w:r>
          </w:p>
        </w:tc>
        <w:tc>
          <w:tcPr>
            <w:tcW w:w="668" w:type="dxa"/>
            <w:shd w:val="clear" w:color="auto" w:fill="auto"/>
            <w:vAlign w:val="center"/>
          </w:tcPr>
          <w:p w14:paraId="11487D97" w14:textId="77777777" w:rsidR="00CD55F1" w:rsidRPr="00210DD1" w:rsidRDefault="00CD55F1" w:rsidP="00024DD9">
            <w:pPr>
              <w:jc w:val="center"/>
            </w:pPr>
            <w:r>
              <w:rPr>
                <w:rFonts w:ascii="Calibri" w:hAnsi="Calibri" w:cs="Calibri"/>
              </w:rPr>
              <w:t>0</w:t>
            </w:r>
          </w:p>
        </w:tc>
        <w:tc>
          <w:tcPr>
            <w:tcW w:w="680" w:type="dxa"/>
            <w:shd w:val="clear" w:color="auto" w:fill="D9E2F3" w:themeFill="accent1" w:themeFillTint="33"/>
            <w:vAlign w:val="center"/>
          </w:tcPr>
          <w:p w14:paraId="2506BCBC" w14:textId="77777777" w:rsidR="00CD55F1" w:rsidRPr="00210DD1" w:rsidRDefault="00CD55F1" w:rsidP="00024DD9">
            <w:pPr>
              <w:jc w:val="center"/>
            </w:pPr>
            <w:r>
              <w:rPr>
                <w:rFonts w:ascii="Calibri" w:hAnsi="Calibri" w:cs="Calibri"/>
              </w:rPr>
              <w:t>2-1-1 = 0</w:t>
            </w:r>
          </w:p>
        </w:tc>
        <w:tc>
          <w:tcPr>
            <w:tcW w:w="628" w:type="dxa"/>
            <w:shd w:val="clear" w:color="auto" w:fill="auto"/>
            <w:vAlign w:val="center"/>
          </w:tcPr>
          <w:p w14:paraId="0E833897"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5B1EA67C"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41E5D4A3"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291B5924" w14:textId="77777777" w:rsidR="00CD55F1" w:rsidRDefault="00CD55F1" w:rsidP="00024DD9">
            <w:pPr>
              <w:jc w:val="center"/>
            </w:pPr>
            <w:r w:rsidRPr="005B7BEE">
              <w:rPr>
                <w:sz w:val="14"/>
                <w:szCs w:val="14"/>
              </w:rPr>
              <w:t>Probable</w:t>
            </w:r>
          </w:p>
        </w:tc>
        <w:tc>
          <w:tcPr>
            <w:tcW w:w="783" w:type="dxa"/>
            <w:shd w:val="clear" w:color="auto" w:fill="D9E2F3" w:themeFill="accent1" w:themeFillTint="33"/>
            <w:vAlign w:val="center"/>
          </w:tcPr>
          <w:p w14:paraId="19379172" w14:textId="77777777" w:rsidR="00CD55F1" w:rsidRDefault="00CD55F1" w:rsidP="00024DD9">
            <w:pPr>
              <w:jc w:val="center"/>
            </w:pPr>
            <w:r>
              <w:rPr>
                <w:rFonts w:ascii="Calibri" w:hAnsi="Calibri" w:cs="Calibri"/>
              </w:rPr>
              <w:t>1=1 = 0</w:t>
            </w:r>
          </w:p>
        </w:tc>
        <w:tc>
          <w:tcPr>
            <w:tcW w:w="666" w:type="dxa"/>
            <w:shd w:val="clear" w:color="auto" w:fill="D9E2F3" w:themeFill="accent1" w:themeFillTint="33"/>
            <w:vAlign w:val="center"/>
          </w:tcPr>
          <w:p w14:paraId="03D39451" w14:textId="77777777" w:rsidR="00CD55F1" w:rsidRDefault="00CD55F1" w:rsidP="00024DD9">
            <w:pPr>
              <w:jc w:val="center"/>
            </w:pPr>
            <w:r>
              <w:rPr>
                <w:rFonts w:ascii="Calibri" w:hAnsi="Calibri" w:cs="Calibri"/>
              </w:rPr>
              <w:t>1-1 = 0</w:t>
            </w:r>
          </w:p>
        </w:tc>
        <w:tc>
          <w:tcPr>
            <w:tcW w:w="698" w:type="dxa"/>
            <w:shd w:val="clear" w:color="auto" w:fill="auto"/>
            <w:vAlign w:val="center"/>
          </w:tcPr>
          <w:p w14:paraId="66ED88FE" w14:textId="77777777" w:rsidR="00CD55F1" w:rsidRDefault="00CD55F1" w:rsidP="00024DD9">
            <w:pPr>
              <w:jc w:val="center"/>
            </w:pPr>
            <w:r>
              <w:rPr>
                <w:rFonts w:ascii="Calibri" w:hAnsi="Calibri" w:cs="Calibri"/>
              </w:rPr>
              <w:t>0</w:t>
            </w:r>
          </w:p>
        </w:tc>
        <w:tc>
          <w:tcPr>
            <w:tcW w:w="612" w:type="dxa"/>
            <w:shd w:val="clear" w:color="auto" w:fill="auto"/>
            <w:vAlign w:val="center"/>
          </w:tcPr>
          <w:p w14:paraId="41AD6080" w14:textId="77777777" w:rsidR="00CD55F1" w:rsidRDefault="00CD55F1" w:rsidP="00024DD9">
            <w:pPr>
              <w:jc w:val="center"/>
            </w:pPr>
            <w:r>
              <w:rPr>
                <w:rFonts w:ascii="Calibri" w:hAnsi="Calibri" w:cs="Calibri"/>
              </w:rPr>
              <w:t>0</w:t>
            </w:r>
          </w:p>
        </w:tc>
        <w:tc>
          <w:tcPr>
            <w:tcW w:w="939" w:type="dxa"/>
            <w:vAlign w:val="center"/>
          </w:tcPr>
          <w:p w14:paraId="335BDB61" w14:textId="77777777" w:rsidR="00CD55F1" w:rsidRDefault="00CD55F1" w:rsidP="00024DD9">
            <w:pPr>
              <w:jc w:val="center"/>
            </w:pPr>
            <w:r w:rsidRPr="00F60A9B">
              <w:rPr>
                <w:rFonts w:ascii="Calibri" w:hAnsi="Calibri" w:cs="Calibri"/>
              </w:rPr>
              <w:t>0</w:t>
            </w:r>
          </w:p>
        </w:tc>
      </w:tr>
      <w:tr w:rsidR="00CD55F1" w:rsidRPr="00F60A9B" w14:paraId="52414626" w14:textId="77777777" w:rsidTr="00024DD9">
        <w:trPr>
          <w:jc w:val="center"/>
        </w:trPr>
        <w:tc>
          <w:tcPr>
            <w:tcW w:w="884" w:type="dxa"/>
            <w:tcBorders>
              <w:right w:val="single" w:sz="12" w:space="0" w:color="auto"/>
            </w:tcBorders>
          </w:tcPr>
          <w:p w14:paraId="09D9A51A"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7D9F8A38"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6C8673E3"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7D18BAE1"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8C64DD6" w14:textId="77777777" w:rsidR="00CD55F1" w:rsidRPr="00210DD1" w:rsidRDefault="00CD55F1" w:rsidP="00024DD9">
            <w:pPr>
              <w:jc w:val="center"/>
            </w:pPr>
            <w:r>
              <w:t>2</w:t>
            </w:r>
          </w:p>
        </w:tc>
        <w:tc>
          <w:tcPr>
            <w:tcW w:w="939" w:type="dxa"/>
            <w:shd w:val="clear" w:color="auto" w:fill="auto"/>
            <w:vAlign w:val="center"/>
          </w:tcPr>
          <w:p w14:paraId="2AA4ED93"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143AEA49" w14:textId="77777777" w:rsidR="00CD55F1" w:rsidRDefault="00CD55F1" w:rsidP="00024DD9">
            <w:pPr>
              <w:jc w:val="center"/>
            </w:pPr>
          </w:p>
        </w:tc>
        <w:tc>
          <w:tcPr>
            <w:tcW w:w="883" w:type="dxa"/>
            <w:shd w:val="clear" w:color="auto" w:fill="auto"/>
            <w:vAlign w:val="center"/>
          </w:tcPr>
          <w:p w14:paraId="333AA9BE" w14:textId="77777777" w:rsidR="00CD55F1" w:rsidRDefault="00CD55F1" w:rsidP="00024DD9">
            <w:pPr>
              <w:jc w:val="center"/>
            </w:pPr>
            <w:r w:rsidRPr="005B7BEE">
              <w:rPr>
                <w:sz w:val="14"/>
                <w:szCs w:val="14"/>
              </w:rPr>
              <w:t>Occasional</w:t>
            </w:r>
          </w:p>
        </w:tc>
        <w:tc>
          <w:tcPr>
            <w:tcW w:w="783" w:type="dxa"/>
            <w:shd w:val="clear" w:color="auto" w:fill="auto"/>
            <w:vAlign w:val="center"/>
          </w:tcPr>
          <w:p w14:paraId="6C8EB2D7" w14:textId="77777777" w:rsidR="00CD55F1" w:rsidRDefault="00CD55F1" w:rsidP="00024DD9">
            <w:pPr>
              <w:jc w:val="center"/>
            </w:pPr>
            <w:r>
              <w:rPr>
                <w:rFonts w:ascii="Calibri" w:hAnsi="Calibri" w:cs="Calibri"/>
              </w:rPr>
              <w:t>1</w:t>
            </w:r>
          </w:p>
        </w:tc>
        <w:tc>
          <w:tcPr>
            <w:tcW w:w="666" w:type="dxa"/>
            <w:shd w:val="clear" w:color="auto" w:fill="auto"/>
            <w:vAlign w:val="center"/>
          </w:tcPr>
          <w:p w14:paraId="396FD39F" w14:textId="77777777" w:rsidR="00CD55F1" w:rsidRDefault="00CD55F1" w:rsidP="00024DD9">
            <w:pPr>
              <w:jc w:val="center"/>
            </w:pPr>
            <w:r>
              <w:rPr>
                <w:rFonts w:ascii="Calibri" w:hAnsi="Calibri" w:cs="Calibri"/>
              </w:rPr>
              <w:t>0</w:t>
            </w:r>
          </w:p>
        </w:tc>
        <w:tc>
          <w:tcPr>
            <w:tcW w:w="698" w:type="dxa"/>
            <w:vAlign w:val="center"/>
          </w:tcPr>
          <w:p w14:paraId="12165BCC" w14:textId="77777777" w:rsidR="00CD55F1" w:rsidRDefault="00CD55F1" w:rsidP="00024DD9">
            <w:pPr>
              <w:jc w:val="center"/>
            </w:pPr>
            <w:r>
              <w:rPr>
                <w:rFonts w:ascii="Calibri" w:hAnsi="Calibri" w:cs="Calibri"/>
              </w:rPr>
              <w:t>0</w:t>
            </w:r>
          </w:p>
        </w:tc>
        <w:tc>
          <w:tcPr>
            <w:tcW w:w="612" w:type="dxa"/>
            <w:vAlign w:val="center"/>
          </w:tcPr>
          <w:p w14:paraId="7ECC5D33" w14:textId="77777777" w:rsidR="00CD55F1" w:rsidRDefault="00CD55F1" w:rsidP="00024DD9">
            <w:pPr>
              <w:jc w:val="center"/>
            </w:pPr>
            <w:r>
              <w:rPr>
                <w:rFonts w:ascii="Calibri" w:hAnsi="Calibri" w:cs="Calibri"/>
              </w:rPr>
              <w:t>0</w:t>
            </w:r>
          </w:p>
        </w:tc>
        <w:tc>
          <w:tcPr>
            <w:tcW w:w="939" w:type="dxa"/>
            <w:shd w:val="clear" w:color="auto" w:fill="auto"/>
            <w:vAlign w:val="center"/>
          </w:tcPr>
          <w:p w14:paraId="0120614C" w14:textId="77777777" w:rsidR="00CD55F1" w:rsidRDefault="00CD55F1" w:rsidP="00024DD9">
            <w:pPr>
              <w:jc w:val="center"/>
            </w:pPr>
            <w:r>
              <w:rPr>
                <w:rFonts w:ascii="Calibri" w:hAnsi="Calibri" w:cs="Calibri"/>
              </w:rPr>
              <w:t>0</w:t>
            </w:r>
          </w:p>
        </w:tc>
      </w:tr>
      <w:tr w:rsidR="00CD55F1" w:rsidRPr="00F60A9B" w14:paraId="2FE3FC56" w14:textId="77777777" w:rsidTr="00024DD9">
        <w:trPr>
          <w:jc w:val="center"/>
        </w:trPr>
        <w:tc>
          <w:tcPr>
            <w:tcW w:w="884" w:type="dxa"/>
            <w:tcBorders>
              <w:right w:val="single" w:sz="12" w:space="0" w:color="auto"/>
            </w:tcBorders>
          </w:tcPr>
          <w:p w14:paraId="2D2CF9B9"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3174EBF3" w14:textId="77777777" w:rsidR="00CD55F1" w:rsidRPr="00F60A9B" w:rsidRDefault="00CD55F1" w:rsidP="00024DD9">
            <w:pPr>
              <w:jc w:val="center"/>
            </w:pPr>
            <w:r>
              <w:rPr>
                <w:rFonts w:ascii="Calibri" w:hAnsi="Calibri" w:cs="Calibri"/>
              </w:rPr>
              <w:t>3</w:t>
            </w:r>
          </w:p>
        </w:tc>
        <w:tc>
          <w:tcPr>
            <w:tcW w:w="668" w:type="dxa"/>
            <w:vAlign w:val="center"/>
          </w:tcPr>
          <w:p w14:paraId="6D8C9687"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45779D4C"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18DA47F3" w14:textId="77777777" w:rsidR="00CD55F1" w:rsidRPr="00210DD1" w:rsidRDefault="00CD55F1" w:rsidP="00024DD9">
            <w:pPr>
              <w:jc w:val="center"/>
            </w:pPr>
            <w:r>
              <w:rPr>
                <w:rFonts w:ascii="Calibri" w:hAnsi="Calibri" w:cs="Calibri"/>
              </w:rPr>
              <w:t>2</w:t>
            </w:r>
          </w:p>
        </w:tc>
        <w:tc>
          <w:tcPr>
            <w:tcW w:w="939" w:type="dxa"/>
            <w:shd w:val="clear" w:color="auto" w:fill="auto"/>
            <w:vAlign w:val="center"/>
          </w:tcPr>
          <w:p w14:paraId="0906F8DE"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6B8609FA" w14:textId="77777777" w:rsidR="00CD55F1" w:rsidRDefault="00CD55F1" w:rsidP="00024DD9">
            <w:pPr>
              <w:jc w:val="center"/>
            </w:pPr>
          </w:p>
        </w:tc>
        <w:tc>
          <w:tcPr>
            <w:tcW w:w="883" w:type="dxa"/>
            <w:shd w:val="clear" w:color="auto" w:fill="auto"/>
            <w:vAlign w:val="center"/>
          </w:tcPr>
          <w:p w14:paraId="1039B7E8" w14:textId="77777777" w:rsidR="00CD55F1" w:rsidRDefault="00CD55F1" w:rsidP="00024DD9">
            <w:pPr>
              <w:jc w:val="center"/>
            </w:pPr>
            <w:r w:rsidRPr="005B7BEE">
              <w:rPr>
                <w:sz w:val="14"/>
                <w:szCs w:val="14"/>
              </w:rPr>
              <w:t>Remote</w:t>
            </w:r>
          </w:p>
        </w:tc>
        <w:tc>
          <w:tcPr>
            <w:tcW w:w="783" w:type="dxa"/>
            <w:shd w:val="clear" w:color="auto" w:fill="auto"/>
            <w:vAlign w:val="center"/>
          </w:tcPr>
          <w:p w14:paraId="1150EAF8" w14:textId="77777777" w:rsidR="00CD55F1" w:rsidRDefault="00CD55F1" w:rsidP="00024DD9">
            <w:pPr>
              <w:jc w:val="center"/>
            </w:pPr>
            <w:r>
              <w:rPr>
                <w:rFonts w:ascii="Calibri" w:hAnsi="Calibri" w:cs="Calibri"/>
              </w:rPr>
              <w:t>0</w:t>
            </w:r>
          </w:p>
        </w:tc>
        <w:tc>
          <w:tcPr>
            <w:tcW w:w="666" w:type="dxa"/>
            <w:shd w:val="clear" w:color="auto" w:fill="auto"/>
            <w:vAlign w:val="center"/>
          </w:tcPr>
          <w:p w14:paraId="6852DB99" w14:textId="77777777" w:rsidR="00CD55F1" w:rsidRDefault="00CD55F1" w:rsidP="00024DD9">
            <w:pPr>
              <w:jc w:val="center"/>
            </w:pPr>
            <w:r>
              <w:rPr>
                <w:rFonts w:ascii="Calibri" w:hAnsi="Calibri" w:cs="Calibri"/>
              </w:rPr>
              <w:t>2</w:t>
            </w:r>
          </w:p>
        </w:tc>
        <w:tc>
          <w:tcPr>
            <w:tcW w:w="698" w:type="dxa"/>
            <w:shd w:val="clear" w:color="auto" w:fill="auto"/>
            <w:vAlign w:val="center"/>
          </w:tcPr>
          <w:p w14:paraId="4DBF5C91" w14:textId="77777777" w:rsidR="00CD55F1" w:rsidRDefault="00CD55F1" w:rsidP="00024DD9">
            <w:pPr>
              <w:jc w:val="center"/>
            </w:pPr>
            <w:r>
              <w:rPr>
                <w:rFonts w:ascii="Calibri" w:hAnsi="Calibri" w:cs="Calibri"/>
              </w:rPr>
              <w:t>0</w:t>
            </w:r>
          </w:p>
        </w:tc>
        <w:tc>
          <w:tcPr>
            <w:tcW w:w="612" w:type="dxa"/>
            <w:shd w:val="clear" w:color="auto" w:fill="auto"/>
            <w:vAlign w:val="center"/>
          </w:tcPr>
          <w:p w14:paraId="414EF44D" w14:textId="77777777" w:rsidR="00CD55F1" w:rsidRDefault="00CD55F1" w:rsidP="00024DD9">
            <w:pPr>
              <w:jc w:val="center"/>
            </w:pPr>
            <w:r>
              <w:rPr>
                <w:rFonts w:ascii="Calibri" w:hAnsi="Calibri" w:cs="Calibri"/>
              </w:rPr>
              <w:t>0</w:t>
            </w:r>
          </w:p>
        </w:tc>
        <w:tc>
          <w:tcPr>
            <w:tcW w:w="939" w:type="dxa"/>
            <w:shd w:val="clear" w:color="auto" w:fill="auto"/>
            <w:vAlign w:val="center"/>
          </w:tcPr>
          <w:p w14:paraId="0CFF0EB5" w14:textId="77777777" w:rsidR="00CD55F1" w:rsidRDefault="00CD55F1" w:rsidP="00024DD9">
            <w:pPr>
              <w:jc w:val="center"/>
            </w:pPr>
            <w:r>
              <w:rPr>
                <w:rFonts w:ascii="Calibri" w:hAnsi="Calibri" w:cs="Calibri"/>
              </w:rPr>
              <w:t>0</w:t>
            </w:r>
          </w:p>
        </w:tc>
      </w:tr>
      <w:tr w:rsidR="00CD55F1" w:rsidRPr="00F60A9B" w14:paraId="57C32373" w14:textId="77777777" w:rsidTr="00024DD9">
        <w:trPr>
          <w:jc w:val="center"/>
        </w:trPr>
        <w:tc>
          <w:tcPr>
            <w:tcW w:w="884" w:type="dxa"/>
            <w:tcBorders>
              <w:right w:val="single" w:sz="12" w:space="0" w:color="auto"/>
            </w:tcBorders>
          </w:tcPr>
          <w:p w14:paraId="58544D20"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351FB551" w14:textId="77777777" w:rsidR="00CD55F1" w:rsidRPr="00F60A9B" w:rsidRDefault="00CD55F1" w:rsidP="00024DD9">
            <w:pPr>
              <w:jc w:val="center"/>
            </w:pPr>
            <w:r>
              <w:rPr>
                <w:rFonts w:ascii="Calibri" w:hAnsi="Calibri" w:cs="Calibri"/>
              </w:rPr>
              <w:t>0</w:t>
            </w:r>
          </w:p>
        </w:tc>
        <w:tc>
          <w:tcPr>
            <w:tcW w:w="668" w:type="dxa"/>
            <w:vAlign w:val="center"/>
          </w:tcPr>
          <w:p w14:paraId="1C7BC57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5352FBF5"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198D9C5"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4FE72665"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71B8C3A2" w14:textId="77777777" w:rsidR="00CD55F1" w:rsidRDefault="00CD55F1" w:rsidP="00024DD9">
            <w:pPr>
              <w:keepNext/>
              <w:jc w:val="center"/>
            </w:pPr>
          </w:p>
        </w:tc>
        <w:tc>
          <w:tcPr>
            <w:tcW w:w="883" w:type="dxa"/>
            <w:vAlign w:val="center"/>
          </w:tcPr>
          <w:p w14:paraId="583620FA" w14:textId="77777777" w:rsidR="00CD55F1" w:rsidRDefault="00CD55F1" w:rsidP="00024DD9">
            <w:pPr>
              <w:keepNext/>
              <w:jc w:val="center"/>
            </w:pPr>
            <w:r w:rsidRPr="005B7BEE">
              <w:rPr>
                <w:sz w:val="14"/>
                <w:szCs w:val="14"/>
              </w:rPr>
              <w:t>Improbable</w:t>
            </w:r>
          </w:p>
        </w:tc>
        <w:tc>
          <w:tcPr>
            <w:tcW w:w="783" w:type="dxa"/>
            <w:vAlign w:val="center"/>
          </w:tcPr>
          <w:p w14:paraId="2F9BEBDE" w14:textId="77777777" w:rsidR="00CD55F1" w:rsidRDefault="00CD55F1" w:rsidP="00024DD9">
            <w:pPr>
              <w:keepNext/>
              <w:jc w:val="center"/>
            </w:pPr>
            <w:r>
              <w:rPr>
                <w:rFonts w:ascii="Calibri" w:hAnsi="Calibri" w:cs="Calibri"/>
              </w:rPr>
              <w:t>0</w:t>
            </w:r>
          </w:p>
        </w:tc>
        <w:tc>
          <w:tcPr>
            <w:tcW w:w="666" w:type="dxa"/>
            <w:vAlign w:val="center"/>
          </w:tcPr>
          <w:p w14:paraId="0BB45D59" w14:textId="77777777" w:rsidR="00CD55F1" w:rsidRDefault="00CD55F1" w:rsidP="00024DD9">
            <w:pPr>
              <w:keepNext/>
              <w:jc w:val="center"/>
            </w:pPr>
            <w:r>
              <w:rPr>
                <w:rFonts w:ascii="Calibri" w:hAnsi="Calibri" w:cs="Calibri"/>
              </w:rPr>
              <w:t>1</w:t>
            </w:r>
          </w:p>
        </w:tc>
        <w:tc>
          <w:tcPr>
            <w:tcW w:w="698" w:type="dxa"/>
            <w:vAlign w:val="center"/>
          </w:tcPr>
          <w:p w14:paraId="216DCD91"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0C73E9ED" w14:textId="77777777" w:rsidR="00CD55F1" w:rsidRDefault="00CD55F1" w:rsidP="00024DD9">
            <w:pPr>
              <w:keepNext/>
              <w:jc w:val="center"/>
            </w:pPr>
            <w:r>
              <w:rPr>
                <w:rFonts w:ascii="Calibri" w:hAnsi="Calibri" w:cs="Calibri"/>
              </w:rPr>
              <w:t>0</w:t>
            </w:r>
          </w:p>
        </w:tc>
        <w:tc>
          <w:tcPr>
            <w:tcW w:w="939" w:type="dxa"/>
            <w:vAlign w:val="center"/>
          </w:tcPr>
          <w:p w14:paraId="55E1F00E" w14:textId="77777777" w:rsidR="00CD55F1" w:rsidRDefault="00CD55F1" w:rsidP="00024DD9">
            <w:pPr>
              <w:keepNext/>
              <w:jc w:val="center"/>
            </w:pPr>
            <w:r w:rsidRPr="00F60A9B">
              <w:rPr>
                <w:rFonts w:ascii="Calibri" w:hAnsi="Calibri" w:cs="Calibri"/>
              </w:rPr>
              <w:t>0</w:t>
            </w:r>
          </w:p>
        </w:tc>
      </w:tr>
    </w:tbl>
    <w:p w14:paraId="7433CEDD" w14:textId="2B764BBC" w:rsidR="00CD55F1" w:rsidRDefault="00CD55F1" w:rsidP="00CD55F1">
      <w:pPr>
        <w:spacing w:before="160"/>
      </w:pPr>
      <w:r>
        <w:t xml:space="preserve">We can nose use </w:t>
      </w:r>
      <w:r w:rsidR="0036794A">
        <w:fldChar w:fldCharType="begin"/>
      </w:r>
      <w:r w:rsidR="0036794A">
        <w:instrText xml:space="preserve"> REF _Ref151223404 \h </w:instrText>
      </w:r>
      <w:r w:rsidR="0036794A">
        <w:fldChar w:fldCharType="separate"/>
      </w:r>
      <w:r w:rsidR="0036794A" w:rsidRPr="00646086">
        <w:rPr>
          <w:rFonts w:eastAsia="TimesNewRomanPSMT" w:cs="TimesNewRomanPSMT"/>
          <w:b/>
          <w:color w:val="000000"/>
          <w:u w:val="single"/>
        </w:rPr>
        <w:t>Moving Similar Risks</w:t>
      </w:r>
      <w:r w:rsidR="0036794A">
        <w:fldChar w:fldCharType="end"/>
      </w:r>
      <w:r>
        <w:t xml:space="preserve"> and </w:t>
      </w:r>
      <w:r w:rsidR="0036794A">
        <w:fldChar w:fldCharType="begin"/>
      </w:r>
      <w:r w:rsidR="0036794A">
        <w:instrText xml:space="preserve"> REF _Ref151223378 \h </w:instrText>
      </w:r>
      <w:r w:rsidR="0036794A">
        <w:fldChar w:fldCharType="separate"/>
      </w:r>
      <w:r w:rsidR="0036794A" w:rsidRPr="00646086">
        <w:rPr>
          <w:rFonts w:eastAsia="TimesNewRomanPSMT" w:cs="TimesNewRomanPSMT"/>
          <w:b/>
          <w:color w:val="000000"/>
          <w:u w:val="single"/>
        </w:rPr>
        <w:t>Moving Repeated Risks</w:t>
      </w:r>
      <w:r w:rsidR="0036794A">
        <w:fldChar w:fldCharType="end"/>
      </w:r>
      <w:r>
        <w:t xml:space="preserve"> to position risks for the final simplification: </w:t>
      </w:r>
    </w:p>
    <w:p w14:paraId="0293D732" w14:textId="77777777" w:rsidR="00CD55F1" w:rsidRDefault="00CD55F1">
      <w:pPr>
        <w:pStyle w:val="ListParagraph"/>
        <w:numPr>
          <w:ilvl w:val="0"/>
          <w:numId w:val="27"/>
        </w:numPr>
        <w:spacing w:before="160"/>
      </w:pPr>
      <w:r w:rsidRPr="00BA1165">
        <w:rPr>
          <w:rFonts w:eastAsiaTheme="minorEastAsia"/>
        </w:rPr>
        <w:lastRenderedPageBreak/>
        <w:t>First, we will use ‘Move Similar Risks’ to move the risks in the ‘Remote-Critical’ cell of the left-hand side of the previous equation, along the #5 ‘risk band’, to the ‘Probable-Minor’ Cell:</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2DD877E7" w14:textId="77777777" w:rsidTr="00024DD9">
        <w:trPr>
          <w:tblHeader/>
          <w:jc w:val="center"/>
        </w:trPr>
        <w:tc>
          <w:tcPr>
            <w:tcW w:w="884" w:type="dxa"/>
            <w:tcBorders>
              <w:top w:val="nil"/>
              <w:left w:val="nil"/>
              <w:bottom w:val="single" w:sz="4" w:space="0" w:color="auto"/>
            </w:tcBorders>
            <w:vAlign w:val="center"/>
          </w:tcPr>
          <w:p w14:paraId="7CB343A5"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43710C7"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4F8B41D6"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2C699AA4"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6A5E4EA2"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3EFB7A83" w14:textId="77777777" w:rsidR="00CD55F1" w:rsidRPr="005B7BEE" w:rsidRDefault="00CD55F1" w:rsidP="00024DD9">
            <w:pPr>
              <w:jc w:val="center"/>
              <w:rPr>
                <w:sz w:val="14"/>
                <w:szCs w:val="14"/>
              </w:rPr>
            </w:pPr>
            <w:r w:rsidRPr="005B7BEE">
              <w:rPr>
                <w:sz w:val="14"/>
                <w:szCs w:val="14"/>
              </w:rPr>
              <w:t xml:space="preserve">Catastrophic </w:t>
            </w:r>
          </w:p>
          <w:p w14:paraId="5097CF60"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6AFB8345"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4DE7CF66"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510C5418"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610306F7"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4C2F214C"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471D4C35"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4A0160CC" w14:textId="77777777" w:rsidR="00CD55F1" w:rsidRPr="005B7BEE" w:rsidRDefault="00CD55F1" w:rsidP="00024DD9">
            <w:pPr>
              <w:jc w:val="center"/>
              <w:rPr>
                <w:sz w:val="14"/>
                <w:szCs w:val="14"/>
              </w:rPr>
            </w:pPr>
            <w:r w:rsidRPr="005B7BEE">
              <w:rPr>
                <w:sz w:val="14"/>
                <w:szCs w:val="14"/>
              </w:rPr>
              <w:t xml:space="preserve">Catastrophic </w:t>
            </w:r>
          </w:p>
          <w:p w14:paraId="31EB6041"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719D7238" w14:textId="77777777" w:rsidTr="00024DD9">
        <w:trPr>
          <w:jc w:val="center"/>
        </w:trPr>
        <w:tc>
          <w:tcPr>
            <w:tcW w:w="884" w:type="dxa"/>
            <w:tcBorders>
              <w:top w:val="single" w:sz="4" w:space="0" w:color="auto"/>
              <w:right w:val="single" w:sz="12" w:space="0" w:color="auto"/>
            </w:tcBorders>
          </w:tcPr>
          <w:p w14:paraId="647CAE09"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1E2D764C" w14:textId="77777777" w:rsidR="00CD55F1" w:rsidRPr="00F60A9B" w:rsidRDefault="00CD55F1" w:rsidP="00024DD9">
            <w:pPr>
              <w:jc w:val="center"/>
            </w:pPr>
            <w:r>
              <w:t>0</w:t>
            </w:r>
          </w:p>
        </w:tc>
        <w:tc>
          <w:tcPr>
            <w:tcW w:w="668" w:type="dxa"/>
            <w:tcBorders>
              <w:top w:val="single" w:sz="12" w:space="0" w:color="auto"/>
            </w:tcBorders>
            <w:vAlign w:val="center"/>
          </w:tcPr>
          <w:p w14:paraId="51201215" w14:textId="77777777" w:rsidR="00CD55F1" w:rsidRPr="00210DD1" w:rsidRDefault="00CD55F1" w:rsidP="00024DD9">
            <w:pPr>
              <w:jc w:val="center"/>
            </w:pPr>
            <w:r>
              <w:t>0</w:t>
            </w:r>
          </w:p>
        </w:tc>
        <w:tc>
          <w:tcPr>
            <w:tcW w:w="680" w:type="dxa"/>
            <w:tcBorders>
              <w:top w:val="single" w:sz="12" w:space="0" w:color="auto"/>
            </w:tcBorders>
            <w:vAlign w:val="center"/>
          </w:tcPr>
          <w:p w14:paraId="56628C9D" w14:textId="77777777" w:rsidR="00CD55F1" w:rsidRPr="00210DD1" w:rsidRDefault="00CD55F1" w:rsidP="00024DD9">
            <w:pPr>
              <w:jc w:val="center"/>
            </w:pPr>
            <w:r>
              <w:t>0</w:t>
            </w:r>
          </w:p>
        </w:tc>
        <w:tc>
          <w:tcPr>
            <w:tcW w:w="628" w:type="dxa"/>
            <w:tcBorders>
              <w:top w:val="single" w:sz="12" w:space="0" w:color="auto"/>
            </w:tcBorders>
            <w:vAlign w:val="center"/>
          </w:tcPr>
          <w:p w14:paraId="1DB94CD6" w14:textId="77777777" w:rsidR="00CD55F1" w:rsidRPr="00210DD1" w:rsidRDefault="00CD55F1" w:rsidP="00024DD9">
            <w:pPr>
              <w:jc w:val="center"/>
            </w:pPr>
            <w:r>
              <w:t>0</w:t>
            </w:r>
          </w:p>
        </w:tc>
        <w:tc>
          <w:tcPr>
            <w:tcW w:w="939" w:type="dxa"/>
            <w:tcBorders>
              <w:top w:val="single" w:sz="12" w:space="0" w:color="auto"/>
            </w:tcBorders>
            <w:vAlign w:val="center"/>
          </w:tcPr>
          <w:p w14:paraId="68C57380" w14:textId="77777777" w:rsidR="00CD55F1" w:rsidRPr="00F60A9B" w:rsidRDefault="00CD55F1" w:rsidP="00024DD9">
            <w:pPr>
              <w:jc w:val="center"/>
            </w:pPr>
            <w:r>
              <w:t>0</w:t>
            </w:r>
          </w:p>
        </w:tc>
        <w:tc>
          <w:tcPr>
            <w:tcW w:w="287" w:type="dxa"/>
            <w:tcBorders>
              <w:top w:val="nil"/>
              <w:left w:val="nil"/>
              <w:bottom w:val="nil"/>
              <w:right w:val="nil"/>
            </w:tcBorders>
            <w:vAlign w:val="center"/>
          </w:tcPr>
          <w:p w14:paraId="79ECD375" w14:textId="77777777" w:rsidR="00CD55F1" w:rsidRDefault="00CD55F1" w:rsidP="00024DD9">
            <w:pPr>
              <w:jc w:val="center"/>
            </w:pPr>
          </w:p>
        </w:tc>
        <w:tc>
          <w:tcPr>
            <w:tcW w:w="883" w:type="dxa"/>
            <w:tcBorders>
              <w:top w:val="single" w:sz="12" w:space="0" w:color="auto"/>
            </w:tcBorders>
            <w:vAlign w:val="center"/>
          </w:tcPr>
          <w:p w14:paraId="0D79272B"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7BE0533E" w14:textId="77777777" w:rsidR="00CD55F1" w:rsidRDefault="00CD55F1" w:rsidP="00024DD9">
            <w:pPr>
              <w:jc w:val="center"/>
            </w:pPr>
            <w:r>
              <w:t>0</w:t>
            </w:r>
          </w:p>
        </w:tc>
        <w:tc>
          <w:tcPr>
            <w:tcW w:w="666" w:type="dxa"/>
            <w:tcBorders>
              <w:top w:val="single" w:sz="12" w:space="0" w:color="auto"/>
            </w:tcBorders>
            <w:vAlign w:val="center"/>
          </w:tcPr>
          <w:p w14:paraId="67E65B52" w14:textId="77777777" w:rsidR="00CD55F1" w:rsidRDefault="00CD55F1" w:rsidP="00024DD9">
            <w:pPr>
              <w:jc w:val="center"/>
            </w:pPr>
            <w:r>
              <w:t>0</w:t>
            </w:r>
          </w:p>
        </w:tc>
        <w:tc>
          <w:tcPr>
            <w:tcW w:w="698" w:type="dxa"/>
            <w:tcBorders>
              <w:top w:val="single" w:sz="12" w:space="0" w:color="auto"/>
            </w:tcBorders>
            <w:vAlign w:val="center"/>
          </w:tcPr>
          <w:p w14:paraId="0B4A44EA" w14:textId="77777777" w:rsidR="00CD55F1" w:rsidRDefault="00CD55F1" w:rsidP="00024DD9">
            <w:pPr>
              <w:jc w:val="center"/>
            </w:pPr>
            <w:r>
              <w:t>0</w:t>
            </w:r>
          </w:p>
        </w:tc>
        <w:tc>
          <w:tcPr>
            <w:tcW w:w="612" w:type="dxa"/>
            <w:tcBorders>
              <w:top w:val="single" w:sz="12" w:space="0" w:color="auto"/>
            </w:tcBorders>
            <w:vAlign w:val="center"/>
          </w:tcPr>
          <w:p w14:paraId="3B427C9B" w14:textId="77777777" w:rsidR="00CD55F1" w:rsidRDefault="00CD55F1" w:rsidP="00024DD9">
            <w:pPr>
              <w:jc w:val="center"/>
            </w:pPr>
            <w:r>
              <w:t>0</w:t>
            </w:r>
          </w:p>
        </w:tc>
        <w:tc>
          <w:tcPr>
            <w:tcW w:w="939" w:type="dxa"/>
            <w:tcBorders>
              <w:top w:val="single" w:sz="12" w:space="0" w:color="auto"/>
            </w:tcBorders>
            <w:vAlign w:val="center"/>
          </w:tcPr>
          <w:p w14:paraId="00B3179C" w14:textId="77777777" w:rsidR="00CD55F1" w:rsidRDefault="00CD55F1" w:rsidP="00024DD9">
            <w:pPr>
              <w:jc w:val="center"/>
            </w:pPr>
            <w:r>
              <w:t>0</w:t>
            </w:r>
          </w:p>
        </w:tc>
      </w:tr>
      <w:tr w:rsidR="00CD55F1" w:rsidRPr="00F60A9B" w14:paraId="717141BA" w14:textId="77777777" w:rsidTr="00024DD9">
        <w:trPr>
          <w:jc w:val="center"/>
        </w:trPr>
        <w:tc>
          <w:tcPr>
            <w:tcW w:w="884" w:type="dxa"/>
            <w:tcBorders>
              <w:right w:val="single" w:sz="12" w:space="0" w:color="auto"/>
            </w:tcBorders>
          </w:tcPr>
          <w:p w14:paraId="4033B12D"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1A20E0D8" w14:textId="77777777" w:rsidR="00CD55F1" w:rsidRDefault="00CD55F1" w:rsidP="00024DD9">
            <w:pPr>
              <w:jc w:val="center"/>
            </w:pPr>
            <w:r>
              <w:t>0</w:t>
            </w:r>
          </w:p>
        </w:tc>
        <w:tc>
          <w:tcPr>
            <w:tcW w:w="668" w:type="dxa"/>
            <w:shd w:val="clear" w:color="auto" w:fill="auto"/>
            <w:vAlign w:val="center"/>
          </w:tcPr>
          <w:p w14:paraId="7A5E7B9B" w14:textId="77777777" w:rsidR="00CD55F1" w:rsidRPr="00210DD1" w:rsidRDefault="00CD55F1" w:rsidP="00024DD9">
            <w:pPr>
              <w:jc w:val="center"/>
            </w:pPr>
            <w:r>
              <w:t>0</w:t>
            </w:r>
          </w:p>
        </w:tc>
        <w:tc>
          <w:tcPr>
            <w:tcW w:w="680" w:type="dxa"/>
            <w:vAlign w:val="center"/>
          </w:tcPr>
          <w:p w14:paraId="15B8F1E8" w14:textId="77777777" w:rsidR="00CD55F1" w:rsidRPr="00210DD1" w:rsidRDefault="00CD55F1" w:rsidP="00024DD9">
            <w:pPr>
              <w:jc w:val="center"/>
            </w:pPr>
            <w:r>
              <w:t>0</w:t>
            </w:r>
          </w:p>
        </w:tc>
        <w:tc>
          <w:tcPr>
            <w:tcW w:w="628" w:type="dxa"/>
            <w:vAlign w:val="center"/>
          </w:tcPr>
          <w:p w14:paraId="732509D9" w14:textId="77777777" w:rsidR="00CD55F1" w:rsidRPr="00210DD1" w:rsidRDefault="00CD55F1" w:rsidP="00024DD9">
            <w:pPr>
              <w:jc w:val="center"/>
            </w:pPr>
            <w:r>
              <w:t>0</w:t>
            </w:r>
          </w:p>
        </w:tc>
        <w:tc>
          <w:tcPr>
            <w:tcW w:w="939" w:type="dxa"/>
            <w:vAlign w:val="center"/>
          </w:tcPr>
          <w:p w14:paraId="6EF7CF5A" w14:textId="77777777" w:rsidR="00CD55F1" w:rsidRDefault="00CD55F1" w:rsidP="00024DD9">
            <w:pPr>
              <w:jc w:val="center"/>
            </w:pPr>
            <w:r>
              <w:t>0</w:t>
            </w:r>
          </w:p>
        </w:tc>
        <w:tc>
          <w:tcPr>
            <w:tcW w:w="287" w:type="dxa"/>
            <w:tcBorders>
              <w:top w:val="nil"/>
              <w:left w:val="nil"/>
              <w:bottom w:val="nil"/>
              <w:right w:val="nil"/>
            </w:tcBorders>
            <w:vAlign w:val="center"/>
          </w:tcPr>
          <w:p w14:paraId="33DAA3E9" w14:textId="77777777" w:rsidR="00CD55F1" w:rsidRDefault="00CD55F1" w:rsidP="00024DD9">
            <w:pPr>
              <w:jc w:val="center"/>
            </w:pPr>
          </w:p>
        </w:tc>
        <w:tc>
          <w:tcPr>
            <w:tcW w:w="883" w:type="dxa"/>
            <w:vAlign w:val="center"/>
          </w:tcPr>
          <w:p w14:paraId="65CEF0FE" w14:textId="77777777" w:rsidR="00CD55F1" w:rsidRPr="005B7BEE" w:rsidRDefault="00CD55F1" w:rsidP="00024DD9">
            <w:pPr>
              <w:jc w:val="center"/>
              <w:rPr>
                <w:sz w:val="14"/>
                <w:szCs w:val="14"/>
              </w:rPr>
            </w:pPr>
            <w:r>
              <w:rPr>
                <w:sz w:val="14"/>
                <w:szCs w:val="14"/>
              </w:rPr>
              <w:t>Often</w:t>
            </w:r>
          </w:p>
        </w:tc>
        <w:tc>
          <w:tcPr>
            <w:tcW w:w="783" w:type="dxa"/>
            <w:vAlign w:val="center"/>
          </w:tcPr>
          <w:p w14:paraId="4F0027D3" w14:textId="77777777" w:rsidR="00CD55F1" w:rsidRDefault="00CD55F1" w:rsidP="00024DD9">
            <w:pPr>
              <w:jc w:val="center"/>
            </w:pPr>
            <w:r>
              <w:t>0</w:t>
            </w:r>
          </w:p>
        </w:tc>
        <w:tc>
          <w:tcPr>
            <w:tcW w:w="666" w:type="dxa"/>
            <w:vAlign w:val="center"/>
          </w:tcPr>
          <w:p w14:paraId="5404A48A" w14:textId="77777777" w:rsidR="00CD55F1" w:rsidRPr="00210DD1" w:rsidRDefault="00CD55F1" w:rsidP="00024DD9">
            <w:pPr>
              <w:jc w:val="center"/>
            </w:pPr>
            <w:r>
              <w:t>0</w:t>
            </w:r>
          </w:p>
        </w:tc>
        <w:tc>
          <w:tcPr>
            <w:tcW w:w="698" w:type="dxa"/>
            <w:vAlign w:val="center"/>
          </w:tcPr>
          <w:p w14:paraId="512928A2" w14:textId="77777777" w:rsidR="00CD55F1" w:rsidRPr="00210DD1" w:rsidRDefault="00CD55F1" w:rsidP="00024DD9">
            <w:pPr>
              <w:jc w:val="center"/>
            </w:pPr>
            <w:r>
              <w:t>0</w:t>
            </w:r>
          </w:p>
        </w:tc>
        <w:tc>
          <w:tcPr>
            <w:tcW w:w="612" w:type="dxa"/>
            <w:vAlign w:val="center"/>
          </w:tcPr>
          <w:p w14:paraId="3308BB46" w14:textId="77777777" w:rsidR="00CD55F1" w:rsidRPr="00210DD1" w:rsidRDefault="00CD55F1" w:rsidP="00024DD9">
            <w:pPr>
              <w:jc w:val="center"/>
            </w:pPr>
            <w:r>
              <w:t>0</w:t>
            </w:r>
          </w:p>
        </w:tc>
        <w:tc>
          <w:tcPr>
            <w:tcW w:w="939" w:type="dxa"/>
            <w:vAlign w:val="center"/>
          </w:tcPr>
          <w:p w14:paraId="71053FE6" w14:textId="77777777" w:rsidR="00CD55F1" w:rsidRDefault="00CD55F1" w:rsidP="00024DD9">
            <w:pPr>
              <w:jc w:val="center"/>
            </w:pPr>
            <w:r>
              <w:t>0</w:t>
            </w:r>
          </w:p>
        </w:tc>
      </w:tr>
      <w:tr w:rsidR="00CD55F1" w:rsidRPr="00F60A9B" w14:paraId="11B7E1AB" w14:textId="77777777" w:rsidTr="00024DD9">
        <w:trPr>
          <w:jc w:val="center"/>
        </w:trPr>
        <w:tc>
          <w:tcPr>
            <w:tcW w:w="884" w:type="dxa"/>
            <w:tcBorders>
              <w:right w:val="single" w:sz="12" w:space="0" w:color="auto"/>
            </w:tcBorders>
          </w:tcPr>
          <w:p w14:paraId="20F3816C"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38B8C1A9" w14:textId="77777777" w:rsidR="00CD55F1" w:rsidRDefault="00CD55F1" w:rsidP="00024DD9">
            <w:pPr>
              <w:jc w:val="center"/>
            </w:pPr>
            <w:r>
              <w:t>0</w:t>
            </w:r>
          </w:p>
        </w:tc>
        <w:tc>
          <w:tcPr>
            <w:tcW w:w="668" w:type="dxa"/>
            <w:shd w:val="clear" w:color="auto" w:fill="auto"/>
            <w:vAlign w:val="center"/>
          </w:tcPr>
          <w:p w14:paraId="22EA376E"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0E5D31EF"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8514F6E"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5260EBE0"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6B45E410" w14:textId="77777777" w:rsidR="00CD55F1" w:rsidRDefault="00CD55F1" w:rsidP="00024DD9">
            <w:pPr>
              <w:jc w:val="center"/>
            </w:pPr>
          </w:p>
        </w:tc>
        <w:tc>
          <w:tcPr>
            <w:tcW w:w="883" w:type="dxa"/>
            <w:shd w:val="clear" w:color="auto" w:fill="auto"/>
            <w:vAlign w:val="center"/>
          </w:tcPr>
          <w:p w14:paraId="734B2508"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24D8A16A" w14:textId="77777777" w:rsidR="00CD55F1" w:rsidRDefault="00CD55F1" w:rsidP="00024DD9">
            <w:pPr>
              <w:jc w:val="center"/>
            </w:pPr>
            <w:r>
              <w:rPr>
                <w:rFonts w:ascii="Calibri" w:hAnsi="Calibri" w:cs="Calibri"/>
              </w:rPr>
              <w:t>0</w:t>
            </w:r>
          </w:p>
        </w:tc>
        <w:tc>
          <w:tcPr>
            <w:tcW w:w="666" w:type="dxa"/>
            <w:shd w:val="clear" w:color="auto" w:fill="auto"/>
            <w:vAlign w:val="center"/>
          </w:tcPr>
          <w:p w14:paraId="25B51C94" w14:textId="77777777" w:rsidR="00CD55F1" w:rsidRPr="00210DD1" w:rsidRDefault="00CD55F1" w:rsidP="00024DD9">
            <w:pPr>
              <w:jc w:val="center"/>
            </w:pPr>
            <w:r>
              <w:rPr>
                <w:rFonts w:ascii="Calibri" w:hAnsi="Calibri" w:cs="Calibri"/>
              </w:rPr>
              <w:t>0</w:t>
            </w:r>
          </w:p>
        </w:tc>
        <w:tc>
          <w:tcPr>
            <w:tcW w:w="698" w:type="dxa"/>
            <w:shd w:val="clear" w:color="auto" w:fill="auto"/>
            <w:vAlign w:val="center"/>
          </w:tcPr>
          <w:p w14:paraId="30160EAB" w14:textId="77777777" w:rsidR="00CD55F1" w:rsidRPr="00210DD1" w:rsidRDefault="00CD55F1" w:rsidP="00024DD9">
            <w:pPr>
              <w:jc w:val="center"/>
            </w:pPr>
            <w:r w:rsidRPr="00F60A9B">
              <w:rPr>
                <w:rFonts w:ascii="Calibri" w:hAnsi="Calibri" w:cs="Calibri"/>
              </w:rPr>
              <w:t>0</w:t>
            </w:r>
          </w:p>
        </w:tc>
        <w:tc>
          <w:tcPr>
            <w:tcW w:w="612" w:type="dxa"/>
            <w:vAlign w:val="center"/>
          </w:tcPr>
          <w:p w14:paraId="593D72BD" w14:textId="77777777" w:rsidR="00CD55F1" w:rsidRPr="00210DD1" w:rsidRDefault="00CD55F1" w:rsidP="00024DD9">
            <w:pPr>
              <w:jc w:val="center"/>
            </w:pPr>
            <w:r w:rsidRPr="00F60A9B">
              <w:rPr>
                <w:rFonts w:ascii="Calibri" w:hAnsi="Calibri" w:cs="Calibri"/>
              </w:rPr>
              <w:t>0</w:t>
            </w:r>
          </w:p>
        </w:tc>
        <w:tc>
          <w:tcPr>
            <w:tcW w:w="939" w:type="dxa"/>
            <w:vAlign w:val="center"/>
          </w:tcPr>
          <w:p w14:paraId="2567947A" w14:textId="77777777" w:rsidR="00CD55F1" w:rsidRDefault="00CD55F1" w:rsidP="00024DD9">
            <w:pPr>
              <w:jc w:val="center"/>
            </w:pPr>
            <w:r w:rsidRPr="00F60A9B">
              <w:rPr>
                <w:rFonts w:ascii="Calibri" w:hAnsi="Calibri" w:cs="Calibri"/>
              </w:rPr>
              <w:t>0</w:t>
            </w:r>
          </w:p>
        </w:tc>
      </w:tr>
      <w:tr w:rsidR="00CD55F1" w:rsidRPr="00F60A9B" w14:paraId="443DA446" w14:textId="77777777" w:rsidTr="00024DD9">
        <w:trPr>
          <w:jc w:val="center"/>
        </w:trPr>
        <w:tc>
          <w:tcPr>
            <w:tcW w:w="884" w:type="dxa"/>
            <w:tcBorders>
              <w:right w:val="single" w:sz="12" w:space="0" w:color="auto"/>
            </w:tcBorders>
          </w:tcPr>
          <w:p w14:paraId="56590C53"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313AB6A0" w14:textId="77777777" w:rsidR="00CD55F1" w:rsidRPr="00F60A9B" w:rsidRDefault="00CD55F1" w:rsidP="00024DD9">
            <w:pPr>
              <w:jc w:val="center"/>
            </w:pPr>
            <w:r>
              <w:t>0</w:t>
            </w:r>
          </w:p>
        </w:tc>
        <w:tc>
          <w:tcPr>
            <w:tcW w:w="668" w:type="dxa"/>
            <w:shd w:val="clear" w:color="auto" w:fill="D9E2F3" w:themeFill="accent1" w:themeFillTint="33"/>
            <w:vAlign w:val="center"/>
          </w:tcPr>
          <w:p w14:paraId="347CF63C" w14:textId="77777777" w:rsidR="00CD55F1" w:rsidRPr="00210DD1" w:rsidRDefault="00CD55F1" w:rsidP="00024DD9">
            <w:pPr>
              <w:jc w:val="center"/>
            </w:pPr>
            <w:r>
              <w:rPr>
                <w:rFonts w:ascii="Calibri" w:hAnsi="Calibri" w:cs="Calibri"/>
              </w:rPr>
              <w:t>0+1 = 1</w:t>
            </w:r>
          </w:p>
        </w:tc>
        <w:tc>
          <w:tcPr>
            <w:tcW w:w="680" w:type="dxa"/>
            <w:shd w:val="clear" w:color="auto" w:fill="auto"/>
            <w:vAlign w:val="center"/>
          </w:tcPr>
          <w:p w14:paraId="38FF3B08"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2887694"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3839C8FC"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1BE02E63"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02604058" w14:textId="77777777" w:rsidR="00CD55F1" w:rsidRDefault="00CD55F1" w:rsidP="00024DD9">
            <w:pPr>
              <w:jc w:val="center"/>
            </w:pPr>
            <w:r w:rsidRPr="005B7BEE">
              <w:rPr>
                <w:sz w:val="14"/>
                <w:szCs w:val="14"/>
              </w:rPr>
              <w:t>Probable</w:t>
            </w:r>
          </w:p>
        </w:tc>
        <w:tc>
          <w:tcPr>
            <w:tcW w:w="783" w:type="dxa"/>
            <w:shd w:val="clear" w:color="auto" w:fill="auto"/>
            <w:vAlign w:val="center"/>
          </w:tcPr>
          <w:p w14:paraId="4191222C" w14:textId="77777777" w:rsidR="00CD55F1" w:rsidRDefault="00CD55F1" w:rsidP="00024DD9">
            <w:pPr>
              <w:jc w:val="center"/>
            </w:pPr>
            <w:r>
              <w:rPr>
                <w:rFonts w:ascii="Calibri" w:hAnsi="Calibri" w:cs="Calibri"/>
              </w:rPr>
              <w:t>0</w:t>
            </w:r>
          </w:p>
        </w:tc>
        <w:tc>
          <w:tcPr>
            <w:tcW w:w="666" w:type="dxa"/>
            <w:shd w:val="clear" w:color="auto" w:fill="auto"/>
            <w:vAlign w:val="center"/>
          </w:tcPr>
          <w:p w14:paraId="77D8C049" w14:textId="77777777" w:rsidR="00CD55F1" w:rsidRDefault="00CD55F1" w:rsidP="00024DD9">
            <w:pPr>
              <w:jc w:val="center"/>
            </w:pPr>
            <w:r>
              <w:rPr>
                <w:rFonts w:ascii="Calibri" w:hAnsi="Calibri" w:cs="Calibri"/>
              </w:rPr>
              <w:t>0</w:t>
            </w:r>
          </w:p>
        </w:tc>
        <w:tc>
          <w:tcPr>
            <w:tcW w:w="698" w:type="dxa"/>
            <w:shd w:val="clear" w:color="auto" w:fill="auto"/>
            <w:vAlign w:val="center"/>
          </w:tcPr>
          <w:p w14:paraId="51559A3E" w14:textId="77777777" w:rsidR="00CD55F1" w:rsidRDefault="00CD55F1" w:rsidP="00024DD9">
            <w:pPr>
              <w:jc w:val="center"/>
            </w:pPr>
            <w:r>
              <w:rPr>
                <w:rFonts w:ascii="Calibri" w:hAnsi="Calibri" w:cs="Calibri"/>
              </w:rPr>
              <w:t>0</w:t>
            </w:r>
          </w:p>
        </w:tc>
        <w:tc>
          <w:tcPr>
            <w:tcW w:w="612" w:type="dxa"/>
            <w:shd w:val="clear" w:color="auto" w:fill="auto"/>
            <w:vAlign w:val="center"/>
          </w:tcPr>
          <w:p w14:paraId="5C0B21C0" w14:textId="77777777" w:rsidR="00CD55F1" w:rsidRDefault="00CD55F1" w:rsidP="00024DD9">
            <w:pPr>
              <w:jc w:val="center"/>
            </w:pPr>
            <w:r>
              <w:rPr>
                <w:rFonts w:ascii="Calibri" w:hAnsi="Calibri" w:cs="Calibri"/>
              </w:rPr>
              <w:t>0</w:t>
            </w:r>
          </w:p>
        </w:tc>
        <w:tc>
          <w:tcPr>
            <w:tcW w:w="939" w:type="dxa"/>
            <w:vAlign w:val="center"/>
          </w:tcPr>
          <w:p w14:paraId="321AABCD" w14:textId="77777777" w:rsidR="00CD55F1" w:rsidRDefault="00CD55F1" w:rsidP="00024DD9">
            <w:pPr>
              <w:jc w:val="center"/>
            </w:pPr>
            <w:r w:rsidRPr="00F60A9B">
              <w:rPr>
                <w:rFonts w:ascii="Calibri" w:hAnsi="Calibri" w:cs="Calibri"/>
              </w:rPr>
              <w:t>0</w:t>
            </w:r>
          </w:p>
        </w:tc>
      </w:tr>
      <w:tr w:rsidR="00CD55F1" w:rsidRPr="00F60A9B" w14:paraId="67F69D2D" w14:textId="77777777" w:rsidTr="00024DD9">
        <w:trPr>
          <w:jc w:val="center"/>
        </w:trPr>
        <w:tc>
          <w:tcPr>
            <w:tcW w:w="884" w:type="dxa"/>
            <w:tcBorders>
              <w:right w:val="single" w:sz="12" w:space="0" w:color="auto"/>
            </w:tcBorders>
          </w:tcPr>
          <w:p w14:paraId="0BD3F23E"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5D00DBB6" w14:textId="77777777" w:rsidR="00CD55F1" w:rsidRPr="00F60A9B" w:rsidRDefault="00CD55F1" w:rsidP="00024DD9">
            <w:pPr>
              <w:jc w:val="center"/>
            </w:pPr>
            <w:r>
              <w:rPr>
                <w:rFonts w:ascii="Calibri" w:hAnsi="Calibri" w:cs="Calibri"/>
              </w:rPr>
              <w:t>0</w:t>
            </w:r>
          </w:p>
        </w:tc>
        <w:tc>
          <w:tcPr>
            <w:tcW w:w="668" w:type="dxa"/>
            <w:shd w:val="clear" w:color="auto" w:fill="auto"/>
            <w:vAlign w:val="center"/>
          </w:tcPr>
          <w:p w14:paraId="04F9AEE3" w14:textId="77777777" w:rsidR="00CD55F1" w:rsidRPr="00210DD1" w:rsidRDefault="00CD55F1" w:rsidP="00024DD9">
            <w:pPr>
              <w:jc w:val="center"/>
            </w:pPr>
            <w:r w:rsidRPr="00F60A9B">
              <w:rPr>
                <w:rFonts w:ascii="Calibri" w:hAnsi="Calibri" w:cs="Calibri"/>
              </w:rPr>
              <w:t>0</w:t>
            </w:r>
          </w:p>
        </w:tc>
        <w:tc>
          <w:tcPr>
            <w:tcW w:w="680" w:type="dxa"/>
            <w:shd w:val="clear" w:color="auto" w:fill="auto"/>
            <w:vAlign w:val="center"/>
          </w:tcPr>
          <w:p w14:paraId="79B6DECD"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778E6258" w14:textId="77777777" w:rsidR="00CD55F1" w:rsidRPr="00210DD1" w:rsidRDefault="00CD55F1" w:rsidP="00024DD9">
            <w:pPr>
              <w:jc w:val="center"/>
            </w:pPr>
            <w:r>
              <w:t>2</w:t>
            </w:r>
          </w:p>
        </w:tc>
        <w:tc>
          <w:tcPr>
            <w:tcW w:w="939" w:type="dxa"/>
            <w:shd w:val="clear" w:color="auto" w:fill="auto"/>
            <w:vAlign w:val="center"/>
          </w:tcPr>
          <w:p w14:paraId="2C5FBE2F"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700FE06C" w14:textId="77777777" w:rsidR="00CD55F1" w:rsidRDefault="00CD55F1" w:rsidP="00024DD9">
            <w:pPr>
              <w:jc w:val="center"/>
            </w:pPr>
          </w:p>
        </w:tc>
        <w:tc>
          <w:tcPr>
            <w:tcW w:w="883" w:type="dxa"/>
            <w:shd w:val="clear" w:color="auto" w:fill="auto"/>
            <w:vAlign w:val="center"/>
          </w:tcPr>
          <w:p w14:paraId="2C2176C9" w14:textId="77777777" w:rsidR="00CD55F1" w:rsidRDefault="00CD55F1" w:rsidP="00024DD9">
            <w:pPr>
              <w:jc w:val="center"/>
            </w:pPr>
            <w:r w:rsidRPr="005B7BEE">
              <w:rPr>
                <w:sz w:val="14"/>
                <w:szCs w:val="14"/>
              </w:rPr>
              <w:t>Occasional</w:t>
            </w:r>
          </w:p>
        </w:tc>
        <w:tc>
          <w:tcPr>
            <w:tcW w:w="783" w:type="dxa"/>
            <w:shd w:val="clear" w:color="auto" w:fill="auto"/>
            <w:vAlign w:val="center"/>
          </w:tcPr>
          <w:p w14:paraId="1AD6D80F" w14:textId="77777777" w:rsidR="00CD55F1" w:rsidRDefault="00CD55F1" w:rsidP="00024DD9">
            <w:pPr>
              <w:jc w:val="center"/>
            </w:pPr>
            <w:r>
              <w:rPr>
                <w:rFonts w:ascii="Calibri" w:hAnsi="Calibri" w:cs="Calibri"/>
              </w:rPr>
              <w:t>1</w:t>
            </w:r>
          </w:p>
        </w:tc>
        <w:tc>
          <w:tcPr>
            <w:tcW w:w="666" w:type="dxa"/>
            <w:shd w:val="clear" w:color="auto" w:fill="auto"/>
            <w:vAlign w:val="center"/>
          </w:tcPr>
          <w:p w14:paraId="3F2B8586" w14:textId="77777777" w:rsidR="00CD55F1" w:rsidRDefault="00CD55F1" w:rsidP="00024DD9">
            <w:pPr>
              <w:jc w:val="center"/>
            </w:pPr>
            <w:r>
              <w:rPr>
                <w:rFonts w:ascii="Calibri" w:hAnsi="Calibri" w:cs="Calibri"/>
              </w:rPr>
              <w:t>0</w:t>
            </w:r>
          </w:p>
        </w:tc>
        <w:tc>
          <w:tcPr>
            <w:tcW w:w="698" w:type="dxa"/>
            <w:vAlign w:val="center"/>
          </w:tcPr>
          <w:p w14:paraId="03AE49DD" w14:textId="77777777" w:rsidR="00CD55F1" w:rsidRDefault="00CD55F1" w:rsidP="00024DD9">
            <w:pPr>
              <w:jc w:val="center"/>
            </w:pPr>
            <w:r>
              <w:rPr>
                <w:rFonts w:ascii="Calibri" w:hAnsi="Calibri" w:cs="Calibri"/>
              </w:rPr>
              <w:t>0</w:t>
            </w:r>
          </w:p>
        </w:tc>
        <w:tc>
          <w:tcPr>
            <w:tcW w:w="612" w:type="dxa"/>
            <w:vAlign w:val="center"/>
          </w:tcPr>
          <w:p w14:paraId="50545124" w14:textId="77777777" w:rsidR="00CD55F1" w:rsidRDefault="00CD55F1" w:rsidP="00024DD9">
            <w:pPr>
              <w:jc w:val="center"/>
            </w:pPr>
            <w:r>
              <w:rPr>
                <w:rFonts w:ascii="Calibri" w:hAnsi="Calibri" w:cs="Calibri"/>
              </w:rPr>
              <w:t>0</w:t>
            </w:r>
          </w:p>
        </w:tc>
        <w:tc>
          <w:tcPr>
            <w:tcW w:w="939" w:type="dxa"/>
            <w:shd w:val="clear" w:color="auto" w:fill="auto"/>
            <w:vAlign w:val="center"/>
          </w:tcPr>
          <w:p w14:paraId="4DB9B236" w14:textId="77777777" w:rsidR="00CD55F1" w:rsidRDefault="00CD55F1" w:rsidP="00024DD9">
            <w:pPr>
              <w:jc w:val="center"/>
            </w:pPr>
            <w:r>
              <w:rPr>
                <w:rFonts w:ascii="Calibri" w:hAnsi="Calibri" w:cs="Calibri"/>
              </w:rPr>
              <w:t>0</w:t>
            </w:r>
          </w:p>
        </w:tc>
      </w:tr>
      <w:tr w:rsidR="00CD55F1" w:rsidRPr="00F60A9B" w14:paraId="106A99D9" w14:textId="77777777" w:rsidTr="00024DD9">
        <w:trPr>
          <w:jc w:val="center"/>
        </w:trPr>
        <w:tc>
          <w:tcPr>
            <w:tcW w:w="884" w:type="dxa"/>
            <w:tcBorders>
              <w:right w:val="single" w:sz="12" w:space="0" w:color="auto"/>
            </w:tcBorders>
          </w:tcPr>
          <w:p w14:paraId="7AF8C633"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34D88039" w14:textId="77777777" w:rsidR="00CD55F1" w:rsidRPr="00F60A9B" w:rsidRDefault="00CD55F1" w:rsidP="00024DD9">
            <w:pPr>
              <w:jc w:val="center"/>
            </w:pPr>
            <w:r>
              <w:rPr>
                <w:rFonts w:ascii="Calibri" w:hAnsi="Calibri" w:cs="Calibri"/>
              </w:rPr>
              <w:t>3</w:t>
            </w:r>
          </w:p>
        </w:tc>
        <w:tc>
          <w:tcPr>
            <w:tcW w:w="668" w:type="dxa"/>
            <w:vAlign w:val="center"/>
          </w:tcPr>
          <w:p w14:paraId="70BBE18C"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2C8A5B4" w14:textId="77777777" w:rsidR="00CD55F1" w:rsidRPr="00210DD1" w:rsidRDefault="00CD55F1" w:rsidP="00024DD9">
            <w:pPr>
              <w:jc w:val="center"/>
            </w:pPr>
            <w:r>
              <w:rPr>
                <w:rFonts w:ascii="Calibri" w:hAnsi="Calibri" w:cs="Calibri"/>
              </w:rPr>
              <w:t>0</w:t>
            </w:r>
          </w:p>
        </w:tc>
        <w:tc>
          <w:tcPr>
            <w:tcW w:w="628" w:type="dxa"/>
            <w:shd w:val="clear" w:color="auto" w:fill="D9E2F3" w:themeFill="accent1" w:themeFillTint="33"/>
            <w:vAlign w:val="center"/>
          </w:tcPr>
          <w:p w14:paraId="1689CF52" w14:textId="77777777" w:rsidR="00CD55F1" w:rsidRPr="00210DD1" w:rsidRDefault="00CD55F1" w:rsidP="00024DD9">
            <w:pPr>
              <w:jc w:val="center"/>
            </w:pPr>
            <w:r>
              <w:rPr>
                <w:rFonts w:ascii="Calibri" w:hAnsi="Calibri" w:cs="Calibri"/>
              </w:rPr>
              <w:t>2-1 = 1</w:t>
            </w:r>
          </w:p>
        </w:tc>
        <w:tc>
          <w:tcPr>
            <w:tcW w:w="939" w:type="dxa"/>
            <w:shd w:val="clear" w:color="auto" w:fill="auto"/>
            <w:vAlign w:val="center"/>
          </w:tcPr>
          <w:p w14:paraId="3FE34A0A"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0D9C45E4" w14:textId="77777777" w:rsidR="00CD55F1" w:rsidRDefault="00CD55F1" w:rsidP="00024DD9">
            <w:pPr>
              <w:jc w:val="center"/>
            </w:pPr>
          </w:p>
        </w:tc>
        <w:tc>
          <w:tcPr>
            <w:tcW w:w="883" w:type="dxa"/>
            <w:shd w:val="clear" w:color="auto" w:fill="auto"/>
            <w:vAlign w:val="center"/>
          </w:tcPr>
          <w:p w14:paraId="3F31F0A7" w14:textId="77777777" w:rsidR="00CD55F1" w:rsidRDefault="00CD55F1" w:rsidP="00024DD9">
            <w:pPr>
              <w:jc w:val="center"/>
            </w:pPr>
            <w:r w:rsidRPr="005B7BEE">
              <w:rPr>
                <w:sz w:val="14"/>
                <w:szCs w:val="14"/>
              </w:rPr>
              <w:t>Remote</w:t>
            </w:r>
          </w:p>
        </w:tc>
        <w:tc>
          <w:tcPr>
            <w:tcW w:w="783" w:type="dxa"/>
            <w:shd w:val="clear" w:color="auto" w:fill="auto"/>
            <w:vAlign w:val="center"/>
          </w:tcPr>
          <w:p w14:paraId="79EA12AD" w14:textId="77777777" w:rsidR="00CD55F1" w:rsidRDefault="00CD55F1" w:rsidP="00024DD9">
            <w:pPr>
              <w:jc w:val="center"/>
            </w:pPr>
            <w:r>
              <w:rPr>
                <w:rFonts w:ascii="Calibri" w:hAnsi="Calibri" w:cs="Calibri"/>
              </w:rPr>
              <w:t>0</w:t>
            </w:r>
          </w:p>
        </w:tc>
        <w:tc>
          <w:tcPr>
            <w:tcW w:w="666" w:type="dxa"/>
            <w:shd w:val="clear" w:color="auto" w:fill="auto"/>
            <w:vAlign w:val="center"/>
          </w:tcPr>
          <w:p w14:paraId="23DB7926" w14:textId="77777777" w:rsidR="00CD55F1" w:rsidRDefault="00CD55F1" w:rsidP="00024DD9">
            <w:pPr>
              <w:jc w:val="center"/>
            </w:pPr>
            <w:r>
              <w:rPr>
                <w:rFonts w:ascii="Calibri" w:hAnsi="Calibri" w:cs="Calibri"/>
              </w:rPr>
              <w:t>2</w:t>
            </w:r>
          </w:p>
        </w:tc>
        <w:tc>
          <w:tcPr>
            <w:tcW w:w="698" w:type="dxa"/>
            <w:shd w:val="clear" w:color="auto" w:fill="auto"/>
            <w:vAlign w:val="center"/>
          </w:tcPr>
          <w:p w14:paraId="35C37BD9" w14:textId="77777777" w:rsidR="00CD55F1" w:rsidRDefault="00CD55F1" w:rsidP="00024DD9">
            <w:pPr>
              <w:jc w:val="center"/>
            </w:pPr>
            <w:r>
              <w:rPr>
                <w:rFonts w:ascii="Calibri" w:hAnsi="Calibri" w:cs="Calibri"/>
              </w:rPr>
              <w:t>0</w:t>
            </w:r>
          </w:p>
        </w:tc>
        <w:tc>
          <w:tcPr>
            <w:tcW w:w="612" w:type="dxa"/>
            <w:shd w:val="clear" w:color="auto" w:fill="auto"/>
            <w:vAlign w:val="center"/>
          </w:tcPr>
          <w:p w14:paraId="277313E4" w14:textId="77777777" w:rsidR="00CD55F1" w:rsidRDefault="00CD55F1" w:rsidP="00024DD9">
            <w:pPr>
              <w:jc w:val="center"/>
            </w:pPr>
            <w:r>
              <w:rPr>
                <w:rFonts w:ascii="Calibri" w:hAnsi="Calibri" w:cs="Calibri"/>
              </w:rPr>
              <w:t>0</w:t>
            </w:r>
          </w:p>
        </w:tc>
        <w:tc>
          <w:tcPr>
            <w:tcW w:w="939" w:type="dxa"/>
            <w:shd w:val="clear" w:color="auto" w:fill="auto"/>
            <w:vAlign w:val="center"/>
          </w:tcPr>
          <w:p w14:paraId="04CEE66D" w14:textId="77777777" w:rsidR="00CD55F1" w:rsidRDefault="00CD55F1" w:rsidP="00024DD9">
            <w:pPr>
              <w:jc w:val="center"/>
            </w:pPr>
            <w:r>
              <w:rPr>
                <w:rFonts w:ascii="Calibri" w:hAnsi="Calibri" w:cs="Calibri"/>
              </w:rPr>
              <w:t>0</w:t>
            </w:r>
          </w:p>
        </w:tc>
      </w:tr>
      <w:tr w:rsidR="00CD55F1" w:rsidRPr="00F60A9B" w14:paraId="69338633" w14:textId="77777777" w:rsidTr="00024DD9">
        <w:trPr>
          <w:jc w:val="center"/>
        </w:trPr>
        <w:tc>
          <w:tcPr>
            <w:tcW w:w="884" w:type="dxa"/>
            <w:tcBorders>
              <w:right w:val="single" w:sz="12" w:space="0" w:color="auto"/>
            </w:tcBorders>
          </w:tcPr>
          <w:p w14:paraId="649CE0CA"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71687FBE" w14:textId="77777777" w:rsidR="00CD55F1" w:rsidRPr="00F60A9B" w:rsidRDefault="00CD55F1" w:rsidP="00024DD9">
            <w:pPr>
              <w:jc w:val="center"/>
            </w:pPr>
            <w:r>
              <w:rPr>
                <w:rFonts w:ascii="Calibri" w:hAnsi="Calibri" w:cs="Calibri"/>
              </w:rPr>
              <w:t>0</w:t>
            </w:r>
          </w:p>
        </w:tc>
        <w:tc>
          <w:tcPr>
            <w:tcW w:w="668" w:type="dxa"/>
            <w:vAlign w:val="center"/>
          </w:tcPr>
          <w:p w14:paraId="50F99E79"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3416AF1"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FB05101"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3A2068B5"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085DBD53" w14:textId="77777777" w:rsidR="00CD55F1" w:rsidRDefault="00CD55F1" w:rsidP="00024DD9">
            <w:pPr>
              <w:keepNext/>
              <w:jc w:val="center"/>
            </w:pPr>
          </w:p>
        </w:tc>
        <w:tc>
          <w:tcPr>
            <w:tcW w:w="883" w:type="dxa"/>
            <w:vAlign w:val="center"/>
          </w:tcPr>
          <w:p w14:paraId="0F34DD44" w14:textId="77777777" w:rsidR="00CD55F1" w:rsidRDefault="00CD55F1" w:rsidP="00024DD9">
            <w:pPr>
              <w:keepNext/>
              <w:jc w:val="center"/>
            </w:pPr>
            <w:r w:rsidRPr="005B7BEE">
              <w:rPr>
                <w:sz w:val="14"/>
                <w:szCs w:val="14"/>
              </w:rPr>
              <w:t>Improbable</w:t>
            </w:r>
          </w:p>
        </w:tc>
        <w:tc>
          <w:tcPr>
            <w:tcW w:w="783" w:type="dxa"/>
            <w:vAlign w:val="center"/>
          </w:tcPr>
          <w:p w14:paraId="7A193172" w14:textId="77777777" w:rsidR="00CD55F1" w:rsidRDefault="00CD55F1" w:rsidP="00024DD9">
            <w:pPr>
              <w:keepNext/>
              <w:jc w:val="center"/>
            </w:pPr>
            <w:r>
              <w:rPr>
                <w:rFonts w:ascii="Calibri" w:hAnsi="Calibri" w:cs="Calibri"/>
              </w:rPr>
              <w:t>0</w:t>
            </w:r>
          </w:p>
        </w:tc>
        <w:tc>
          <w:tcPr>
            <w:tcW w:w="666" w:type="dxa"/>
            <w:vAlign w:val="center"/>
          </w:tcPr>
          <w:p w14:paraId="338AE803" w14:textId="77777777" w:rsidR="00CD55F1" w:rsidRDefault="00CD55F1" w:rsidP="00024DD9">
            <w:pPr>
              <w:keepNext/>
              <w:jc w:val="center"/>
            </w:pPr>
            <w:r>
              <w:rPr>
                <w:rFonts w:ascii="Calibri" w:hAnsi="Calibri" w:cs="Calibri"/>
              </w:rPr>
              <w:t>1</w:t>
            </w:r>
          </w:p>
        </w:tc>
        <w:tc>
          <w:tcPr>
            <w:tcW w:w="698" w:type="dxa"/>
            <w:vAlign w:val="center"/>
          </w:tcPr>
          <w:p w14:paraId="72F38FD5"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04E1C8EE" w14:textId="77777777" w:rsidR="00CD55F1" w:rsidRDefault="00CD55F1" w:rsidP="00024DD9">
            <w:pPr>
              <w:keepNext/>
              <w:jc w:val="center"/>
            </w:pPr>
            <w:r>
              <w:rPr>
                <w:rFonts w:ascii="Calibri" w:hAnsi="Calibri" w:cs="Calibri"/>
              </w:rPr>
              <w:t>0</w:t>
            </w:r>
          </w:p>
        </w:tc>
        <w:tc>
          <w:tcPr>
            <w:tcW w:w="939" w:type="dxa"/>
            <w:vAlign w:val="center"/>
          </w:tcPr>
          <w:p w14:paraId="64E61153" w14:textId="77777777" w:rsidR="00CD55F1" w:rsidRDefault="00CD55F1" w:rsidP="00024DD9">
            <w:pPr>
              <w:keepNext/>
              <w:jc w:val="center"/>
            </w:pPr>
            <w:r w:rsidRPr="00F60A9B">
              <w:rPr>
                <w:rFonts w:ascii="Calibri" w:hAnsi="Calibri" w:cs="Calibri"/>
              </w:rPr>
              <w:t>0</w:t>
            </w:r>
          </w:p>
        </w:tc>
      </w:tr>
    </w:tbl>
    <w:p w14:paraId="78B045B0" w14:textId="013B0C8E" w:rsidR="00CD55F1" w:rsidRDefault="00CD55F1">
      <w:pPr>
        <w:pStyle w:val="ListParagraph"/>
        <w:numPr>
          <w:ilvl w:val="0"/>
          <w:numId w:val="27"/>
        </w:numPr>
        <w:spacing w:before="160"/>
      </w:pPr>
      <w:r>
        <w:t xml:space="preserve">Second, we will use </w:t>
      </w:r>
      <w:r w:rsidR="0036794A">
        <w:fldChar w:fldCharType="begin"/>
      </w:r>
      <w:r w:rsidR="0036794A">
        <w:instrText xml:space="preserve"> REF _Ref151223378 \h </w:instrText>
      </w:r>
      <w:r w:rsidR="0036794A">
        <w:fldChar w:fldCharType="separate"/>
      </w:r>
      <w:r w:rsidR="0036794A" w:rsidRPr="00646086">
        <w:rPr>
          <w:rFonts w:eastAsia="TimesNewRomanPSMT" w:cs="TimesNewRomanPSMT"/>
          <w:b/>
          <w:color w:val="000000"/>
          <w:u w:val="single"/>
        </w:rPr>
        <w:t>Moving Repeated Risks</w:t>
      </w:r>
      <w:r w:rsidR="0036794A">
        <w:fldChar w:fldCharType="end"/>
      </w:r>
      <w:r>
        <w:t xml:space="preserve"> to move the ‘Probable-Minor’ Risk down one row: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1DF08A26" w14:textId="77777777" w:rsidTr="00024DD9">
        <w:trPr>
          <w:tblHeader/>
          <w:jc w:val="center"/>
        </w:trPr>
        <w:tc>
          <w:tcPr>
            <w:tcW w:w="884" w:type="dxa"/>
            <w:tcBorders>
              <w:top w:val="nil"/>
              <w:left w:val="nil"/>
              <w:bottom w:val="single" w:sz="4" w:space="0" w:color="auto"/>
            </w:tcBorders>
            <w:vAlign w:val="center"/>
          </w:tcPr>
          <w:p w14:paraId="1D6E781C"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320297B9"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28836DF9"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551EB429"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15F26668"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0F4F71A3" w14:textId="77777777" w:rsidR="00CD55F1" w:rsidRPr="005B7BEE" w:rsidRDefault="00CD55F1" w:rsidP="00024DD9">
            <w:pPr>
              <w:jc w:val="center"/>
              <w:rPr>
                <w:sz w:val="14"/>
                <w:szCs w:val="14"/>
              </w:rPr>
            </w:pPr>
            <w:r w:rsidRPr="005B7BEE">
              <w:rPr>
                <w:sz w:val="14"/>
                <w:szCs w:val="14"/>
              </w:rPr>
              <w:t xml:space="preserve">Catastrophic </w:t>
            </w:r>
          </w:p>
          <w:p w14:paraId="75C7231F"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739B6334"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2B39C757"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62A11B69"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59A57DEF"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3CDD1E27"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09DAA054"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2345680C" w14:textId="77777777" w:rsidR="00CD55F1" w:rsidRPr="005B7BEE" w:rsidRDefault="00CD55F1" w:rsidP="00024DD9">
            <w:pPr>
              <w:jc w:val="center"/>
              <w:rPr>
                <w:sz w:val="14"/>
                <w:szCs w:val="14"/>
              </w:rPr>
            </w:pPr>
            <w:r w:rsidRPr="005B7BEE">
              <w:rPr>
                <w:sz w:val="14"/>
                <w:szCs w:val="14"/>
              </w:rPr>
              <w:t xml:space="preserve">Catastrophic </w:t>
            </w:r>
          </w:p>
          <w:p w14:paraId="38B54A4F"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3D6E24E5" w14:textId="77777777" w:rsidTr="00024DD9">
        <w:trPr>
          <w:jc w:val="center"/>
        </w:trPr>
        <w:tc>
          <w:tcPr>
            <w:tcW w:w="884" w:type="dxa"/>
            <w:tcBorders>
              <w:top w:val="single" w:sz="4" w:space="0" w:color="auto"/>
              <w:right w:val="single" w:sz="12" w:space="0" w:color="auto"/>
            </w:tcBorders>
          </w:tcPr>
          <w:p w14:paraId="2FF0984A"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3C0F2979" w14:textId="77777777" w:rsidR="00CD55F1" w:rsidRPr="00F60A9B" w:rsidRDefault="00CD55F1" w:rsidP="00024DD9">
            <w:pPr>
              <w:jc w:val="center"/>
            </w:pPr>
            <w:r>
              <w:t>0</w:t>
            </w:r>
          </w:p>
        </w:tc>
        <w:tc>
          <w:tcPr>
            <w:tcW w:w="668" w:type="dxa"/>
            <w:tcBorders>
              <w:top w:val="single" w:sz="12" w:space="0" w:color="auto"/>
            </w:tcBorders>
            <w:vAlign w:val="center"/>
          </w:tcPr>
          <w:p w14:paraId="2CB6D196" w14:textId="77777777" w:rsidR="00CD55F1" w:rsidRPr="00210DD1" w:rsidRDefault="00CD55F1" w:rsidP="00024DD9">
            <w:pPr>
              <w:jc w:val="center"/>
            </w:pPr>
            <w:r>
              <w:t>0</w:t>
            </w:r>
          </w:p>
        </w:tc>
        <w:tc>
          <w:tcPr>
            <w:tcW w:w="680" w:type="dxa"/>
            <w:tcBorders>
              <w:top w:val="single" w:sz="12" w:space="0" w:color="auto"/>
            </w:tcBorders>
            <w:vAlign w:val="center"/>
          </w:tcPr>
          <w:p w14:paraId="7C933E08" w14:textId="77777777" w:rsidR="00CD55F1" w:rsidRPr="00210DD1" w:rsidRDefault="00CD55F1" w:rsidP="00024DD9">
            <w:pPr>
              <w:jc w:val="center"/>
            </w:pPr>
            <w:r>
              <w:t>0</w:t>
            </w:r>
          </w:p>
        </w:tc>
        <w:tc>
          <w:tcPr>
            <w:tcW w:w="628" w:type="dxa"/>
            <w:tcBorders>
              <w:top w:val="single" w:sz="12" w:space="0" w:color="auto"/>
            </w:tcBorders>
            <w:vAlign w:val="center"/>
          </w:tcPr>
          <w:p w14:paraId="37BFB13E" w14:textId="77777777" w:rsidR="00CD55F1" w:rsidRPr="00210DD1" w:rsidRDefault="00CD55F1" w:rsidP="00024DD9">
            <w:pPr>
              <w:jc w:val="center"/>
            </w:pPr>
            <w:r>
              <w:t>0</w:t>
            </w:r>
          </w:p>
        </w:tc>
        <w:tc>
          <w:tcPr>
            <w:tcW w:w="939" w:type="dxa"/>
            <w:tcBorders>
              <w:top w:val="single" w:sz="12" w:space="0" w:color="auto"/>
            </w:tcBorders>
            <w:vAlign w:val="center"/>
          </w:tcPr>
          <w:p w14:paraId="4FFF6692" w14:textId="77777777" w:rsidR="00CD55F1" w:rsidRPr="00F60A9B" w:rsidRDefault="00CD55F1" w:rsidP="00024DD9">
            <w:pPr>
              <w:jc w:val="center"/>
            </w:pPr>
            <w:r>
              <w:t>0</w:t>
            </w:r>
          </w:p>
        </w:tc>
        <w:tc>
          <w:tcPr>
            <w:tcW w:w="287" w:type="dxa"/>
            <w:tcBorders>
              <w:top w:val="nil"/>
              <w:left w:val="nil"/>
              <w:bottom w:val="nil"/>
              <w:right w:val="nil"/>
            </w:tcBorders>
            <w:vAlign w:val="center"/>
          </w:tcPr>
          <w:p w14:paraId="140EE115" w14:textId="77777777" w:rsidR="00CD55F1" w:rsidRDefault="00CD55F1" w:rsidP="00024DD9">
            <w:pPr>
              <w:jc w:val="center"/>
            </w:pPr>
          </w:p>
        </w:tc>
        <w:tc>
          <w:tcPr>
            <w:tcW w:w="883" w:type="dxa"/>
            <w:tcBorders>
              <w:top w:val="single" w:sz="12" w:space="0" w:color="auto"/>
            </w:tcBorders>
            <w:vAlign w:val="center"/>
          </w:tcPr>
          <w:p w14:paraId="19DDA7A4"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6774FD37" w14:textId="77777777" w:rsidR="00CD55F1" w:rsidRDefault="00CD55F1" w:rsidP="00024DD9">
            <w:pPr>
              <w:jc w:val="center"/>
            </w:pPr>
            <w:r>
              <w:t>0</w:t>
            </w:r>
          </w:p>
        </w:tc>
        <w:tc>
          <w:tcPr>
            <w:tcW w:w="666" w:type="dxa"/>
            <w:tcBorders>
              <w:top w:val="single" w:sz="12" w:space="0" w:color="auto"/>
            </w:tcBorders>
            <w:vAlign w:val="center"/>
          </w:tcPr>
          <w:p w14:paraId="0E23217E" w14:textId="77777777" w:rsidR="00CD55F1" w:rsidRDefault="00CD55F1" w:rsidP="00024DD9">
            <w:pPr>
              <w:jc w:val="center"/>
            </w:pPr>
            <w:r>
              <w:t>0</w:t>
            </w:r>
          </w:p>
        </w:tc>
        <w:tc>
          <w:tcPr>
            <w:tcW w:w="698" w:type="dxa"/>
            <w:tcBorders>
              <w:top w:val="single" w:sz="12" w:space="0" w:color="auto"/>
            </w:tcBorders>
            <w:vAlign w:val="center"/>
          </w:tcPr>
          <w:p w14:paraId="74C89192" w14:textId="77777777" w:rsidR="00CD55F1" w:rsidRDefault="00CD55F1" w:rsidP="00024DD9">
            <w:pPr>
              <w:jc w:val="center"/>
            </w:pPr>
            <w:r>
              <w:t>0</w:t>
            </w:r>
          </w:p>
        </w:tc>
        <w:tc>
          <w:tcPr>
            <w:tcW w:w="612" w:type="dxa"/>
            <w:tcBorders>
              <w:top w:val="single" w:sz="12" w:space="0" w:color="auto"/>
            </w:tcBorders>
            <w:vAlign w:val="center"/>
          </w:tcPr>
          <w:p w14:paraId="4D859416" w14:textId="77777777" w:rsidR="00CD55F1" w:rsidRDefault="00CD55F1" w:rsidP="00024DD9">
            <w:pPr>
              <w:jc w:val="center"/>
            </w:pPr>
            <w:r>
              <w:t>0</w:t>
            </w:r>
          </w:p>
        </w:tc>
        <w:tc>
          <w:tcPr>
            <w:tcW w:w="939" w:type="dxa"/>
            <w:tcBorders>
              <w:top w:val="single" w:sz="12" w:space="0" w:color="auto"/>
            </w:tcBorders>
            <w:vAlign w:val="center"/>
          </w:tcPr>
          <w:p w14:paraId="188EE82F" w14:textId="77777777" w:rsidR="00CD55F1" w:rsidRDefault="00CD55F1" w:rsidP="00024DD9">
            <w:pPr>
              <w:jc w:val="center"/>
            </w:pPr>
            <w:r>
              <w:t>0</w:t>
            </w:r>
          </w:p>
        </w:tc>
      </w:tr>
      <w:tr w:rsidR="00CD55F1" w:rsidRPr="00F60A9B" w14:paraId="24C6F604" w14:textId="77777777" w:rsidTr="00024DD9">
        <w:trPr>
          <w:jc w:val="center"/>
        </w:trPr>
        <w:tc>
          <w:tcPr>
            <w:tcW w:w="884" w:type="dxa"/>
            <w:tcBorders>
              <w:right w:val="single" w:sz="12" w:space="0" w:color="auto"/>
            </w:tcBorders>
          </w:tcPr>
          <w:p w14:paraId="458A4C84"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65A6504C" w14:textId="77777777" w:rsidR="00CD55F1" w:rsidRDefault="00CD55F1" w:rsidP="00024DD9">
            <w:pPr>
              <w:jc w:val="center"/>
            </w:pPr>
            <w:r>
              <w:t>0</w:t>
            </w:r>
          </w:p>
        </w:tc>
        <w:tc>
          <w:tcPr>
            <w:tcW w:w="668" w:type="dxa"/>
            <w:shd w:val="clear" w:color="auto" w:fill="auto"/>
            <w:vAlign w:val="center"/>
          </w:tcPr>
          <w:p w14:paraId="3863667A" w14:textId="77777777" w:rsidR="00CD55F1" w:rsidRPr="00210DD1" w:rsidRDefault="00CD55F1" w:rsidP="00024DD9">
            <w:pPr>
              <w:jc w:val="center"/>
            </w:pPr>
            <w:r>
              <w:t>0</w:t>
            </w:r>
          </w:p>
        </w:tc>
        <w:tc>
          <w:tcPr>
            <w:tcW w:w="680" w:type="dxa"/>
            <w:vAlign w:val="center"/>
          </w:tcPr>
          <w:p w14:paraId="585F1B41" w14:textId="77777777" w:rsidR="00CD55F1" w:rsidRPr="00210DD1" w:rsidRDefault="00CD55F1" w:rsidP="00024DD9">
            <w:pPr>
              <w:jc w:val="center"/>
            </w:pPr>
            <w:r>
              <w:t>0</w:t>
            </w:r>
          </w:p>
        </w:tc>
        <w:tc>
          <w:tcPr>
            <w:tcW w:w="628" w:type="dxa"/>
            <w:vAlign w:val="center"/>
          </w:tcPr>
          <w:p w14:paraId="53A56AA6" w14:textId="77777777" w:rsidR="00CD55F1" w:rsidRPr="00210DD1" w:rsidRDefault="00CD55F1" w:rsidP="00024DD9">
            <w:pPr>
              <w:jc w:val="center"/>
            </w:pPr>
            <w:r>
              <w:t>0</w:t>
            </w:r>
          </w:p>
        </w:tc>
        <w:tc>
          <w:tcPr>
            <w:tcW w:w="939" w:type="dxa"/>
            <w:vAlign w:val="center"/>
          </w:tcPr>
          <w:p w14:paraId="0BF93A93" w14:textId="77777777" w:rsidR="00CD55F1" w:rsidRDefault="00CD55F1" w:rsidP="00024DD9">
            <w:pPr>
              <w:jc w:val="center"/>
            </w:pPr>
            <w:r>
              <w:t>0</w:t>
            </w:r>
          </w:p>
        </w:tc>
        <w:tc>
          <w:tcPr>
            <w:tcW w:w="287" w:type="dxa"/>
            <w:tcBorders>
              <w:top w:val="nil"/>
              <w:left w:val="nil"/>
              <w:bottom w:val="nil"/>
              <w:right w:val="nil"/>
            </w:tcBorders>
            <w:vAlign w:val="center"/>
          </w:tcPr>
          <w:p w14:paraId="7348CBD4" w14:textId="77777777" w:rsidR="00CD55F1" w:rsidRDefault="00CD55F1" w:rsidP="00024DD9">
            <w:pPr>
              <w:jc w:val="center"/>
            </w:pPr>
          </w:p>
        </w:tc>
        <w:tc>
          <w:tcPr>
            <w:tcW w:w="883" w:type="dxa"/>
            <w:vAlign w:val="center"/>
          </w:tcPr>
          <w:p w14:paraId="4AC06738" w14:textId="77777777" w:rsidR="00CD55F1" w:rsidRPr="005B7BEE" w:rsidRDefault="00CD55F1" w:rsidP="00024DD9">
            <w:pPr>
              <w:jc w:val="center"/>
              <w:rPr>
                <w:sz w:val="14"/>
                <w:szCs w:val="14"/>
              </w:rPr>
            </w:pPr>
            <w:r>
              <w:rPr>
                <w:sz w:val="14"/>
                <w:szCs w:val="14"/>
              </w:rPr>
              <w:t>Often</w:t>
            </w:r>
          </w:p>
        </w:tc>
        <w:tc>
          <w:tcPr>
            <w:tcW w:w="783" w:type="dxa"/>
            <w:vAlign w:val="center"/>
          </w:tcPr>
          <w:p w14:paraId="5244BC10" w14:textId="77777777" w:rsidR="00CD55F1" w:rsidRDefault="00CD55F1" w:rsidP="00024DD9">
            <w:pPr>
              <w:jc w:val="center"/>
            </w:pPr>
            <w:r>
              <w:t>0</w:t>
            </w:r>
          </w:p>
        </w:tc>
        <w:tc>
          <w:tcPr>
            <w:tcW w:w="666" w:type="dxa"/>
            <w:vAlign w:val="center"/>
          </w:tcPr>
          <w:p w14:paraId="31EFA128" w14:textId="77777777" w:rsidR="00CD55F1" w:rsidRPr="00210DD1" w:rsidRDefault="00CD55F1" w:rsidP="00024DD9">
            <w:pPr>
              <w:jc w:val="center"/>
            </w:pPr>
            <w:r>
              <w:t>0</w:t>
            </w:r>
          </w:p>
        </w:tc>
        <w:tc>
          <w:tcPr>
            <w:tcW w:w="698" w:type="dxa"/>
            <w:vAlign w:val="center"/>
          </w:tcPr>
          <w:p w14:paraId="51065239" w14:textId="77777777" w:rsidR="00CD55F1" w:rsidRPr="00210DD1" w:rsidRDefault="00CD55F1" w:rsidP="00024DD9">
            <w:pPr>
              <w:jc w:val="center"/>
            </w:pPr>
            <w:r>
              <w:t>0</w:t>
            </w:r>
          </w:p>
        </w:tc>
        <w:tc>
          <w:tcPr>
            <w:tcW w:w="612" w:type="dxa"/>
            <w:vAlign w:val="center"/>
          </w:tcPr>
          <w:p w14:paraId="7A8D349D" w14:textId="77777777" w:rsidR="00CD55F1" w:rsidRPr="00210DD1" w:rsidRDefault="00CD55F1" w:rsidP="00024DD9">
            <w:pPr>
              <w:jc w:val="center"/>
            </w:pPr>
            <w:r>
              <w:t>0</w:t>
            </w:r>
          </w:p>
        </w:tc>
        <w:tc>
          <w:tcPr>
            <w:tcW w:w="939" w:type="dxa"/>
            <w:vAlign w:val="center"/>
          </w:tcPr>
          <w:p w14:paraId="1628580F" w14:textId="77777777" w:rsidR="00CD55F1" w:rsidRDefault="00CD55F1" w:rsidP="00024DD9">
            <w:pPr>
              <w:jc w:val="center"/>
            </w:pPr>
            <w:r>
              <w:t>0</w:t>
            </w:r>
          </w:p>
        </w:tc>
      </w:tr>
      <w:tr w:rsidR="00CD55F1" w:rsidRPr="00F60A9B" w14:paraId="719FDA74" w14:textId="77777777" w:rsidTr="00024DD9">
        <w:trPr>
          <w:jc w:val="center"/>
        </w:trPr>
        <w:tc>
          <w:tcPr>
            <w:tcW w:w="884" w:type="dxa"/>
            <w:tcBorders>
              <w:right w:val="single" w:sz="12" w:space="0" w:color="auto"/>
            </w:tcBorders>
          </w:tcPr>
          <w:p w14:paraId="7FD8C4A0"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39FC31C6" w14:textId="77777777" w:rsidR="00CD55F1" w:rsidRDefault="00CD55F1" w:rsidP="00024DD9">
            <w:pPr>
              <w:jc w:val="center"/>
            </w:pPr>
            <w:r>
              <w:t>0</w:t>
            </w:r>
          </w:p>
        </w:tc>
        <w:tc>
          <w:tcPr>
            <w:tcW w:w="668" w:type="dxa"/>
            <w:shd w:val="clear" w:color="auto" w:fill="auto"/>
            <w:vAlign w:val="center"/>
          </w:tcPr>
          <w:p w14:paraId="1B0E5851"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05ED7AC"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1849676"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768CF073"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17F165D7" w14:textId="77777777" w:rsidR="00CD55F1" w:rsidRDefault="00CD55F1" w:rsidP="00024DD9">
            <w:pPr>
              <w:jc w:val="center"/>
            </w:pPr>
          </w:p>
        </w:tc>
        <w:tc>
          <w:tcPr>
            <w:tcW w:w="883" w:type="dxa"/>
            <w:shd w:val="clear" w:color="auto" w:fill="auto"/>
            <w:vAlign w:val="center"/>
          </w:tcPr>
          <w:p w14:paraId="22DC988A"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03D498CA" w14:textId="77777777" w:rsidR="00CD55F1" w:rsidRDefault="00CD55F1" w:rsidP="00024DD9">
            <w:pPr>
              <w:jc w:val="center"/>
            </w:pPr>
            <w:r>
              <w:rPr>
                <w:rFonts w:ascii="Calibri" w:hAnsi="Calibri" w:cs="Calibri"/>
              </w:rPr>
              <w:t>0</w:t>
            </w:r>
          </w:p>
        </w:tc>
        <w:tc>
          <w:tcPr>
            <w:tcW w:w="666" w:type="dxa"/>
            <w:shd w:val="clear" w:color="auto" w:fill="auto"/>
            <w:vAlign w:val="center"/>
          </w:tcPr>
          <w:p w14:paraId="0DF628C5" w14:textId="77777777" w:rsidR="00CD55F1" w:rsidRPr="00210DD1" w:rsidRDefault="00CD55F1" w:rsidP="00024DD9">
            <w:pPr>
              <w:jc w:val="center"/>
            </w:pPr>
            <w:r>
              <w:rPr>
                <w:rFonts w:ascii="Calibri" w:hAnsi="Calibri" w:cs="Calibri"/>
              </w:rPr>
              <w:t>0</w:t>
            </w:r>
          </w:p>
        </w:tc>
        <w:tc>
          <w:tcPr>
            <w:tcW w:w="698" w:type="dxa"/>
            <w:shd w:val="clear" w:color="auto" w:fill="auto"/>
            <w:vAlign w:val="center"/>
          </w:tcPr>
          <w:p w14:paraId="3786C790" w14:textId="77777777" w:rsidR="00CD55F1" w:rsidRPr="00210DD1" w:rsidRDefault="00CD55F1" w:rsidP="00024DD9">
            <w:pPr>
              <w:jc w:val="center"/>
            </w:pPr>
            <w:r w:rsidRPr="00F60A9B">
              <w:rPr>
                <w:rFonts w:ascii="Calibri" w:hAnsi="Calibri" w:cs="Calibri"/>
              </w:rPr>
              <w:t>0</w:t>
            </w:r>
          </w:p>
        </w:tc>
        <w:tc>
          <w:tcPr>
            <w:tcW w:w="612" w:type="dxa"/>
            <w:vAlign w:val="center"/>
          </w:tcPr>
          <w:p w14:paraId="48A2A96B" w14:textId="77777777" w:rsidR="00CD55F1" w:rsidRPr="00210DD1" w:rsidRDefault="00CD55F1" w:rsidP="00024DD9">
            <w:pPr>
              <w:jc w:val="center"/>
            </w:pPr>
            <w:r w:rsidRPr="00F60A9B">
              <w:rPr>
                <w:rFonts w:ascii="Calibri" w:hAnsi="Calibri" w:cs="Calibri"/>
              </w:rPr>
              <w:t>0</w:t>
            </w:r>
          </w:p>
        </w:tc>
        <w:tc>
          <w:tcPr>
            <w:tcW w:w="939" w:type="dxa"/>
            <w:vAlign w:val="center"/>
          </w:tcPr>
          <w:p w14:paraId="234A3A00" w14:textId="77777777" w:rsidR="00CD55F1" w:rsidRDefault="00CD55F1" w:rsidP="00024DD9">
            <w:pPr>
              <w:jc w:val="center"/>
            </w:pPr>
            <w:r w:rsidRPr="00F60A9B">
              <w:rPr>
                <w:rFonts w:ascii="Calibri" w:hAnsi="Calibri" w:cs="Calibri"/>
              </w:rPr>
              <w:t>0</w:t>
            </w:r>
          </w:p>
        </w:tc>
      </w:tr>
      <w:tr w:rsidR="00CD55F1" w:rsidRPr="00F60A9B" w14:paraId="74C5FA23" w14:textId="77777777" w:rsidTr="00024DD9">
        <w:trPr>
          <w:jc w:val="center"/>
        </w:trPr>
        <w:tc>
          <w:tcPr>
            <w:tcW w:w="884" w:type="dxa"/>
            <w:tcBorders>
              <w:right w:val="single" w:sz="12" w:space="0" w:color="auto"/>
            </w:tcBorders>
          </w:tcPr>
          <w:p w14:paraId="1C8C86C9"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561B7D33" w14:textId="77777777" w:rsidR="00CD55F1" w:rsidRPr="00F60A9B" w:rsidRDefault="00CD55F1" w:rsidP="00024DD9">
            <w:pPr>
              <w:jc w:val="center"/>
            </w:pPr>
            <w:r>
              <w:t>0</w:t>
            </w:r>
          </w:p>
        </w:tc>
        <w:tc>
          <w:tcPr>
            <w:tcW w:w="668" w:type="dxa"/>
            <w:shd w:val="clear" w:color="auto" w:fill="D9E2F3" w:themeFill="accent1" w:themeFillTint="33"/>
            <w:vAlign w:val="center"/>
          </w:tcPr>
          <w:p w14:paraId="779EDF7F" w14:textId="77777777" w:rsidR="00CD55F1" w:rsidRPr="00210DD1" w:rsidRDefault="00CD55F1" w:rsidP="00024DD9">
            <w:pPr>
              <w:jc w:val="center"/>
            </w:pPr>
            <w:r>
              <w:rPr>
                <w:rFonts w:ascii="Calibri" w:hAnsi="Calibri" w:cs="Calibri"/>
              </w:rPr>
              <w:t>1-1 = 0</w:t>
            </w:r>
          </w:p>
        </w:tc>
        <w:tc>
          <w:tcPr>
            <w:tcW w:w="680" w:type="dxa"/>
            <w:shd w:val="clear" w:color="auto" w:fill="auto"/>
            <w:vAlign w:val="center"/>
          </w:tcPr>
          <w:p w14:paraId="24F10067"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CA92D3C"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11392B05"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59341896"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3EA00E0E" w14:textId="77777777" w:rsidR="00CD55F1" w:rsidRDefault="00CD55F1" w:rsidP="00024DD9">
            <w:pPr>
              <w:jc w:val="center"/>
            </w:pPr>
            <w:r w:rsidRPr="005B7BEE">
              <w:rPr>
                <w:sz w:val="14"/>
                <w:szCs w:val="14"/>
              </w:rPr>
              <w:t>Probable</w:t>
            </w:r>
          </w:p>
        </w:tc>
        <w:tc>
          <w:tcPr>
            <w:tcW w:w="783" w:type="dxa"/>
            <w:shd w:val="clear" w:color="auto" w:fill="auto"/>
            <w:vAlign w:val="center"/>
          </w:tcPr>
          <w:p w14:paraId="1D480794" w14:textId="77777777" w:rsidR="00CD55F1" w:rsidRDefault="00CD55F1" w:rsidP="00024DD9">
            <w:pPr>
              <w:jc w:val="center"/>
            </w:pPr>
            <w:r>
              <w:rPr>
                <w:rFonts w:ascii="Calibri" w:hAnsi="Calibri" w:cs="Calibri"/>
              </w:rPr>
              <w:t>0</w:t>
            </w:r>
          </w:p>
        </w:tc>
        <w:tc>
          <w:tcPr>
            <w:tcW w:w="666" w:type="dxa"/>
            <w:shd w:val="clear" w:color="auto" w:fill="auto"/>
            <w:vAlign w:val="center"/>
          </w:tcPr>
          <w:p w14:paraId="6F578018" w14:textId="77777777" w:rsidR="00CD55F1" w:rsidRDefault="00CD55F1" w:rsidP="00024DD9">
            <w:pPr>
              <w:jc w:val="center"/>
            </w:pPr>
            <w:r>
              <w:rPr>
                <w:rFonts w:ascii="Calibri" w:hAnsi="Calibri" w:cs="Calibri"/>
              </w:rPr>
              <w:t>0</w:t>
            </w:r>
          </w:p>
        </w:tc>
        <w:tc>
          <w:tcPr>
            <w:tcW w:w="698" w:type="dxa"/>
            <w:shd w:val="clear" w:color="auto" w:fill="auto"/>
            <w:vAlign w:val="center"/>
          </w:tcPr>
          <w:p w14:paraId="0ADA15ED" w14:textId="77777777" w:rsidR="00CD55F1" w:rsidRDefault="00CD55F1" w:rsidP="00024DD9">
            <w:pPr>
              <w:jc w:val="center"/>
            </w:pPr>
            <w:r>
              <w:rPr>
                <w:rFonts w:ascii="Calibri" w:hAnsi="Calibri" w:cs="Calibri"/>
              </w:rPr>
              <w:t>0</w:t>
            </w:r>
          </w:p>
        </w:tc>
        <w:tc>
          <w:tcPr>
            <w:tcW w:w="612" w:type="dxa"/>
            <w:shd w:val="clear" w:color="auto" w:fill="auto"/>
            <w:vAlign w:val="center"/>
          </w:tcPr>
          <w:p w14:paraId="6B87ECA7" w14:textId="77777777" w:rsidR="00CD55F1" w:rsidRDefault="00CD55F1" w:rsidP="00024DD9">
            <w:pPr>
              <w:jc w:val="center"/>
            </w:pPr>
            <w:r>
              <w:rPr>
                <w:rFonts w:ascii="Calibri" w:hAnsi="Calibri" w:cs="Calibri"/>
              </w:rPr>
              <w:t>0</w:t>
            </w:r>
          </w:p>
        </w:tc>
        <w:tc>
          <w:tcPr>
            <w:tcW w:w="939" w:type="dxa"/>
            <w:vAlign w:val="center"/>
          </w:tcPr>
          <w:p w14:paraId="588EAE6A" w14:textId="77777777" w:rsidR="00CD55F1" w:rsidRDefault="00CD55F1" w:rsidP="00024DD9">
            <w:pPr>
              <w:jc w:val="center"/>
            </w:pPr>
            <w:r w:rsidRPr="00F60A9B">
              <w:rPr>
                <w:rFonts w:ascii="Calibri" w:hAnsi="Calibri" w:cs="Calibri"/>
              </w:rPr>
              <w:t>0</w:t>
            </w:r>
          </w:p>
        </w:tc>
      </w:tr>
      <w:tr w:rsidR="00CD55F1" w:rsidRPr="00F60A9B" w14:paraId="12D5BDD9" w14:textId="77777777" w:rsidTr="00024DD9">
        <w:trPr>
          <w:jc w:val="center"/>
        </w:trPr>
        <w:tc>
          <w:tcPr>
            <w:tcW w:w="884" w:type="dxa"/>
            <w:tcBorders>
              <w:right w:val="single" w:sz="12" w:space="0" w:color="auto"/>
            </w:tcBorders>
          </w:tcPr>
          <w:p w14:paraId="6A1A048D"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032D8E89" w14:textId="77777777" w:rsidR="00CD55F1" w:rsidRPr="00F60A9B" w:rsidRDefault="00CD55F1" w:rsidP="00024DD9">
            <w:pPr>
              <w:jc w:val="center"/>
            </w:pPr>
            <w:r>
              <w:rPr>
                <w:rFonts w:ascii="Calibri" w:hAnsi="Calibri" w:cs="Calibri"/>
              </w:rPr>
              <w:t>0</w:t>
            </w:r>
          </w:p>
        </w:tc>
        <w:tc>
          <w:tcPr>
            <w:tcW w:w="668" w:type="dxa"/>
            <w:shd w:val="clear" w:color="auto" w:fill="D9E2F3" w:themeFill="accent1" w:themeFillTint="33"/>
            <w:vAlign w:val="center"/>
          </w:tcPr>
          <w:p w14:paraId="05C1D42C" w14:textId="77777777" w:rsidR="00CD55F1" w:rsidRPr="00940D9A" w:rsidRDefault="00CD55F1" w:rsidP="00024DD9">
            <w:pPr>
              <w:jc w:val="center"/>
              <w:rPr>
                <w:vertAlign w:val="subscript"/>
              </w:rPr>
            </w:pPr>
            <w:r>
              <w:rPr>
                <w:rFonts w:ascii="Calibri" w:hAnsi="Calibri" w:cs="Calibri"/>
              </w:rPr>
              <w:t>0+10 = 10</w:t>
            </w:r>
          </w:p>
        </w:tc>
        <w:tc>
          <w:tcPr>
            <w:tcW w:w="680" w:type="dxa"/>
            <w:shd w:val="clear" w:color="auto" w:fill="auto"/>
            <w:vAlign w:val="center"/>
          </w:tcPr>
          <w:p w14:paraId="77F54A8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18389312" w14:textId="77777777" w:rsidR="00CD55F1" w:rsidRPr="00210DD1" w:rsidRDefault="00CD55F1" w:rsidP="00024DD9">
            <w:pPr>
              <w:jc w:val="center"/>
            </w:pPr>
            <w:r>
              <w:t>2</w:t>
            </w:r>
          </w:p>
        </w:tc>
        <w:tc>
          <w:tcPr>
            <w:tcW w:w="939" w:type="dxa"/>
            <w:shd w:val="clear" w:color="auto" w:fill="auto"/>
            <w:vAlign w:val="center"/>
          </w:tcPr>
          <w:p w14:paraId="4D6EDE19"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314B46A4" w14:textId="77777777" w:rsidR="00CD55F1" w:rsidRDefault="00CD55F1" w:rsidP="00024DD9">
            <w:pPr>
              <w:jc w:val="center"/>
            </w:pPr>
          </w:p>
        </w:tc>
        <w:tc>
          <w:tcPr>
            <w:tcW w:w="883" w:type="dxa"/>
            <w:shd w:val="clear" w:color="auto" w:fill="auto"/>
            <w:vAlign w:val="center"/>
          </w:tcPr>
          <w:p w14:paraId="2FE1C816" w14:textId="77777777" w:rsidR="00CD55F1" w:rsidRDefault="00CD55F1" w:rsidP="00024DD9">
            <w:pPr>
              <w:jc w:val="center"/>
            </w:pPr>
            <w:r w:rsidRPr="005B7BEE">
              <w:rPr>
                <w:sz w:val="14"/>
                <w:szCs w:val="14"/>
              </w:rPr>
              <w:t>Occasional</w:t>
            </w:r>
          </w:p>
        </w:tc>
        <w:tc>
          <w:tcPr>
            <w:tcW w:w="783" w:type="dxa"/>
            <w:shd w:val="clear" w:color="auto" w:fill="auto"/>
            <w:vAlign w:val="center"/>
          </w:tcPr>
          <w:p w14:paraId="03C5CAEA" w14:textId="77777777" w:rsidR="00CD55F1" w:rsidRDefault="00CD55F1" w:rsidP="00024DD9">
            <w:pPr>
              <w:jc w:val="center"/>
            </w:pPr>
            <w:r>
              <w:rPr>
                <w:rFonts w:ascii="Calibri" w:hAnsi="Calibri" w:cs="Calibri"/>
              </w:rPr>
              <w:t>1</w:t>
            </w:r>
          </w:p>
        </w:tc>
        <w:tc>
          <w:tcPr>
            <w:tcW w:w="666" w:type="dxa"/>
            <w:shd w:val="clear" w:color="auto" w:fill="auto"/>
            <w:vAlign w:val="center"/>
          </w:tcPr>
          <w:p w14:paraId="56061B18" w14:textId="77777777" w:rsidR="00CD55F1" w:rsidRDefault="00CD55F1" w:rsidP="00024DD9">
            <w:pPr>
              <w:jc w:val="center"/>
            </w:pPr>
            <w:r>
              <w:rPr>
                <w:rFonts w:ascii="Calibri" w:hAnsi="Calibri" w:cs="Calibri"/>
              </w:rPr>
              <w:t>0</w:t>
            </w:r>
          </w:p>
        </w:tc>
        <w:tc>
          <w:tcPr>
            <w:tcW w:w="698" w:type="dxa"/>
            <w:vAlign w:val="center"/>
          </w:tcPr>
          <w:p w14:paraId="434A4860" w14:textId="77777777" w:rsidR="00CD55F1" w:rsidRDefault="00CD55F1" w:rsidP="00024DD9">
            <w:pPr>
              <w:jc w:val="center"/>
            </w:pPr>
            <w:r>
              <w:rPr>
                <w:rFonts w:ascii="Calibri" w:hAnsi="Calibri" w:cs="Calibri"/>
              </w:rPr>
              <w:t>0</w:t>
            </w:r>
          </w:p>
        </w:tc>
        <w:tc>
          <w:tcPr>
            <w:tcW w:w="612" w:type="dxa"/>
            <w:vAlign w:val="center"/>
          </w:tcPr>
          <w:p w14:paraId="13C770DB" w14:textId="77777777" w:rsidR="00CD55F1" w:rsidRDefault="00CD55F1" w:rsidP="00024DD9">
            <w:pPr>
              <w:jc w:val="center"/>
            </w:pPr>
            <w:r>
              <w:rPr>
                <w:rFonts w:ascii="Calibri" w:hAnsi="Calibri" w:cs="Calibri"/>
              </w:rPr>
              <w:t>0</w:t>
            </w:r>
          </w:p>
        </w:tc>
        <w:tc>
          <w:tcPr>
            <w:tcW w:w="939" w:type="dxa"/>
            <w:shd w:val="clear" w:color="auto" w:fill="auto"/>
            <w:vAlign w:val="center"/>
          </w:tcPr>
          <w:p w14:paraId="65413D33" w14:textId="77777777" w:rsidR="00CD55F1" w:rsidRDefault="00CD55F1" w:rsidP="00024DD9">
            <w:pPr>
              <w:jc w:val="center"/>
            </w:pPr>
            <w:r>
              <w:rPr>
                <w:rFonts w:ascii="Calibri" w:hAnsi="Calibri" w:cs="Calibri"/>
              </w:rPr>
              <w:t>0</w:t>
            </w:r>
          </w:p>
        </w:tc>
      </w:tr>
      <w:tr w:rsidR="00CD55F1" w:rsidRPr="00F60A9B" w14:paraId="37748025" w14:textId="77777777" w:rsidTr="00024DD9">
        <w:trPr>
          <w:jc w:val="center"/>
        </w:trPr>
        <w:tc>
          <w:tcPr>
            <w:tcW w:w="884" w:type="dxa"/>
            <w:tcBorders>
              <w:right w:val="single" w:sz="12" w:space="0" w:color="auto"/>
            </w:tcBorders>
          </w:tcPr>
          <w:p w14:paraId="2CE0EC06"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4BCB72E1" w14:textId="77777777" w:rsidR="00CD55F1" w:rsidRPr="00F60A9B" w:rsidRDefault="00CD55F1" w:rsidP="00024DD9">
            <w:pPr>
              <w:jc w:val="center"/>
            </w:pPr>
            <w:r>
              <w:rPr>
                <w:rFonts w:ascii="Calibri" w:hAnsi="Calibri" w:cs="Calibri"/>
              </w:rPr>
              <w:t>3</w:t>
            </w:r>
          </w:p>
        </w:tc>
        <w:tc>
          <w:tcPr>
            <w:tcW w:w="668" w:type="dxa"/>
            <w:vAlign w:val="center"/>
          </w:tcPr>
          <w:p w14:paraId="5702ED44"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2655272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2BCB56F6"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32D3EEC3"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077B8F0D" w14:textId="77777777" w:rsidR="00CD55F1" w:rsidRDefault="00CD55F1" w:rsidP="00024DD9">
            <w:pPr>
              <w:jc w:val="center"/>
            </w:pPr>
          </w:p>
        </w:tc>
        <w:tc>
          <w:tcPr>
            <w:tcW w:w="883" w:type="dxa"/>
            <w:shd w:val="clear" w:color="auto" w:fill="auto"/>
            <w:vAlign w:val="center"/>
          </w:tcPr>
          <w:p w14:paraId="2A2BA1E4" w14:textId="77777777" w:rsidR="00CD55F1" w:rsidRDefault="00CD55F1" w:rsidP="00024DD9">
            <w:pPr>
              <w:jc w:val="center"/>
            </w:pPr>
            <w:r w:rsidRPr="005B7BEE">
              <w:rPr>
                <w:sz w:val="14"/>
                <w:szCs w:val="14"/>
              </w:rPr>
              <w:t>Remote</w:t>
            </w:r>
          </w:p>
        </w:tc>
        <w:tc>
          <w:tcPr>
            <w:tcW w:w="783" w:type="dxa"/>
            <w:shd w:val="clear" w:color="auto" w:fill="auto"/>
            <w:vAlign w:val="center"/>
          </w:tcPr>
          <w:p w14:paraId="66EE7C32" w14:textId="77777777" w:rsidR="00CD55F1" w:rsidRDefault="00CD55F1" w:rsidP="00024DD9">
            <w:pPr>
              <w:jc w:val="center"/>
            </w:pPr>
            <w:r>
              <w:rPr>
                <w:rFonts w:ascii="Calibri" w:hAnsi="Calibri" w:cs="Calibri"/>
              </w:rPr>
              <w:t>0</w:t>
            </w:r>
          </w:p>
        </w:tc>
        <w:tc>
          <w:tcPr>
            <w:tcW w:w="666" w:type="dxa"/>
            <w:shd w:val="clear" w:color="auto" w:fill="auto"/>
            <w:vAlign w:val="center"/>
          </w:tcPr>
          <w:p w14:paraId="661F783B" w14:textId="77777777" w:rsidR="00CD55F1" w:rsidRDefault="00CD55F1" w:rsidP="00024DD9">
            <w:pPr>
              <w:jc w:val="center"/>
            </w:pPr>
            <w:r>
              <w:rPr>
                <w:rFonts w:ascii="Calibri" w:hAnsi="Calibri" w:cs="Calibri"/>
              </w:rPr>
              <w:t>2</w:t>
            </w:r>
          </w:p>
        </w:tc>
        <w:tc>
          <w:tcPr>
            <w:tcW w:w="698" w:type="dxa"/>
            <w:shd w:val="clear" w:color="auto" w:fill="auto"/>
            <w:vAlign w:val="center"/>
          </w:tcPr>
          <w:p w14:paraId="6054691E" w14:textId="77777777" w:rsidR="00CD55F1" w:rsidRDefault="00CD55F1" w:rsidP="00024DD9">
            <w:pPr>
              <w:jc w:val="center"/>
            </w:pPr>
            <w:r>
              <w:rPr>
                <w:rFonts w:ascii="Calibri" w:hAnsi="Calibri" w:cs="Calibri"/>
              </w:rPr>
              <w:t>0</w:t>
            </w:r>
          </w:p>
        </w:tc>
        <w:tc>
          <w:tcPr>
            <w:tcW w:w="612" w:type="dxa"/>
            <w:shd w:val="clear" w:color="auto" w:fill="auto"/>
            <w:vAlign w:val="center"/>
          </w:tcPr>
          <w:p w14:paraId="21517D24" w14:textId="77777777" w:rsidR="00CD55F1" w:rsidRDefault="00CD55F1" w:rsidP="00024DD9">
            <w:pPr>
              <w:jc w:val="center"/>
            </w:pPr>
            <w:r>
              <w:rPr>
                <w:rFonts w:ascii="Calibri" w:hAnsi="Calibri" w:cs="Calibri"/>
              </w:rPr>
              <w:t>0</w:t>
            </w:r>
          </w:p>
        </w:tc>
        <w:tc>
          <w:tcPr>
            <w:tcW w:w="939" w:type="dxa"/>
            <w:shd w:val="clear" w:color="auto" w:fill="auto"/>
            <w:vAlign w:val="center"/>
          </w:tcPr>
          <w:p w14:paraId="4E3A8E5E" w14:textId="77777777" w:rsidR="00CD55F1" w:rsidRDefault="00CD55F1" w:rsidP="00024DD9">
            <w:pPr>
              <w:jc w:val="center"/>
            </w:pPr>
            <w:r>
              <w:rPr>
                <w:rFonts w:ascii="Calibri" w:hAnsi="Calibri" w:cs="Calibri"/>
              </w:rPr>
              <w:t>0</w:t>
            </w:r>
          </w:p>
        </w:tc>
      </w:tr>
      <w:tr w:rsidR="00CD55F1" w:rsidRPr="00F60A9B" w14:paraId="1493AB64" w14:textId="77777777" w:rsidTr="00024DD9">
        <w:trPr>
          <w:jc w:val="center"/>
        </w:trPr>
        <w:tc>
          <w:tcPr>
            <w:tcW w:w="884" w:type="dxa"/>
            <w:tcBorders>
              <w:right w:val="single" w:sz="12" w:space="0" w:color="auto"/>
            </w:tcBorders>
          </w:tcPr>
          <w:p w14:paraId="0B64D6AC"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368C460C" w14:textId="77777777" w:rsidR="00CD55F1" w:rsidRPr="00F60A9B" w:rsidRDefault="00CD55F1" w:rsidP="00024DD9">
            <w:pPr>
              <w:jc w:val="center"/>
            </w:pPr>
            <w:r>
              <w:rPr>
                <w:rFonts w:ascii="Calibri" w:hAnsi="Calibri" w:cs="Calibri"/>
              </w:rPr>
              <w:t>0</w:t>
            </w:r>
          </w:p>
        </w:tc>
        <w:tc>
          <w:tcPr>
            <w:tcW w:w="668" w:type="dxa"/>
            <w:vAlign w:val="center"/>
          </w:tcPr>
          <w:p w14:paraId="3E6811BA"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97CDE78"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66F6987"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7B3021E7"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00918E29" w14:textId="77777777" w:rsidR="00CD55F1" w:rsidRDefault="00CD55F1" w:rsidP="00024DD9">
            <w:pPr>
              <w:keepNext/>
              <w:jc w:val="center"/>
            </w:pPr>
          </w:p>
        </w:tc>
        <w:tc>
          <w:tcPr>
            <w:tcW w:w="883" w:type="dxa"/>
            <w:vAlign w:val="center"/>
          </w:tcPr>
          <w:p w14:paraId="6B077C74" w14:textId="77777777" w:rsidR="00CD55F1" w:rsidRDefault="00CD55F1" w:rsidP="00024DD9">
            <w:pPr>
              <w:keepNext/>
              <w:jc w:val="center"/>
            </w:pPr>
            <w:r w:rsidRPr="005B7BEE">
              <w:rPr>
                <w:sz w:val="14"/>
                <w:szCs w:val="14"/>
              </w:rPr>
              <w:t>Improbable</w:t>
            </w:r>
          </w:p>
        </w:tc>
        <w:tc>
          <w:tcPr>
            <w:tcW w:w="783" w:type="dxa"/>
            <w:vAlign w:val="center"/>
          </w:tcPr>
          <w:p w14:paraId="193E6BE0" w14:textId="77777777" w:rsidR="00CD55F1" w:rsidRDefault="00CD55F1" w:rsidP="00024DD9">
            <w:pPr>
              <w:keepNext/>
              <w:jc w:val="center"/>
            </w:pPr>
            <w:r>
              <w:rPr>
                <w:rFonts w:ascii="Calibri" w:hAnsi="Calibri" w:cs="Calibri"/>
              </w:rPr>
              <w:t>0</w:t>
            </w:r>
          </w:p>
        </w:tc>
        <w:tc>
          <w:tcPr>
            <w:tcW w:w="666" w:type="dxa"/>
            <w:vAlign w:val="center"/>
          </w:tcPr>
          <w:p w14:paraId="0ABD2773" w14:textId="77777777" w:rsidR="00CD55F1" w:rsidRDefault="00CD55F1" w:rsidP="00024DD9">
            <w:pPr>
              <w:keepNext/>
              <w:jc w:val="center"/>
            </w:pPr>
            <w:r>
              <w:rPr>
                <w:rFonts w:ascii="Calibri" w:hAnsi="Calibri" w:cs="Calibri"/>
              </w:rPr>
              <w:t>1</w:t>
            </w:r>
          </w:p>
        </w:tc>
        <w:tc>
          <w:tcPr>
            <w:tcW w:w="698" w:type="dxa"/>
            <w:vAlign w:val="center"/>
          </w:tcPr>
          <w:p w14:paraId="159F2DAA"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16A77FCB" w14:textId="77777777" w:rsidR="00CD55F1" w:rsidRDefault="00CD55F1" w:rsidP="00024DD9">
            <w:pPr>
              <w:keepNext/>
              <w:jc w:val="center"/>
            </w:pPr>
            <w:r>
              <w:rPr>
                <w:rFonts w:ascii="Calibri" w:hAnsi="Calibri" w:cs="Calibri"/>
              </w:rPr>
              <w:t>0</w:t>
            </w:r>
          </w:p>
        </w:tc>
        <w:tc>
          <w:tcPr>
            <w:tcW w:w="939" w:type="dxa"/>
            <w:vAlign w:val="center"/>
          </w:tcPr>
          <w:p w14:paraId="32DE4898" w14:textId="77777777" w:rsidR="00CD55F1" w:rsidRDefault="00CD55F1" w:rsidP="00024DD9">
            <w:pPr>
              <w:keepNext/>
              <w:jc w:val="center"/>
            </w:pPr>
            <w:r w:rsidRPr="00F60A9B">
              <w:rPr>
                <w:rFonts w:ascii="Calibri" w:hAnsi="Calibri" w:cs="Calibri"/>
              </w:rPr>
              <w:t>0</w:t>
            </w:r>
          </w:p>
        </w:tc>
      </w:tr>
    </w:tbl>
    <w:p w14:paraId="0022C957" w14:textId="6C443F58" w:rsidR="00CD55F1" w:rsidRDefault="00CD55F1">
      <w:pPr>
        <w:pStyle w:val="ListParagraph"/>
        <w:numPr>
          <w:ilvl w:val="0"/>
          <w:numId w:val="27"/>
        </w:numPr>
        <w:spacing w:before="160"/>
      </w:pPr>
      <w:r>
        <w:t xml:space="preserve">Finally, because the 10 ‘Occasional-Minor’ risks on the left-hand side of the previous equation are each larger than the one ‘Occasional-Negligible’, the two ‘Remote-Minor’, and the one ‘Improbable-Minor’ Risks on the right-hand side of the previous equation, then all of the conditions are met to </w:t>
      </w:r>
      <w:r w:rsidR="0036794A">
        <w:fldChar w:fldCharType="begin"/>
      </w:r>
      <w:r w:rsidR="0036794A">
        <w:instrText xml:space="preserve"> REF _Ref151368162 \h </w:instrText>
      </w:r>
      <w:r w:rsidR="0036794A">
        <w:fldChar w:fldCharType="separate"/>
      </w:r>
      <w:r w:rsidR="0036794A" w:rsidRPr="00646086">
        <w:rPr>
          <w:rFonts w:eastAsia="TimesNewRomanPSMT" w:cs="TimesNewRomanPSMT"/>
          <w:b/>
          <w:color w:val="000000"/>
          <w:u w:val="single"/>
        </w:rPr>
        <w:t>Removing Unequal Risks</w:t>
      </w:r>
      <w:r w:rsidR="0036794A">
        <w:fldChar w:fldCharType="end"/>
      </w:r>
      <w:r>
        <w:t xml:space="preserve"> and we can simplify the previous equation as follows: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6CC4DA82" w14:textId="77777777" w:rsidTr="00024DD9">
        <w:trPr>
          <w:tblHeader/>
          <w:jc w:val="center"/>
        </w:trPr>
        <w:tc>
          <w:tcPr>
            <w:tcW w:w="884" w:type="dxa"/>
            <w:tcBorders>
              <w:top w:val="nil"/>
              <w:left w:val="nil"/>
              <w:bottom w:val="single" w:sz="4" w:space="0" w:color="auto"/>
            </w:tcBorders>
            <w:vAlign w:val="center"/>
          </w:tcPr>
          <w:p w14:paraId="5192AFF3"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0374D09A"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33736535"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6CFE841C"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7B1F088D"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7097F617" w14:textId="77777777" w:rsidR="00CD55F1" w:rsidRPr="005B7BEE" w:rsidRDefault="00CD55F1" w:rsidP="00024DD9">
            <w:pPr>
              <w:jc w:val="center"/>
              <w:rPr>
                <w:sz w:val="14"/>
                <w:szCs w:val="14"/>
              </w:rPr>
            </w:pPr>
            <w:r w:rsidRPr="005B7BEE">
              <w:rPr>
                <w:sz w:val="14"/>
                <w:szCs w:val="14"/>
              </w:rPr>
              <w:t xml:space="preserve">Catastrophic </w:t>
            </w:r>
          </w:p>
          <w:p w14:paraId="10C8CDB7"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0288949D"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4CBA082D"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17D88895"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68FC8BA0"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3B856E9D"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08F14FAF"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2C8AAD77" w14:textId="77777777" w:rsidR="00CD55F1" w:rsidRPr="005B7BEE" w:rsidRDefault="00CD55F1" w:rsidP="00024DD9">
            <w:pPr>
              <w:jc w:val="center"/>
              <w:rPr>
                <w:sz w:val="14"/>
                <w:szCs w:val="14"/>
              </w:rPr>
            </w:pPr>
            <w:r w:rsidRPr="005B7BEE">
              <w:rPr>
                <w:sz w:val="14"/>
                <w:szCs w:val="14"/>
              </w:rPr>
              <w:t xml:space="preserve">Catastrophic </w:t>
            </w:r>
          </w:p>
          <w:p w14:paraId="5F2D6D3E"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2048B763" w14:textId="77777777" w:rsidTr="00024DD9">
        <w:trPr>
          <w:jc w:val="center"/>
        </w:trPr>
        <w:tc>
          <w:tcPr>
            <w:tcW w:w="884" w:type="dxa"/>
            <w:tcBorders>
              <w:top w:val="single" w:sz="4" w:space="0" w:color="auto"/>
              <w:right w:val="single" w:sz="12" w:space="0" w:color="auto"/>
            </w:tcBorders>
          </w:tcPr>
          <w:p w14:paraId="56FF9826"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267CCB70" w14:textId="77777777" w:rsidR="00CD55F1" w:rsidRPr="00F60A9B" w:rsidRDefault="00CD55F1" w:rsidP="00024DD9">
            <w:pPr>
              <w:jc w:val="center"/>
            </w:pPr>
            <w:r>
              <w:t>0</w:t>
            </w:r>
          </w:p>
        </w:tc>
        <w:tc>
          <w:tcPr>
            <w:tcW w:w="668" w:type="dxa"/>
            <w:tcBorders>
              <w:top w:val="single" w:sz="12" w:space="0" w:color="auto"/>
            </w:tcBorders>
            <w:vAlign w:val="center"/>
          </w:tcPr>
          <w:p w14:paraId="1C95552A" w14:textId="77777777" w:rsidR="00CD55F1" w:rsidRPr="00210DD1" w:rsidRDefault="00CD55F1" w:rsidP="00024DD9">
            <w:pPr>
              <w:jc w:val="center"/>
            </w:pPr>
            <w:r>
              <w:t>0</w:t>
            </w:r>
          </w:p>
        </w:tc>
        <w:tc>
          <w:tcPr>
            <w:tcW w:w="680" w:type="dxa"/>
            <w:tcBorders>
              <w:top w:val="single" w:sz="12" w:space="0" w:color="auto"/>
            </w:tcBorders>
            <w:vAlign w:val="center"/>
          </w:tcPr>
          <w:p w14:paraId="27F0FF0E" w14:textId="77777777" w:rsidR="00CD55F1" w:rsidRPr="00210DD1" w:rsidRDefault="00CD55F1" w:rsidP="00024DD9">
            <w:pPr>
              <w:jc w:val="center"/>
            </w:pPr>
            <w:r>
              <w:t>0</w:t>
            </w:r>
          </w:p>
        </w:tc>
        <w:tc>
          <w:tcPr>
            <w:tcW w:w="628" w:type="dxa"/>
            <w:tcBorders>
              <w:top w:val="single" w:sz="12" w:space="0" w:color="auto"/>
            </w:tcBorders>
            <w:vAlign w:val="center"/>
          </w:tcPr>
          <w:p w14:paraId="63758AE9" w14:textId="77777777" w:rsidR="00CD55F1" w:rsidRPr="00210DD1" w:rsidRDefault="00CD55F1" w:rsidP="00024DD9">
            <w:pPr>
              <w:jc w:val="center"/>
            </w:pPr>
            <w:r>
              <w:t>0</w:t>
            </w:r>
          </w:p>
        </w:tc>
        <w:tc>
          <w:tcPr>
            <w:tcW w:w="939" w:type="dxa"/>
            <w:tcBorders>
              <w:top w:val="single" w:sz="12" w:space="0" w:color="auto"/>
            </w:tcBorders>
            <w:vAlign w:val="center"/>
          </w:tcPr>
          <w:p w14:paraId="2F5EE9C8" w14:textId="77777777" w:rsidR="00CD55F1" w:rsidRPr="00F60A9B" w:rsidRDefault="00CD55F1" w:rsidP="00024DD9">
            <w:pPr>
              <w:jc w:val="center"/>
            </w:pPr>
            <w:r>
              <w:t>0</w:t>
            </w:r>
          </w:p>
        </w:tc>
        <w:tc>
          <w:tcPr>
            <w:tcW w:w="287" w:type="dxa"/>
            <w:tcBorders>
              <w:top w:val="nil"/>
              <w:left w:val="nil"/>
              <w:bottom w:val="nil"/>
              <w:right w:val="nil"/>
            </w:tcBorders>
            <w:vAlign w:val="center"/>
          </w:tcPr>
          <w:p w14:paraId="673B6F07" w14:textId="77777777" w:rsidR="00CD55F1" w:rsidRDefault="00CD55F1" w:rsidP="00024DD9">
            <w:pPr>
              <w:jc w:val="center"/>
            </w:pPr>
          </w:p>
        </w:tc>
        <w:tc>
          <w:tcPr>
            <w:tcW w:w="883" w:type="dxa"/>
            <w:tcBorders>
              <w:top w:val="single" w:sz="12" w:space="0" w:color="auto"/>
            </w:tcBorders>
            <w:vAlign w:val="center"/>
          </w:tcPr>
          <w:p w14:paraId="6E1F436B"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406A64F2" w14:textId="77777777" w:rsidR="00CD55F1" w:rsidRDefault="00CD55F1" w:rsidP="00024DD9">
            <w:pPr>
              <w:jc w:val="center"/>
            </w:pPr>
            <w:r>
              <w:t>0</w:t>
            </w:r>
          </w:p>
        </w:tc>
        <w:tc>
          <w:tcPr>
            <w:tcW w:w="666" w:type="dxa"/>
            <w:tcBorders>
              <w:top w:val="single" w:sz="12" w:space="0" w:color="auto"/>
            </w:tcBorders>
            <w:vAlign w:val="center"/>
          </w:tcPr>
          <w:p w14:paraId="4CAF622B" w14:textId="77777777" w:rsidR="00CD55F1" w:rsidRDefault="00CD55F1" w:rsidP="00024DD9">
            <w:pPr>
              <w:jc w:val="center"/>
            </w:pPr>
            <w:r>
              <w:t>0</w:t>
            </w:r>
          </w:p>
        </w:tc>
        <w:tc>
          <w:tcPr>
            <w:tcW w:w="698" w:type="dxa"/>
            <w:tcBorders>
              <w:top w:val="single" w:sz="12" w:space="0" w:color="auto"/>
            </w:tcBorders>
            <w:vAlign w:val="center"/>
          </w:tcPr>
          <w:p w14:paraId="7F55E5AE" w14:textId="77777777" w:rsidR="00CD55F1" w:rsidRDefault="00CD55F1" w:rsidP="00024DD9">
            <w:pPr>
              <w:jc w:val="center"/>
            </w:pPr>
            <w:r>
              <w:t>0</w:t>
            </w:r>
          </w:p>
        </w:tc>
        <w:tc>
          <w:tcPr>
            <w:tcW w:w="612" w:type="dxa"/>
            <w:tcBorders>
              <w:top w:val="single" w:sz="12" w:space="0" w:color="auto"/>
            </w:tcBorders>
            <w:vAlign w:val="center"/>
          </w:tcPr>
          <w:p w14:paraId="1D595127" w14:textId="77777777" w:rsidR="00CD55F1" w:rsidRDefault="00CD55F1" w:rsidP="00024DD9">
            <w:pPr>
              <w:jc w:val="center"/>
            </w:pPr>
            <w:r>
              <w:t>0</w:t>
            </w:r>
          </w:p>
        </w:tc>
        <w:tc>
          <w:tcPr>
            <w:tcW w:w="939" w:type="dxa"/>
            <w:tcBorders>
              <w:top w:val="single" w:sz="12" w:space="0" w:color="auto"/>
            </w:tcBorders>
            <w:vAlign w:val="center"/>
          </w:tcPr>
          <w:p w14:paraId="068B1246" w14:textId="77777777" w:rsidR="00CD55F1" w:rsidRDefault="00CD55F1" w:rsidP="00024DD9">
            <w:pPr>
              <w:jc w:val="center"/>
            </w:pPr>
            <w:r>
              <w:t>0</w:t>
            </w:r>
          </w:p>
        </w:tc>
      </w:tr>
      <w:tr w:rsidR="00CD55F1" w:rsidRPr="00F60A9B" w14:paraId="24C9421D" w14:textId="77777777" w:rsidTr="00024DD9">
        <w:trPr>
          <w:jc w:val="center"/>
        </w:trPr>
        <w:tc>
          <w:tcPr>
            <w:tcW w:w="884" w:type="dxa"/>
            <w:tcBorders>
              <w:right w:val="single" w:sz="12" w:space="0" w:color="auto"/>
            </w:tcBorders>
          </w:tcPr>
          <w:p w14:paraId="20B00E09"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1D17242C" w14:textId="77777777" w:rsidR="00CD55F1" w:rsidRDefault="00CD55F1" w:rsidP="00024DD9">
            <w:pPr>
              <w:jc w:val="center"/>
            </w:pPr>
            <w:r>
              <w:t>0</w:t>
            </w:r>
          </w:p>
        </w:tc>
        <w:tc>
          <w:tcPr>
            <w:tcW w:w="668" w:type="dxa"/>
            <w:shd w:val="clear" w:color="auto" w:fill="auto"/>
            <w:vAlign w:val="center"/>
          </w:tcPr>
          <w:p w14:paraId="1BD3689B" w14:textId="77777777" w:rsidR="00CD55F1" w:rsidRPr="00210DD1" w:rsidRDefault="00CD55F1" w:rsidP="00024DD9">
            <w:pPr>
              <w:jc w:val="center"/>
            </w:pPr>
            <w:r>
              <w:t>0</w:t>
            </w:r>
          </w:p>
        </w:tc>
        <w:tc>
          <w:tcPr>
            <w:tcW w:w="680" w:type="dxa"/>
            <w:vAlign w:val="center"/>
          </w:tcPr>
          <w:p w14:paraId="1860B3C4" w14:textId="77777777" w:rsidR="00CD55F1" w:rsidRPr="00210DD1" w:rsidRDefault="00CD55F1" w:rsidP="00024DD9">
            <w:pPr>
              <w:jc w:val="center"/>
            </w:pPr>
            <w:r>
              <w:t>0</w:t>
            </w:r>
          </w:p>
        </w:tc>
        <w:tc>
          <w:tcPr>
            <w:tcW w:w="628" w:type="dxa"/>
            <w:vAlign w:val="center"/>
          </w:tcPr>
          <w:p w14:paraId="50DD152F" w14:textId="77777777" w:rsidR="00CD55F1" w:rsidRPr="00210DD1" w:rsidRDefault="00CD55F1" w:rsidP="00024DD9">
            <w:pPr>
              <w:jc w:val="center"/>
            </w:pPr>
            <w:r>
              <w:t>0</w:t>
            </w:r>
          </w:p>
        </w:tc>
        <w:tc>
          <w:tcPr>
            <w:tcW w:w="939" w:type="dxa"/>
            <w:vAlign w:val="center"/>
          </w:tcPr>
          <w:p w14:paraId="4C8281A4" w14:textId="77777777" w:rsidR="00CD55F1" w:rsidRDefault="00CD55F1" w:rsidP="00024DD9">
            <w:pPr>
              <w:jc w:val="center"/>
            </w:pPr>
            <w:r>
              <w:t>0</w:t>
            </w:r>
          </w:p>
        </w:tc>
        <w:tc>
          <w:tcPr>
            <w:tcW w:w="287" w:type="dxa"/>
            <w:tcBorders>
              <w:top w:val="nil"/>
              <w:left w:val="nil"/>
              <w:bottom w:val="nil"/>
              <w:right w:val="nil"/>
            </w:tcBorders>
            <w:vAlign w:val="center"/>
          </w:tcPr>
          <w:p w14:paraId="45B45B0D" w14:textId="77777777" w:rsidR="00CD55F1" w:rsidRDefault="00CD55F1" w:rsidP="00024DD9">
            <w:pPr>
              <w:jc w:val="center"/>
            </w:pPr>
          </w:p>
        </w:tc>
        <w:tc>
          <w:tcPr>
            <w:tcW w:w="883" w:type="dxa"/>
            <w:vAlign w:val="center"/>
          </w:tcPr>
          <w:p w14:paraId="3315DFD5" w14:textId="77777777" w:rsidR="00CD55F1" w:rsidRPr="005B7BEE" w:rsidRDefault="00CD55F1" w:rsidP="00024DD9">
            <w:pPr>
              <w:jc w:val="center"/>
              <w:rPr>
                <w:sz w:val="14"/>
                <w:szCs w:val="14"/>
              </w:rPr>
            </w:pPr>
            <w:r>
              <w:rPr>
                <w:sz w:val="14"/>
                <w:szCs w:val="14"/>
              </w:rPr>
              <w:t>Often</w:t>
            </w:r>
          </w:p>
        </w:tc>
        <w:tc>
          <w:tcPr>
            <w:tcW w:w="783" w:type="dxa"/>
            <w:vAlign w:val="center"/>
          </w:tcPr>
          <w:p w14:paraId="6938CD9C" w14:textId="77777777" w:rsidR="00CD55F1" w:rsidRDefault="00CD55F1" w:rsidP="00024DD9">
            <w:pPr>
              <w:jc w:val="center"/>
            </w:pPr>
            <w:r>
              <w:t>0</w:t>
            </w:r>
          </w:p>
        </w:tc>
        <w:tc>
          <w:tcPr>
            <w:tcW w:w="666" w:type="dxa"/>
            <w:vAlign w:val="center"/>
          </w:tcPr>
          <w:p w14:paraId="4334D4B4" w14:textId="77777777" w:rsidR="00CD55F1" w:rsidRPr="00210DD1" w:rsidRDefault="00CD55F1" w:rsidP="00024DD9">
            <w:pPr>
              <w:jc w:val="center"/>
            </w:pPr>
            <w:r>
              <w:t>0</w:t>
            </w:r>
          </w:p>
        </w:tc>
        <w:tc>
          <w:tcPr>
            <w:tcW w:w="698" w:type="dxa"/>
            <w:vAlign w:val="center"/>
          </w:tcPr>
          <w:p w14:paraId="5CD0E0F8" w14:textId="77777777" w:rsidR="00CD55F1" w:rsidRPr="00210DD1" w:rsidRDefault="00CD55F1" w:rsidP="00024DD9">
            <w:pPr>
              <w:jc w:val="center"/>
            </w:pPr>
            <w:r>
              <w:t>0</w:t>
            </w:r>
          </w:p>
        </w:tc>
        <w:tc>
          <w:tcPr>
            <w:tcW w:w="612" w:type="dxa"/>
            <w:vAlign w:val="center"/>
          </w:tcPr>
          <w:p w14:paraId="5453734B" w14:textId="77777777" w:rsidR="00CD55F1" w:rsidRPr="00210DD1" w:rsidRDefault="00CD55F1" w:rsidP="00024DD9">
            <w:pPr>
              <w:jc w:val="center"/>
            </w:pPr>
            <w:r>
              <w:t>0</w:t>
            </w:r>
          </w:p>
        </w:tc>
        <w:tc>
          <w:tcPr>
            <w:tcW w:w="939" w:type="dxa"/>
            <w:vAlign w:val="center"/>
          </w:tcPr>
          <w:p w14:paraId="207ADEFD" w14:textId="77777777" w:rsidR="00CD55F1" w:rsidRDefault="00CD55F1" w:rsidP="00024DD9">
            <w:pPr>
              <w:jc w:val="center"/>
            </w:pPr>
            <w:r>
              <w:t>0</w:t>
            </w:r>
          </w:p>
        </w:tc>
      </w:tr>
      <w:tr w:rsidR="00CD55F1" w:rsidRPr="00F60A9B" w14:paraId="47AF5ECF" w14:textId="77777777" w:rsidTr="00024DD9">
        <w:trPr>
          <w:jc w:val="center"/>
        </w:trPr>
        <w:tc>
          <w:tcPr>
            <w:tcW w:w="884" w:type="dxa"/>
            <w:tcBorders>
              <w:right w:val="single" w:sz="12" w:space="0" w:color="auto"/>
            </w:tcBorders>
          </w:tcPr>
          <w:p w14:paraId="57FA20D6"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31CA8477" w14:textId="77777777" w:rsidR="00CD55F1" w:rsidRDefault="00CD55F1" w:rsidP="00024DD9">
            <w:pPr>
              <w:jc w:val="center"/>
            </w:pPr>
            <w:r>
              <w:t>0</w:t>
            </w:r>
          </w:p>
        </w:tc>
        <w:tc>
          <w:tcPr>
            <w:tcW w:w="668" w:type="dxa"/>
            <w:shd w:val="clear" w:color="auto" w:fill="auto"/>
            <w:vAlign w:val="center"/>
          </w:tcPr>
          <w:p w14:paraId="4148911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7F2DA40"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AAB9A3F"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04494A4B"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0AB3C5D6" w14:textId="77777777" w:rsidR="00CD55F1" w:rsidRDefault="00CD55F1" w:rsidP="00024DD9">
            <w:pPr>
              <w:jc w:val="center"/>
            </w:pPr>
          </w:p>
        </w:tc>
        <w:tc>
          <w:tcPr>
            <w:tcW w:w="883" w:type="dxa"/>
            <w:shd w:val="clear" w:color="auto" w:fill="auto"/>
            <w:vAlign w:val="center"/>
          </w:tcPr>
          <w:p w14:paraId="2DB96B20"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3D4F6FEF" w14:textId="77777777" w:rsidR="00CD55F1" w:rsidRDefault="00CD55F1" w:rsidP="00024DD9">
            <w:pPr>
              <w:jc w:val="center"/>
            </w:pPr>
            <w:r>
              <w:rPr>
                <w:rFonts w:ascii="Calibri" w:hAnsi="Calibri" w:cs="Calibri"/>
              </w:rPr>
              <w:t>0</w:t>
            </w:r>
          </w:p>
        </w:tc>
        <w:tc>
          <w:tcPr>
            <w:tcW w:w="666" w:type="dxa"/>
            <w:shd w:val="clear" w:color="auto" w:fill="auto"/>
            <w:vAlign w:val="center"/>
          </w:tcPr>
          <w:p w14:paraId="2B85FE57" w14:textId="77777777" w:rsidR="00CD55F1" w:rsidRPr="00210DD1" w:rsidRDefault="00CD55F1" w:rsidP="00024DD9">
            <w:pPr>
              <w:jc w:val="center"/>
            </w:pPr>
            <w:r>
              <w:rPr>
                <w:rFonts w:ascii="Calibri" w:hAnsi="Calibri" w:cs="Calibri"/>
              </w:rPr>
              <w:t>0</w:t>
            </w:r>
          </w:p>
        </w:tc>
        <w:tc>
          <w:tcPr>
            <w:tcW w:w="698" w:type="dxa"/>
            <w:shd w:val="clear" w:color="auto" w:fill="auto"/>
            <w:vAlign w:val="center"/>
          </w:tcPr>
          <w:p w14:paraId="4E7B1344" w14:textId="77777777" w:rsidR="00CD55F1" w:rsidRPr="00210DD1" w:rsidRDefault="00CD55F1" w:rsidP="00024DD9">
            <w:pPr>
              <w:jc w:val="center"/>
            </w:pPr>
            <w:r w:rsidRPr="00F60A9B">
              <w:rPr>
                <w:rFonts w:ascii="Calibri" w:hAnsi="Calibri" w:cs="Calibri"/>
              </w:rPr>
              <w:t>0</w:t>
            </w:r>
          </w:p>
        </w:tc>
        <w:tc>
          <w:tcPr>
            <w:tcW w:w="612" w:type="dxa"/>
            <w:vAlign w:val="center"/>
          </w:tcPr>
          <w:p w14:paraId="629EF25D" w14:textId="77777777" w:rsidR="00CD55F1" w:rsidRPr="00210DD1" w:rsidRDefault="00CD55F1" w:rsidP="00024DD9">
            <w:pPr>
              <w:jc w:val="center"/>
            </w:pPr>
            <w:r w:rsidRPr="00F60A9B">
              <w:rPr>
                <w:rFonts w:ascii="Calibri" w:hAnsi="Calibri" w:cs="Calibri"/>
              </w:rPr>
              <w:t>0</w:t>
            </w:r>
          </w:p>
        </w:tc>
        <w:tc>
          <w:tcPr>
            <w:tcW w:w="939" w:type="dxa"/>
            <w:vAlign w:val="center"/>
          </w:tcPr>
          <w:p w14:paraId="06C4D1C0" w14:textId="77777777" w:rsidR="00CD55F1" w:rsidRDefault="00CD55F1" w:rsidP="00024DD9">
            <w:pPr>
              <w:jc w:val="center"/>
            </w:pPr>
            <w:r w:rsidRPr="00F60A9B">
              <w:rPr>
                <w:rFonts w:ascii="Calibri" w:hAnsi="Calibri" w:cs="Calibri"/>
              </w:rPr>
              <w:t>0</w:t>
            </w:r>
          </w:p>
        </w:tc>
      </w:tr>
      <w:tr w:rsidR="00CD55F1" w:rsidRPr="00F60A9B" w14:paraId="748B684F" w14:textId="77777777" w:rsidTr="00024DD9">
        <w:trPr>
          <w:jc w:val="center"/>
        </w:trPr>
        <w:tc>
          <w:tcPr>
            <w:tcW w:w="884" w:type="dxa"/>
            <w:tcBorders>
              <w:right w:val="single" w:sz="12" w:space="0" w:color="auto"/>
            </w:tcBorders>
          </w:tcPr>
          <w:p w14:paraId="2DD4FD8C"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5F0FAF3C" w14:textId="77777777" w:rsidR="00CD55F1" w:rsidRPr="00F60A9B" w:rsidRDefault="00CD55F1" w:rsidP="00024DD9">
            <w:pPr>
              <w:jc w:val="center"/>
            </w:pPr>
            <w:r>
              <w:t>0</w:t>
            </w:r>
          </w:p>
        </w:tc>
        <w:tc>
          <w:tcPr>
            <w:tcW w:w="668" w:type="dxa"/>
            <w:shd w:val="clear" w:color="auto" w:fill="auto"/>
            <w:vAlign w:val="center"/>
          </w:tcPr>
          <w:p w14:paraId="77C286A8"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CB4D08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FB050F6"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6A1ED4B1"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3BD276A6"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141E8ACF" w14:textId="77777777" w:rsidR="00CD55F1" w:rsidRDefault="00CD55F1" w:rsidP="00024DD9">
            <w:pPr>
              <w:jc w:val="center"/>
            </w:pPr>
            <w:r w:rsidRPr="005B7BEE">
              <w:rPr>
                <w:sz w:val="14"/>
                <w:szCs w:val="14"/>
              </w:rPr>
              <w:t>Probable</w:t>
            </w:r>
          </w:p>
        </w:tc>
        <w:tc>
          <w:tcPr>
            <w:tcW w:w="783" w:type="dxa"/>
            <w:shd w:val="clear" w:color="auto" w:fill="auto"/>
            <w:vAlign w:val="center"/>
          </w:tcPr>
          <w:p w14:paraId="72BFEC21" w14:textId="77777777" w:rsidR="00CD55F1" w:rsidRDefault="00CD55F1" w:rsidP="00024DD9">
            <w:pPr>
              <w:jc w:val="center"/>
            </w:pPr>
            <w:r>
              <w:rPr>
                <w:rFonts w:ascii="Calibri" w:hAnsi="Calibri" w:cs="Calibri"/>
              </w:rPr>
              <w:t>0</w:t>
            </w:r>
          </w:p>
        </w:tc>
        <w:tc>
          <w:tcPr>
            <w:tcW w:w="666" w:type="dxa"/>
            <w:shd w:val="clear" w:color="auto" w:fill="auto"/>
            <w:vAlign w:val="center"/>
          </w:tcPr>
          <w:p w14:paraId="47D2B263" w14:textId="77777777" w:rsidR="00CD55F1" w:rsidRDefault="00CD55F1" w:rsidP="00024DD9">
            <w:pPr>
              <w:jc w:val="center"/>
            </w:pPr>
            <w:r>
              <w:rPr>
                <w:rFonts w:ascii="Calibri" w:hAnsi="Calibri" w:cs="Calibri"/>
              </w:rPr>
              <w:t>0</w:t>
            </w:r>
          </w:p>
        </w:tc>
        <w:tc>
          <w:tcPr>
            <w:tcW w:w="698" w:type="dxa"/>
            <w:shd w:val="clear" w:color="auto" w:fill="auto"/>
            <w:vAlign w:val="center"/>
          </w:tcPr>
          <w:p w14:paraId="7912584D" w14:textId="77777777" w:rsidR="00CD55F1" w:rsidRDefault="00CD55F1" w:rsidP="00024DD9">
            <w:pPr>
              <w:jc w:val="center"/>
            </w:pPr>
            <w:r>
              <w:rPr>
                <w:rFonts w:ascii="Calibri" w:hAnsi="Calibri" w:cs="Calibri"/>
              </w:rPr>
              <w:t>0</w:t>
            </w:r>
          </w:p>
        </w:tc>
        <w:tc>
          <w:tcPr>
            <w:tcW w:w="612" w:type="dxa"/>
            <w:shd w:val="clear" w:color="auto" w:fill="auto"/>
            <w:vAlign w:val="center"/>
          </w:tcPr>
          <w:p w14:paraId="4FD28818" w14:textId="77777777" w:rsidR="00CD55F1" w:rsidRDefault="00CD55F1" w:rsidP="00024DD9">
            <w:pPr>
              <w:jc w:val="center"/>
            </w:pPr>
            <w:r>
              <w:rPr>
                <w:rFonts w:ascii="Calibri" w:hAnsi="Calibri" w:cs="Calibri"/>
              </w:rPr>
              <w:t>0</w:t>
            </w:r>
          </w:p>
        </w:tc>
        <w:tc>
          <w:tcPr>
            <w:tcW w:w="939" w:type="dxa"/>
            <w:vAlign w:val="center"/>
          </w:tcPr>
          <w:p w14:paraId="5ABBDFF4" w14:textId="77777777" w:rsidR="00CD55F1" w:rsidRDefault="00CD55F1" w:rsidP="00024DD9">
            <w:pPr>
              <w:jc w:val="center"/>
            </w:pPr>
            <w:r w:rsidRPr="00F60A9B">
              <w:rPr>
                <w:rFonts w:ascii="Calibri" w:hAnsi="Calibri" w:cs="Calibri"/>
              </w:rPr>
              <w:t>0</w:t>
            </w:r>
          </w:p>
        </w:tc>
      </w:tr>
      <w:tr w:rsidR="00CD55F1" w:rsidRPr="00F60A9B" w14:paraId="2AB01DBF" w14:textId="77777777" w:rsidTr="00024DD9">
        <w:trPr>
          <w:jc w:val="center"/>
        </w:trPr>
        <w:tc>
          <w:tcPr>
            <w:tcW w:w="884" w:type="dxa"/>
            <w:tcBorders>
              <w:right w:val="single" w:sz="12" w:space="0" w:color="auto"/>
            </w:tcBorders>
          </w:tcPr>
          <w:p w14:paraId="232D8248"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23EBC712" w14:textId="77777777" w:rsidR="00CD55F1" w:rsidRPr="00F60A9B" w:rsidRDefault="00CD55F1" w:rsidP="00024DD9">
            <w:pPr>
              <w:jc w:val="center"/>
            </w:pPr>
            <w:r>
              <w:rPr>
                <w:rFonts w:ascii="Calibri" w:hAnsi="Calibri" w:cs="Calibri"/>
              </w:rPr>
              <w:t>0</w:t>
            </w:r>
          </w:p>
        </w:tc>
        <w:tc>
          <w:tcPr>
            <w:tcW w:w="668" w:type="dxa"/>
            <w:shd w:val="clear" w:color="auto" w:fill="D9E2F3" w:themeFill="accent1" w:themeFillTint="33"/>
            <w:vAlign w:val="center"/>
          </w:tcPr>
          <w:p w14:paraId="2740B8E2" w14:textId="77777777" w:rsidR="00CD55F1" w:rsidRPr="00940D9A" w:rsidRDefault="00CD55F1" w:rsidP="00024DD9">
            <w:pPr>
              <w:jc w:val="center"/>
              <w:rPr>
                <w:vertAlign w:val="subscript"/>
              </w:rPr>
            </w:pPr>
            <w:r>
              <w:rPr>
                <w:rFonts w:ascii="Calibri" w:hAnsi="Calibri" w:cs="Calibri"/>
              </w:rPr>
              <w:t>10-1-2-1 = 6</w:t>
            </w:r>
          </w:p>
        </w:tc>
        <w:tc>
          <w:tcPr>
            <w:tcW w:w="680" w:type="dxa"/>
            <w:shd w:val="clear" w:color="auto" w:fill="auto"/>
            <w:vAlign w:val="center"/>
          </w:tcPr>
          <w:p w14:paraId="79018A8B"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B2CEB89" w14:textId="77777777" w:rsidR="00CD55F1" w:rsidRPr="00210DD1" w:rsidRDefault="00CD55F1" w:rsidP="00024DD9">
            <w:pPr>
              <w:jc w:val="center"/>
            </w:pPr>
            <w:r>
              <w:t>2</w:t>
            </w:r>
          </w:p>
        </w:tc>
        <w:tc>
          <w:tcPr>
            <w:tcW w:w="939" w:type="dxa"/>
            <w:shd w:val="clear" w:color="auto" w:fill="auto"/>
            <w:vAlign w:val="center"/>
          </w:tcPr>
          <w:p w14:paraId="1554B61F"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6DDB8472" w14:textId="77777777" w:rsidR="00CD55F1" w:rsidRDefault="00CD55F1" w:rsidP="00024DD9">
            <w:pPr>
              <w:jc w:val="center"/>
            </w:pPr>
          </w:p>
        </w:tc>
        <w:tc>
          <w:tcPr>
            <w:tcW w:w="883" w:type="dxa"/>
            <w:shd w:val="clear" w:color="auto" w:fill="auto"/>
            <w:vAlign w:val="center"/>
          </w:tcPr>
          <w:p w14:paraId="19750AAB" w14:textId="77777777" w:rsidR="00CD55F1" w:rsidRDefault="00CD55F1" w:rsidP="00024DD9">
            <w:pPr>
              <w:jc w:val="center"/>
            </w:pPr>
            <w:r w:rsidRPr="005B7BEE">
              <w:rPr>
                <w:sz w:val="14"/>
                <w:szCs w:val="14"/>
              </w:rPr>
              <w:t>Occasional</w:t>
            </w:r>
          </w:p>
        </w:tc>
        <w:tc>
          <w:tcPr>
            <w:tcW w:w="783" w:type="dxa"/>
            <w:shd w:val="clear" w:color="auto" w:fill="D9E2F3" w:themeFill="accent1" w:themeFillTint="33"/>
            <w:vAlign w:val="center"/>
          </w:tcPr>
          <w:p w14:paraId="3A270256" w14:textId="77777777" w:rsidR="00CD55F1" w:rsidRDefault="00CD55F1" w:rsidP="00024DD9">
            <w:pPr>
              <w:jc w:val="center"/>
            </w:pPr>
            <w:r>
              <w:rPr>
                <w:rFonts w:ascii="Calibri" w:hAnsi="Calibri" w:cs="Calibri"/>
              </w:rPr>
              <w:t>1-1 = 0</w:t>
            </w:r>
          </w:p>
        </w:tc>
        <w:tc>
          <w:tcPr>
            <w:tcW w:w="666" w:type="dxa"/>
            <w:shd w:val="clear" w:color="auto" w:fill="auto"/>
            <w:vAlign w:val="center"/>
          </w:tcPr>
          <w:p w14:paraId="05916A46" w14:textId="77777777" w:rsidR="00CD55F1" w:rsidRDefault="00CD55F1" w:rsidP="00024DD9">
            <w:pPr>
              <w:jc w:val="center"/>
            </w:pPr>
            <w:r>
              <w:rPr>
                <w:rFonts w:ascii="Calibri" w:hAnsi="Calibri" w:cs="Calibri"/>
              </w:rPr>
              <w:t>0</w:t>
            </w:r>
          </w:p>
        </w:tc>
        <w:tc>
          <w:tcPr>
            <w:tcW w:w="698" w:type="dxa"/>
            <w:vAlign w:val="center"/>
          </w:tcPr>
          <w:p w14:paraId="36A6A86B" w14:textId="77777777" w:rsidR="00CD55F1" w:rsidRDefault="00CD55F1" w:rsidP="00024DD9">
            <w:pPr>
              <w:jc w:val="center"/>
            </w:pPr>
            <w:r>
              <w:rPr>
                <w:rFonts w:ascii="Calibri" w:hAnsi="Calibri" w:cs="Calibri"/>
              </w:rPr>
              <w:t>0</w:t>
            </w:r>
          </w:p>
        </w:tc>
        <w:tc>
          <w:tcPr>
            <w:tcW w:w="612" w:type="dxa"/>
            <w:vAlign w:val="center"/>
          </w:tcPr>
          <w:p w14:paraId="3297D20F" w14:textId="77777777" w:rsidR="00CD55F1" w:rsidRDefault="00CD55F1" w:rsidP="00024DD9">
            <w:pPr>
              <w:jc w:val="center"/>
            </w:pPr>
            <w:r>
              <w:rPr>
                <w:rFonts w:ascii="Calibri" w:hAnsi="Calibri" w:cs="Calibri"/>
              </w:rPr>
              <w:t>0</w:t>
            </w:r>
          </w:p>
        </w:tc>
        <w:tc>
          <w:tcPr>
            <w:tcW w:w="939" w:type="dxa"/>
            <w:shd w:val="clear" w:color="auto" w:fill="auto"/>
            <w:vAlign w:val="center"/>
          </w:tcPr>
          <w:p w14:paraId="05626457" w14:textId="77777777" w:rsidR="00CD55F1" w:rsidRDefault="00CD55F1" w:rsidP="00024DD9">
            <w:pPr>
              <w:jc w:val="center"/>
            </w:pPr>
            <w:r>
              <w:rPr>
                <w:rFonts w:ascii="Calibri" w:hAnsi="Calibri" w:cs="Calibri"/>
              </w:rPr>
              <w:t>0</w:t>
            </w:r>
          </w:p>
        </w:tc>
      </w:tr>
      <w:tr w:rsidR="00CD55F1" w:rsidRPr="00F60A9B" w14:paraId="16CE1E81" w14:textId="77777777" w:rsidTr="00024DD9">
        <w:trPr>
          <w:jc w:val="center"/>
        </w:trPr>
        <w:tc>
          <w:tcPr>
            <w:tcW w:w="884" w:type="dxa"/>
            <w:tcBorders>
              <w:right w:val="single" w:sz="12" w:space="0" w:color="auto"/>
            </w:tcBorders>
          </w:tcPr>
          <w:p w14:paraId="4171EE72"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4AD55EE2" w14:textId="77777777" w:rsidR="00CD55F1" w:rsidRPr="00F60A9B" w:rsidRDefault="00CD55F1" w:rsidP="00024DD9">
            <w:pPr>
              <w:jc w:val="center"/>
            </w:pPr>
            <w:r>
              <w:rPr>
                <w:rFonts w:ascii="Calibri" w:hAnsi="Calibri" w:cs="Calibri"/>
              </w:rPr>
              <w:t>3</w:t>
            </w:r>
          </w:p>
        </w:tc>
        <w:tc>
          <w:tcPr>
            <w:tcW w:w="668" w:type="dxa"/>
            <w:vAlign w:val="center"/>
          </w:tcPr>
          <w:p w14:paraId="76A5EB4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563FE13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6BAF5CA2"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41819D66"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24803749" w14:textId="77777777" w:rsidR="00CD55F1" w:rsidRDefault="00CD55F1" w:rsidP="00024DD9">
            <w:pPr>
              <w:jc w:val="center"/>
            </w:pPr>
          </w:p>
        </w:tc>
        <w:tc>
          <w:tcPr>
            <w:tcW w:w="883" w:type="dxa"/>
            <w:shd w:val="clear" w:color="auto" w:fill="auto"/>
            <w:vAlign w:val="center"/>
          </w:tcPr>
          <w:p w14:paraId="65D5AE34" w14:textId="77777777" w:rsidR="00CD55F1" w:rsidRDefault="00CD55F1" w:rsidP="00024DD9">
            <w:pPr>
              <w:jc w:val="center"/>
            </w:pPr>
            <w:r w:rsidRPr="005B7BEE">
              <w:rPr>
                <w:sz w:val="14"/>
                <w:szCs w:val="14"/>
              </w:rPr>
              <w:t>Remote</w:t>
            </w:r>
          </w:p>
        </w:tc>
        <w:tc>
          <w:tcPr>
            <w:tcW w:w="783" w:type="dxa"/>
            <w:shd w:val="clear" w:color="auto" w:fill="auto"/>
            <w:vAlign w:val="center"/>
          </w:tcPr>
          <w:p w14:paraId="5188F40E" w14:textId="77777777" w:rsidR="00CD55F1" w:rsidRDefault="00CD55F1" w:rsidP="00024DD9">
            <w:pPr>
              <w:jc w:val="center"/>
            </w:pPr>
            <w:r>
              <w:rPr>
                <w:rFonts w:ascii="Calibri" w:hAnsi="Calibri" w:cs="Calibri"/>
              </w:rPr>
              <w:t>0</w:t>
            </w:r>
          </w:p>
        </w:tc>
        <w:tc>
          <w:tcPr>
            <w:tcW w:w="666" w:type="dxa"/>
            <w:shd w:val="clear" w:color="auto" w:fill="D9E2F3" w:themeFill="accent1" w:themeFillTint="33"/>
            <w:vAlign w:val="center"/>
          </w:tcPr>
          <w:p w14:paraId="0E079DE6" w14:textId="77777777" w:rsidR="00CD55F1" w:rsidRDefault="00CD55F1" w:rsidP="00024DD9">
            <w:pPr>
              <w:jc w:val="center"/>
            </w:pPr>
            <w:r>
              <w:rPr>
                <w:rFonts w:ascii="Calibri" w:hAnsi="Calibri" w:cs="Calibri"/>
              </w:rPr>
              <w:t>2-2 = 0</w:t>
            </w:r>
          </w:p>
        </w:tc>
        <w:tc>
          <w:tcPr>
            <w:tcW w:w="698" w:type="dxa"/>
            <w:shd w:val="clear" w:color="auto" w:fill="auto"/>
            <w:vAlign w:val="center"/>
          </w:tcPr>
          <w:p w14:paraId="554127BE" w14:textId="77777777" w:rsidR="00CD55F1" w:rsidRDefault="00CD55F1" w:rsidP="00024DD9">
            <w:pPr>
              <w:jc w:val="center"/>
            </w:pPr>
            <w:r>
              <w:rPr>
                <w:rFonts w:ascii="Calibri" w:hAnsi="Calibri" w:cs="Calibri"/>
              </w:rPr>
              <w:t>0</w:t>
            </w:r>
          </w:p>
        </w:tc>
        <w:tc>
          <w:tcPr>
            <w:tcW w:w="612" w:type="dxa"/>
            <w:shd w:val="clear" w:color="auto" w:fill="auto"/>
            <w:vAlign w:val="center"/>
          </w:tcPr>
          <w:p w14:paraId="3F9E7DCA" w14:textId="77777777" w:rsidR="00CD55F1" w:rsidRDefault="00CD55F1" w:rsidP="00024DD9">
            <w:pPr>
              <w:jc w:val="center"/>
            </w:pPr>
            <w:r>
              <w:rPr>
                <w:rFonts w:ascii="Calibri" w:hAnsi="Calibri" w:cs="Calibri"/>
              </w:rPr>
              <w:t>0</w:t>
            </w:r>
          </w:p>
        </w:tc>
        <w:tc>
          <w:tcPr>
            <w:tcW w:w="939" w:type="dxa"/>
            <w:shd w:val="clear" w:color="auto" w:fill="auto"/>
            <w:vAlign w:val="center"/>
          </w:tcPr>
          <w:p w14:paraId="3E4C7916" w14:textId="77777777" w:rsidR="00CD55F1" w:rsidRDefault="00CD55F1" w:rsidP="00024DD9">
            <w:pPr>
              <w:jc w:val="center"/>
            </w:pPr>
            <w:r>
              <w:rPr>
                <w:rFonts w:ascii="Calibri" w:hAnsi="Calibri" w:cs="Calibri"/>
              </w:rPr>
              <w:t>0</w:t>
            </w:r>
          </w:p>
        </w:tc>
      </w:tr>
      <w:tr w:rsidR="00CD55F1" w:rsidRPr="00F60A9B" w14:paraId="2A6FF7CF" w14:textId="77777777" w:rsidTr="00024DD9">
        <w:trPr>
          <w:jc w:val="center"/>
        </w:trPr>
        <w:tc>
          <w:tcPr>
            <w:tcW w:w="884" w:type="dxa"/>
            <w:tcBorders>
              <w:right w:val="single" w:sz="12" w:space="0" w:color="auto"/>
            </w:tcBorders>
          </w:tcPr>
          <w:p w14:paraId="7C7508B6"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30DC23C2" w14:textId="77777777" w:rsidR="00CD55F1" w:rsidRPr="00F60A9B" w:rsidRDefault="00CD55F1" w:rsidP="00024DD9">
            <w:pPr>
              <w:jc w:val="center"/>
            </w:pPr>
            <w:r>
              <w:rPr>
                <w:rFonts w:ascii="Calibri" w:hAnsi="Calibri" w:cs="Calibri"/>
              </w:rPr>
              <w:t>0</w:t>
            </w:r>
          </w:p>
        </w:tc>
        <w:tc>
          <w:tcPr>
            <w:tcW w:w="668" w:type="dxa"/>
            <w:vAlign w:val="center"/>
          </w:tcPr>
          <w:p w14:paraId="085483D9"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2D52E26A"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FC4DA64"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1DFB1F06"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45E1E3D9" w14:textId="77777777" w:rsidR="00CD55F1" w:rsidRDefault="00CD55F1" w:rsidP="00024DD9">
            <w:pPr>
              <w:keepNext/>
              <w:jc w:val="center"/>
            </w:pPr>
          </w:p>
        </w:tc>
        <w:tc>
          <w:tcPr>
            <w:tcW w:w="883" w:type="dxa"/>
            <w:vAlign w:val="center"/>
          </w:tcPr>
          <w:p w14:paraId="05EEDE4B" w14:textId="77777777" w:rsidR="00CD55F1" w:rsidRDefault="00CD55F1" w:rsidP="00024DD9">
            <w:pPr>
              <w:keepNext/>
              <w:jc w:val="center"/>
            </w:pPr>
            <w:r w:rsidRPr="005B7BEE">
              <w:rPr>
                <w:sz w:val="14"/>
                <w:szCs w:val="14"/>
              </w:rPr>
              <w:t>Improbable</w:t>
            </w:r>
          </w:p>
        </w:tc>
        <w:tc>
          <w:tcPr>
            <w:tcW w:w="783" w:type="dxa"/>
            <w:vAlign w:val="center"/>
          </w:tcPr>
          <w:p w14:paraId="37D28A49" w14:textId="77777777" w:rsidR="00CD55F1" w:rsidRDefault="00CD55F1" w:rsidP="00024DD9">
            <w:pPr>
              <w:keepNext/>
              <w:jc w:val="center"/>
            </w:pPr>
            <w:r>
              <w:rPr>
                <w:rFonts w:ascii="Calibri" w:hAnsi="Calibri" w:cs="Calibri"/>
              </w:rPr>
              <w:t>0</w:t>
            </w:r>
          </w:p>
        </w:tc>
        <w:tc>
          <w:tcPr>
            <w:tcW w:w="666" w:type="dxa"/>
            <w:shd w:val="clear" w:color="auto" w:fill="D9E2F3" w:themeFill="accent1" w:themeFillTint="33"/>
            <w:vAlign w:val="center"/>
          </w:tcPr>
          <w:p w14:paraId="230FDE59" w14:textId="77777777" w:rsidR="00CD55F1" w:rsidRDefault="00CD55F1" w:rsidP="00024DD9">
            <w:pPr>
              <w:keepNext/>
              <w:jc w:val="center"/>
            </w:pPr>
            <w:r>
              <w:rPr>
                <w:rFonts w:ascii="Calibri" w:hAnsi="Calibri" w:cs="Calibri"/>
              </w:rPr>
              <w:t>1-1 = 0</w:t>
            </w:r>
          </w:p>
        </w:tc>
        <w:tc>
          <w:tcPr>
            <w:tcW w:w="698" w:type="dxa"/>
            <w:vAlign w:val="center"/>
          </w:tcPr>
          <w:p w14:paraId="32D1CF47"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3609B38E" w14:textId="77777777" w:rsidR="00CD55F1" w:rsidRDefault="00CD55F1" w:rsidP="00024DD9">
            <w:pPr>
              <w:keepNext/>
              <w:jc w:val="center"/>
            </w:pPr>
            <w:r>
              <w:rPr>
                <w:rFonts w:ascii="Calibri" w:hAnsi="Calibri" w:cs="Calibri"/>
              </w:rPr>
              <w:t>0</w:t>
            </w:r>
          </w:p>
        </w:tc>
        <w:tc>
          <w:tcPr>
            <w:tcW w:w="939" w:type="dxa"/>
            <w:vAlign w:val="center"/>
          </w:tcPr>
          <w:p w14:paraId="2D3A237B" w14:textId="77777777" w:rsidR="00CD55F1" w:rsidRDefault="00CD55F1" w:rsidP="00024DD9">
            <w:pPr>
              <w:keepNext/>
              <w:jc w:val="center"/>
            </w:pPr>
            <w:r w:rsidRPr="00F60A9B">
              <w:rPr>
                <w:rFonts w:ascii="Calibri" w:hAnsi="Calibri" w:cs="Calibri"/>
              </w:rPr>
              <w:t>0</w:t>
            </w:r>
          </w:p>
        </w:tc>
      </w:tr>
    </w:tbl>
    <w:p w14:paraId="248276AD" w14:textId="77777777" w:rsidR="00CD55F1" w:rsidRDefault="00CD55F1">
      <w:pPr>
        <w:pStyle w:val="ListParagraph"/>
        <w:numPr>
          <w:ilvl w:val="0"/>
          <w:numId w:val="27"/>
        </w:numPr>
        <w:spacing w:before="160"/>
      </w:pPr>
      <w:r>
        <w:t xml:space="preserve">Which simplifies to: </w:t>
      </w:r>
    </w:p>
    <w:tbl>
      <w:tblPr>
        <w:tblStyle w:val="TableGrid"/>
        <w:tblW w:w="9450" w:type="dxa"/>
        <w:jc w:val="center"/>
        <w:tblLayout w:type="fixed"/>
        <w:tblLook w:val="04A0" w:firstRow="1" w:lastRow="0" w:firstColumn="1" w:lastColumn="0" w:noHBand="0" w:noVBand="1"/>
      </w:tblPr>
      <w:tblGrid>
        <w:gridCol w:w="884"/>
        <w:gridCol w:w="783"/>
        <w:gridCol w:w="668"/>
        <w:gridCol w:w="680"/>
        <w:gridCol w:w="628"/>
        <w:gridCol w:w="939"/>
        <w:gridCol w:w="287"/>
        <w:gridCol w:w="883"/>
        <w:gridCol w:w="783"/>
        <w:gridCol w:w="666"/>
        <w:gridCol w:w="698"/>
        <w:gridCol w:w="612"/>
        <w:gridCol w:w="939"/>
      </w:tblGrid>
      <w:tr w:rsidR="00CD55F1" w:rsidRPr="00F60A9B" w14:paraId="2C868853" w14:textId="77777777" w:rsidTr="00024DD9">
        <w:trPr>
          <w:tblHeader/>
          <w:jc w:val="center"/>
        </w:trPr>
        <w:tc>
          <w:tcPr>
            <w:tcW w:w="884" w:type="dxa"/>
            <w:tcBorders>
              <w:top w:val="nil"/>
              <w:left w:val="nil"/>
              <w:bottom w:val="single" w:sz="4" w:space="0" w:color="auto"/>
            </w:tcBorders>
            <w:vAlign w:val="center"/>
          </w:tcPr>
          <w:p w14:paraId="3C0F8059" w14:textId="77777777" w:rsidR="00CD55F1"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783" w:type="dxa"/>
            <w:tcBorders>
              <w:top w:val="single" w:sz="4" w:space="0" w:color="auto"/>
              <w:bottom w:val="single" w:sz="12" w:space="0" w:color="auto"/>
            </w:tcBorders>
            <w:vAlign w:val="center"/>
          </w:tcPr>
          <w:p w14:paraId="39BBA455" w14:textId="77777777" w:rsidR="00CD55F1" w:rsidRPr="005B7BEE" w:rsidRDefault="00CD55F1" w:rsidP="00024DD9">
            <w:pPr>
              <w:jc w:val="center"/>
              <w:rPr>
                <w:sz w:val="14"/>
                <w:szCs w:val="14"/>
              </w:rPr>
            </w:pPr>
            <w:r w:rsidRPr="005B7BEE">
              <w:rPr>
                <w:sz w:val="14"/>
                <w:szCs w:val="14"/>
              </w:rPr>
              <w:t>Negligible</w:t>
            </w:r>
          </w:p>
        </w:tc>
        <w:tc>
          <w:tcPr>
            <w:tcW w:w="668" w:type="dxa"/>
            <w:tcBorders>
              <w:top w:val="single" w:sz="4" w:space="0" w:color="auto"/>
              <w:bottom w:val="single" w:sz="12" w:space="0" w:color="auto"/>
            </w:tcBorders>
            <w:vAlign w:val="center"/>
          </w:tcPr>
          <w:p w14:paraId="6E9C2E16" w14:textId="77777777" w:rsidR="00CD55F1" w:rsidRPr="005B7BEE" w:rsidRDefault="00CD55F1" w:rsidP="00024DD9">
            <w:pPr>
              <w:jc w:val="center"/>
              <w:rPr>
                <w:sz w:val="14"/>
                <w:szCs w:val="14"/>
              </w:rPr>
            </w:pPr>
            <w:r w:rsidRPr="005B7BEE">
              <w:rPr>
                <w:sz w:val="14"/>
                <w:szCs w:val="14"/>
              </w:rPr>
              <w:t>Minor</w:t>
            </w:r>
          </w:p>
        </w:tc>
        <w:tc>
          <w:tcPr>
            <w:tcW w:w="680" w:type="dxa"/>
            <w:tcBorders>
              <w:top w:val="single" w:sz="4" w:space="0" w:color="auto"/>
              <w:bottom w:val="single" w:sz="12" w:space="0" w:color="auto"/>
            </w:tcBorders>
            <w:vAlign w:val="center"/>
          </w:tcPr>
          <w:p w14:paraId="78A100B1" w14:textId="77777777" w:rsidR="00CD55F1" w:rsidRPr="005B7BEE" w:rsidRDefault="00CD55F1" w:rsidP="00024DD9">
            <w:pPr>
              <w:jc w:val="center"/>
              <w:rPr>
                <w:sz w:val="14"/>
                <w:szCs w:val="14"/>
              </w:rPr>
            </w:pPr>
            <w:r w:rsidRPr="005B7BEE">
              <w:rPr>
                <w:sz w:val="14"/>
                <w:szCs w:val="14"/>
              </w:rPr>
              <w:t>Serious /Major</w:t>
            </w:r>
          </w:p>
        </w:tc>
        <w:tc>
          <w:tcPr>
            <w:tcW w:w="628" w:type="dxa"/>
            <w:tcBorders>
              <w:top w:val="single" w:sz="4" w:space="0" w:color="auto"/>
              <w:bottom w:val="single" w:sz="12" w:space="0" w:color="auto"/>
            </w:tcBorders>
            <w:vAlign w:val="center"/>
          </w:tcPr>
          <w:p w14:paraId="53A48C7F"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6AAECA43" w14:textId="77777777" w:rsidR="00CD55F1" w:rsidRPr="005B7BEE" w:rsidRDefault="00CD55F1" w:rsidP="00024DD9">
            <w:pPr>
              <w:jc w:val="center"/>
              <w:rPr>
                <w:sz w:val="14"/>
                <w:szCs w:val="14"/>
              </w:rPr>
            </w:pPr>
            <w:r w:rsidRPr="005B7BEE">
              <w:rPr>
                <w:sz w:val="14"/>
                <w:szCs w:val="14"/>
              </w:rPr>
              <w:t xml:space="preserve">Catastrophic </w:t>
            </w:r>
          </w:p>
          <w:p w14:paraId="4E925C48" w14:textId="77777777" w:rsidR="00CD55F1" w:rsidRPr="005B7BEE" w:rsidRDefault="00CD55F1" w:rsidP="00024DD9">
            <w:pPr>
              <w:jc w:val="center"/>
              <w:rPr>
                <w:sz w:val="14"/>
                <w:szCs w:val="14"/>
              </w:rPr>
            </w:pPr>
            <w:r w:rsidRPr="005B7BEE">
              <w:rPr>
                <w:sz w:val="14"/>
                <w:szCs w:val="14"/>
              </w:rPr>
              <w:t>/ Fatal</w:t>
            </w:r>
          </w:p>
        </w:tc>
        <w:tc>
          <w:tcPr>
            <w:tcW w:w="287" w:type="dxa"/>
            <w:tcBorders>
              <w:top w:val="nil"/>
              <w:left w:val="nil"/>
              <w:bottom w:val="nil"/>
              <w:right w:val="nil"/>
            </w:tcBorders>
          </w:tcPr>
          <w:p w14:paraId="5FEB1E3B" w14:textId="77777777" w:rsidR="00CD55F1" w:rsidRPr="005B7BEE" w:rsidRDefault="00CD55F1" w:rsidP="00024DD9">
            <w:pPr>
              <w:jc w:val="center"/>
              <w:rPr>
                <w:sz w:val="14"/>
                <w:szCs w:val="14"/>
              </w:rPr>
            </w:pPr>
          </w:p>
        </w:tc>
        <w:tc>
          <w:tcPr>
            <w:tcW w:w="883" w:type="dxa"/>
            <w:tcBorders>
              <w:top w:val="nil"/>
              <w:left w:val="nil"/>
              <w:bottom w:val="single" w:sz="12" w:space="0" w:color="auto"/>
            </w:tcBorders>
            <w:vAlign w:val="center"/>
          </w:tcPr>
          <w:p w14:paraId="59F3A2BC" w14:textId="77777777" w:rsidR="00CD55F1" w:rsidRPr="005B7BEE" w:rsidRDefault="00000000" w:rsidP="00024DD9">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783" w:type="dxa"/>
            <w:tcBorders>
              <w:top w:val="single" w:sz="4" w:space="0" w:color="auto"/>
              <w:bottom w:val="single" w:sz="12" w:space="0" w:color="auto"/>
            </w:tcBorders>
            <w:vAlign w:val="center"/>
          </w:tcPr>
          <w:p w14:paraId="72B6F650" w14:textId="77777777" w:rsidR="00CD55F1" w:rsidRPr="005B7BEE" w:rsidRDefault="00CD55F1" w:rsidP="00024DD9">
            <w:pPr>
              <w:jc w:val="center"/>
              <w:rPr>
                <w:sz w:val="14"/>
                <w:szCs w:val="14"/>
              </w:rPr>
            </w:pPr>
            <w:r w:rsidRPr="005B7BEE">
              <w:rPr>
                <w:sz w:val="14"/>
                <w:szCs w:val="14"/>
              </w:rPr>
              <w:t>Negligible</w:t>
            </w:r>
          </w:p>
        </w:tc>
        <w:tc>
          <w:tcPr>
            <w:tcW w:w="666" w:type="dxa"/>
            <w:tcBorders>
              <w:top w:val="single" w:sz="4" w:space="0" w:color="auto"/>
              <w:bottom w:val="single" w:sz="12" w:space="0" w:color="auto"/>
            </w:tcBorders>
            <w:vAlign w:val="center"/>
          </w:tcPr>
          <w:p w14:paraId="70144A1B" w14:textId="77777777" w:rsidR="00CD55F1" w:rsidRPr="005B7BEE" w:rsidRDefault="00CD55F1" w:rsidP="00024DD9">
            <w:pPr>
              <w:jc w:val="center"/>
              <w:rPr>
                <w:sz w:val="14"/>
                <w:szCs w:val="14"/>
              </w:rPr>
            </w:pPr>
            <w:r w:rsidRPr="005B7BEE">
              <w:rPr>
                <w:sz w:val="14"/>
                <w:szCs w:val="14"/>
              </w:rPr>
              <w:t>Minor</w:t>
            </w:r>
          </w:p>
        </w:tc>
        <w:tc>
          <w:tcPr>
            <w:tcW w:w="698" w:type="dxa"/>
            <w:tcBorders>
              <w:top w:val="single" w:sz="4" w:space="0" w:color="auto"/>
              <w:bottom w:val="single" w:sz="12" w:space="0" w:color="auto"/>
            </w:tcBorders>
            <w:vAlign w:val="center"/>
          </w:tcPr>
          <w:p w14:paraId="556BCF24" w14:textId="77777777" w:rsidR="00CD55F1" w:rsidRPr="005B7BEE" w:rsidRDefault="00CD55F1" w:rsidP="00024DD9">
            <w:pPr>
              <w:jc w:val="center"/>
              <w:rPr>
                <w:sz w:val="14"/>
                <w:szCs w:val="14"/>
              </w:rPr>
            </w:pPr>
            <w:r w:rsidRPr="005B7BEE">
              <w:rPr>
                <w:sz w:val="14"/>
                <w:szCs w:val="14"/>
              </w:rPr>
              <w:t>Serious /Major</w:t>
            </w:r>
          </w:p>
        </w:tc>
        <w:tc>
          <w:tcPr>
            <w:tcW w:w="612" w:type="dxa"/>
            <w:tcBorders>
              <w:top w:val="single" w:sz="4" w:space="0" w:color="auto"/>
              <w:bottom w:val="single" w:sz="12" w:space="0" w:color="auto"/>
            </w:tcBorders>
            <w:vAlign w:val="center"/>
          </w:tcPr>
          <w:p w14:paraId="23F6701F" w14:textId="77777777" w:rsidR="00CD55F1" w:rsidRPr="005B7BEE" w:rsidRDefault="00CD55F1" w:rsidP="00024DD9">
            <w:pPr>
              <w:jc w:val="center"/>
              <w:rPr>
                <w:sz w:val="14"/>
                <w:szCs w:val="14"/>
              </w:rPr>
            </w:pPr>
            <w:r w:rsidRPr="005B7BEE">
              <w:rPr>
                <w:sz w:val="14"/>
                <w:szCs w:val="14"/>
              </w:rPr>
              <w:t>Critical</w:t>
            </w:r>
          </w:p>
        </w:tc>
        <w:tc>
          <w:tcPr>
            <w:tcW w:w="939" w:type="dxa"/>
            <w:tcBorders>
              <w:top w:val="single" w:sz="4" w:space="0" w:color="auto"/>
              <w:bottom w:val="single" w:sz="12" w:space="0" w:color="auto"/>
            </w:tcBorders>
            <w:vAlign w:val="center"/>
          </w:tcPr>
          <w:p w14:paraId="40381926" w14:textId="77777777" w:rsidR="00CD55F1" w:rsidRPr="005B7BEE" w:rsidRDefault="00CD55F1" w:rsidP="00024DD9">
            <w:pPr>
              <w:jc w:val="center"/>
              <w:rPr>
                <w:sz w:val="14"/>
                <w:szCs w:val="14"/>
              </w:rPr>
            </w:pPr>
            <w:r w:rsidRPr="005B7BEE">
              <w:rPr>
                <w:sz w:val="14"/>
                <w:szCs w:val="14"/>
              </w:rPr>
              <w:t xml:space="preserve">Catastrophic </w:t>
            </w:r>
          </w:p>
          <w:p w14:paraId="43299002" w14:textId="77777777" w:rsidR="00CD55F1" w:rsidRDefault="00CD55F1" w:rsidP="00024DD9">
            <w:pPr>
              <w:jc w:val="center"/>
              <w:rPr>
                <w:rFonts w:ascii="Calibri" w:eastAsia="Calibri" w:hAnsi="Calibri" w:cs="Times New Roman"/>
              </w:rPr>
            </w:pPr>
            <w:r w:rsidRPr="005B7BEE">
              <w:rPr>
                <w:sz w:val="14"/>
                <w:szCs w:val="14"/>
              </w:rPr>
              <w:t>/ Fatal</w:t>
            </w:r>
          </w:p>
        </w:tc>
      </w:tr>
      <w:tr w:rsidR="00CD55F1" w:rsidRPr="00F60A9B" w14:paraId="33ECE97D" w14:textId="77777777" w:rsidTr="00024DD9">
        <w:trPr>
          <w:jc w:val="center"/>
        </w:trPr>
        <w:tc>
          <w:tcPr>
            <w:tcW w:w="884" w:type="dxa"/>
            <w:tcBorders>
              <w:top w:val="single" w:sz="4" w:space="0" w:color="auto"/>
              <w:right w:val="single" w:sz="12" w:space="0" w:color="auto"/>
            </w:tcBorders>
          </w:tcPr>
          <w:p w14:paraId="4028ABB3" w14:textId="77777777" w:rsidR="00CD55F1" w:rsidRPr="005B7BEE" w:rsidRDefault="00CD55F1" w:rsidP="00024DD9">
            <w:pPr>
              <w:rPr>
                <w:sz w:val="14"/>
                <w:szCs w:val="14"/>
              </w:rPr>
            </w:pPr>
            <w:r>
              <w:rPr>
                <w:sz w:val="14"/>
                <w:szCs w:val="14"/>
              </w:rPr>
              <w:t>Expected</w:t>
            </w:r>
          </w:p>
        </w:tc>
        <w:tc>
          <w:tcPr>
            <w:tcW w:w="783" w:type="dxa"/>
            <w:tcBorders>
              <w:top w:val="single" w:sz="12" w:space="0" w:color="auto"/>
              <w:left w:val="single" w:sz="12" w:space="0" w:color="auto"/>
            </w:tcBorders>
            <w:vAlign w:val="center"/>
          </w:tcPr>
          <w:p w14:paraId="734FB9CE" w14:textId="77777777" w:rsidR="00CD55F1" w:rsidRPr="00F60A9B" w:rsidRDefault="00CD55F1" w:rsidP="00024DD9">
            <w:pPr>
              <w:jc w:val="center"/>
            </w:pPr>
            <w:r>
              <w:t>0</w:t>
            </w:r>
          </w:p>
        </w:tc>
        <w:tc>
          <w:tcPr>
            <w:tcW w:w="668" w:type="dxa"/>
            <w:tcBorders>
              <w:top w:val="single" w:sz="12" w:space="0" w:color="auto"/>
            </w:tcBorders>
            <w:vAlign w:val="center"/>
          </w:tcPr>
          <w:p w14:paraId="5498147D" w14:textId="77777777" w:rsidR="00CD55F1" w:rsidRPr="00210DD1" w:rsidRDefault="00CD55F1" w:rsidP="00024DD9">
            <w:pPr>
              <w:jc w:val="center"/>
            </w:pPr>
            <w:r>
              <w:t>0</w:t>
            </w:r>
          </w:p>
        </w:tc>
        <w:tc>
          <w:tcPr>
            <w:tcW w:w="680" w:type="dxa"/>
            <w:tcBorders>
              <w:top w:val="single" w:sz="12" w:space="0" w:color="auto"/>
            </w:tcBorders>
            <w:vAlign w:val="center"/>
          </w:tcPr>
          <w:p w14:paraId="6956D49A" w14:textId="77777777" w:rsidR="00CD55F1" w:rsidRPr="00210DD1" w:rsidRDefault="00CD55F1" w:rsidP="00024DD9">
            <w:pPr>
              <w:jc w:val="center"/>
            </w:pPr>
            <w:r>
              <w:t>0</w:t>
            </w:r>
          </w:p>
        </w:tc>
        <w:tc>
          <w:tcPr>
            <w:tcW w:w="628" w:type="dxa"/>
            <w:tcBorders>
              <w:top w:val="single" w:sz="12" w:space="0" w:color="auto"/>
            </w:tcBorders>
            <w:vAlign w:val="center"/>
          </w:tcPr>
          <w:p w14:paraId="432705F1" w14:textId="77777777" w:rsidR="00CD55F1" w:rsidRPr="00210DD1" w:rsidRDefault="00CD55F1" w:rsidP="00024DD9">
            <w:pPr>
              <w:jc w:val="center"/>
            </w:pPr>
            <w:r>
              <w:t>0</w:t>
            </w:r>
          </w:p>
        </w:tc>
        <w:tc>
          <w:tcPr>
            <w:tcW w:w="939" w:type="dxa"/>
            <w:tcBorders>
              <w:top w:val="single" w:sz="12" w:space="0" w:color="auto"/>
            </w:tcBorders>
            <w:vAlign w:val="center"/>
          </w:tcPr>
          <w:p w14:paraId="4B1BBAE7" w14:textId="77777777" w:rsidR="00CD55F1" w:rsidRPr="00F60A9B" w:rsidRDefault="00CD55F1" w:rsidP="00024DD9">
            <w:pPr>
              <w:jc w:val="center"/>
            </w:pPr>
            <w:r>
              <w:t>0</w:t>
            </w:r>
          </w:p>
        </w:tc>
        <w:tc>
          <w:tcPr>
            <w:tcW w:w="287" w:type="dxa"/>
            <w:tcBorders>
              <w:top w:val="nil"/>
              <w:left w:val="nil"/>
              <w:bottom w:val="nil"/>
              <w:right w:val="nil"/>
            </w:tcBorders>
            <w:vAlign w:val="center"/>
          </w:tcPr>
          <w:p w14:paraId="01DE0D48" w14:textId="77777777" w:rsidR="00CD55F1" w:rsidRDefault="00CD55F1" w:rsidP="00024DD9">
            <w:pPr>
              <w:jc w:val="center"/>
            </w:pPr>
          </w:p>
        </w:tc>
        <w:tc>
          <w:tcPr>
            <w:tcW w:w="883" w:type="dxa"/>
            <w:tcBorders>
              <w:top w:val="single" w:sz="12" w:space="0" w:color="auto"/>
            </w:tcBorders>
            <w:vAlign w:val="center"/>
          </w:tcPr>
          <w:p w14:paraId="3EB04312" w14:textId="77777777" w:rsidR="00CD55F1" w:rsidRDefault="00CD55F1" w:rsidP="00024DD9">
            <w:pPr>
              <w:jc w:val="center"/>
            </w:pPr>
            <w:r>
              <w:rPr>
                <w:sz w:val="14"/>
                <w:szCs w:val="14"/>
              </w:rPr>
              <w:t>Expected</w:t>
            </w:r>
          </w:p>
        </w:tc>
        <w:tc>
          <w:tcPr>
            <w:tcW w:w="783" w:type="dxa"/>
            <w:tcBorders>
              <w:top w:val="single" w:sz="12" w:space="0" w:color="auto"/>
            </w:tcBorders>
            <w:vAlign w:val="center"/>
          </w:tcPr>
          <w:p w14:paraId="0B09E110" w14:textId="77777777" w:rsidR="00CD55F1" w:rsidRDefault="00CD55F1" w:rsidP="00024DD9">
            <w:pPr>
              <w:jc w:val="center"/>
            </w:pPr>
            <w:r>
              <w:t>0</w:t>
            </w:r>
          </w:p>
        </w:tc>
        <w:tc>
          <w:tcPr>
            <w:tcW w:w="666" w:type="dxa"/>
            <w:tcBorders>
              <w:top w:val="single" w:sz="12" w:space="0" w:color="auto"/>
            </w:tcBorders>
            <w:vAlign w:val="center"/>
          </w:tcPr>
          <w:p w14:paraId="150BCCED" w14:textId="77777777" w:rsidR="00CD55F1" w:rsidRDefault="00CD55F1" w:rsidP="00024DD9">
            <w:pPr>
              <w:jc w:val="center"/>
            </w:pPr>
            <w:r>
              <w:t>0</w:t>
            </w:r>
          </w:p>
        </w:tc>
        <w:tc>
          <w:tcPr>
            <w:tcW w:w="698" w:type="dxa"/>
            <w:tcBorders>
              <w:top w:val="single" w:sz="12" w:space="0" w:color="auto"/>
            </w:tcBorders>
            <w:vAlign w:val="center"/>
          </w:tcPr>
          <w:p w14:paraId="00C156B9" w14:textId="77777777" w:rsidR="00CD55F1" w:rsidRDefault="00CD55F1" w:rsidP="00024DD9">
            <w:pPr>
              <w:jc w:val="center"/>
            </w:pPr>
            <w:r>
              <w:t>0</w:t>
            </w:r>
          </w:p>
        </w:tc>
        <w:tc>
          <w:tcPr>
            <w:tcW w:w="612" w:type="dxa"/>
            <w:tcBorders>
              <w:top w:val="single" w:sz="12" w:space="0" w:color="auto"/>
            </w:tcBorders>
            <w:vAlign w:val="center"/>
          </w:tcPr>
          <w:p w14:paraId="1428BAA5" w14:textId="77777777" w:rsidR="00CD55F1" w:rsidRDefault="00CD55F1" w:rsidP="00024DD9">
            <w:pPr>
              <w:jc w:val="center"/>
            </w:pPr>
            <w:r>
              <w:t>0</w:t>
            </w:r>
          </w:p>
        </w:tc>
        <w:tc>
          <w:tcPr>
            <w:tcW w:w="939" w:type="dxa"/>
            <w:tcBorders>
              <w:top w:val="single" w:sz="12" w:space="0" w:color="auto"/>
            </w:tcBorders>
            <w:vAlign w:val="center"/>
          </w:tcPr>
          <w:p w14:paraId="798D11B3" w14:textId="77777777" w:rsidR="00CD55F1" w:rsidRDefault="00CD55F1" w:rsidP="00024DD9">
            <w:pPr>
              <w:jc w:val="center"/>
            </w:pPr>
            <w:r>
              <w:t>0</w:t>
            </w:r>
          </w:p>
        </w:tc>
      </w:tr>
      <w:tr w:rsidR="00CD55F1" w:rsidRPr="00F60A9B" w14:paraId="0FDD690A" w14:textId="77777777" w:rsidTr="00024DD9">
        <w:trPr>
          <w:jc w:val="center"/>
        </w:trPr>
        <w:tc>
          <w:tcPr>
            <w:tcW w:w="884" w:type="dxa"/>
            <w:tcBorders>
              <w:right w:val="single" w:sz="12" w:space="0" w:color="auto"/>
            </w:tcBorders>
          </w:tcPr>
          <w:p w14:paraId="22C64065" w14:textId="77777777" w:rsidR="00CD55F1" w:rsidRPr="005B7BEE" w:rsidRDefault="00CD55F1" w:rsidP="00024DD9">
            <w:pPr>
              <w:rPr>
                <w:sz w:val="14"/>
                <w:szCs w:val="14"/>
              </w:rPr>
            </w:pPr>
            <w:r>
              <w:rPr>
                <w:sz w:val="14"/>
                <w:szCs w:val="14"/>
              </w:rPr>
              <w:t>Often</w:t>
            </w:r>
          </w:p>
        </w:tc>
        <w:tc>
          <w:tcPr>
            <w:tcW w:w="783" w:type="dxa"/>
            <w:tcBorders>
              <w:left w:val="single" w:sz="12" w:space="0" w:color="auto"/>
            </w:tcBorders>
            <w:shd w:val="clear" w:color="auto" w:fill="auto"/>
            <w:vAlign w:val="center"/>
          </w:tcPr>
          <w:p w14:paraId="2AA13052" w14:textId="77777777" w:rsidR="00CD55F1" w:rsidRDefault="00CD55F1" w:rsidP="00024DD9">
            <w:pPr>
              <w:jc w:val="center"/>
            </w:pPr>
            <w:r>
              <w:t>0</w:t>
            </w:r>
          </w:p>
        </w:tc>
        <w:tc>
          <w:tcPr>
            <w:tcW w:w="668" w:type="dxa"/>
            <w:shd w:val="clear" w:color="auto" w:fill="auto"/>
            <w:vAlign w:val="center"/>
          </w:tcPr>
          <w:p w14:paraId="04C7742A" w14:textId="77777777" w:rsidR="00CD55F1" w:rsidRPr="00210DD1" w:rsidRDefault="00CD55F1" w:rsidP="00024DD9">
            <w:pPr>
              <w:jc w:val="center"/>
            </w:pPr>
            <w:r>
              <w:t>0</w:t>
            </w:r>
          </w:p>
        </w:tc>
        <w:tc>
          <w:tcPr>
            <w:tcW w:w="680" w:type="dxa"/>
            <w:vAlign w:val="center"/>
          </w:tcPr>
          <w:p w14:paraId="72C00F79" w14:textId="77777777" w:rsidR="00CD55F1" w:rsidRPr="00210DD1" w:rsidRDefault="00CD55F1" w:rsidP="00024DD9">
            <w:pPr>
              <w:jc w:val="center"/>
            </w:pPr>
            <w:r>
              <w:t>0</w:t>
            </w:r>
          </w:p>
        </w:tc>
        <w:tc>
          <w:tcPr>
            <w:tcW w:w="628" w:type="dxa"/>
            <w:vAlign w:val="center"/>
          </w:tcPr>
          <w:p w14:paraId="4D1E9934" w14:textId="77777777" w:rsidR="00CD55F1" w:rsidRPr="00210DD1" w:rsidRDefault="00CD55F1" w:rsidP="00024DD9">
            <w:pPr>
              <w:jc w:val="center"/>
            </w:pPr>
            <w:r>
              <w:t>0</w:t>
            </w:r>
          </w:p>
        </w:tc>
        <w:tc>
          <w:tcPr>
            <w:tcW w:w="939" w:type="dxa"/>
            <w:vAlign w:val="center"/>
          </w:tcPr>
          <w:p w14:paraId="29E850A9" w14:textId="77777777" w:rsidR="00CD55F1" w:rsidRDefault="00CD55F1" w:rsidP="00024DD9">
            <w:pPr>
              <w:jc w:val="center"/>
            </w:pPr>
            <w:r>
              <w:t>0</w:t>
            </w:r>
          </w:p>
        </w:tc>
        <w:tc>
          <w:tcPr>
            <w:tcW w:w="287" w:type="dxa"/>
            <w:tcBorders>
              <w:top w:val="nil"/>
              <w:left w:val="nil"/>
              <w:bottom w:val="nil"/>
              <w:right w:val="nil"/>
            </w:tcBorders>
            <w:vAlign w:val="center"/>
          </w:tcPr>
          <w:p w14:paraId="506B2508" w14:textId="77777777" w:rsidR="00CD55F1" w:rsidRDefault="00CD55F1" w:rsidP="00024DD9">
            <w:pPr>
              <w:jc w:val="center"/>
            </w:pPr>
          </w:p>
        </w:tc>
        <w:tc>
          <w:tcPr>
            <w:tcW w:w="883" w:type="dxa"/>
            <w:vAlign w:val="center"/>
          </w:tcPr>
          <w:p w14:paraId="3978823E" w14:textId="77777777" w:rsidR="00CD55F1" w:rsidRPr="005B7BEE" w:rsidRDefault="00CD55F1" w:rsidP="00024DD9">
            <w:pPr>
              <w:jc w:val="center"/>
              <w:rPr>
                <w:sz w:val="14"/>
                <w:szCs w:val="14"/>
              </w:rPr>
            </w:pPr>
            <w:r>
              <w:rPr>
                <w:sz w:val="14"/>
                <w:szCs w:val="14"/>
              </w:rPr>
              <w:t>Often</w:t>
            </w:r>
          </w:p>
        </w:tc>
        <w:tc>
          <w:tcPr>
            <w:tcW w:w="783" w:type="dxa"/>
            <w:vAlign w:val="center"/>
          </w:tcPr>
          <w:p w14:paraId="5F29524C" w14:textId="77777777" w:rsidR="00CD55F1" w:rsidRDefault="00CD55F1" w:rsidP="00024DD9">
            <w:pPr>
              <w:jc w:val="center"/>
            </w:pPr>
            <w:r>
              <w:t>0</w:t>
            </w:r>
          </w:p>
        </w:tc>
        <w:tc>
          <w:tcPr>
            <w:tcW w:w="666" w:type="dxa"/>
            <w:vAlign w:val="center"/>
          </w:tcPr>
          <w:p w14:paraId="4F471C47" w14:textId="77777777" w:rsidR="00CD55F1" w:rsidRPr="00210DD1" w:rsidRDefault="00CD55F1" w:rsidP="00024DD9">
            <w:pPr>
              <w:jc w:val="center"/>
            </w:pPr>
            <w:r>
              <w:t>0</w:t>
            </w:r>
          </w:p>
        </w:tc>
        <w:tc>
          <w:tcPr>
            <w:tcW w:w="698" w:type="dxa"/>
            <w:vAlign w:val="center"/>
          </w:tcPr>
          <w:p w14:paraId="7614B47E" w14:textId="77777777" w:rsidR="00CD55F1" w:rsidRPr="00210DD1" w:rsidRDefault="00CD55F1" w:rsidP="00024DD9">
            <w:pPr>
              <w:jc w:val="center"/>
            </w:pPr>
            <w:r>
              <w:t>0</w:t>
            </w:r>
          </w:p>
        </w:tc>
        <w:tc>
          <w:tcPr>
            <w:tcW w:w="612" w:type="dxa"/>
            <w:vAlign w:val="center"/>
          </w:tcPr>
          <w:p w14:paraId="135D4AC6" w14:textId="77777777" w:rsidR="00CD55F1" w:rsidRPr="00210DD1" w:rsidRDefault="00CD55F1" w:rsidP="00024DD9">
            <w:pPr>
              <w:jc w:val="center"/>
            </w:pPr>
            <w:r>
              <w:t>0</w:t>
            </w:r>
          </w:p>
        </w:tc>
        <w:tc>
          <w:tcPr>
            <w:tcW w:w="939" w:type="dxa"/>
            <w:vAlign w:val="center"/>
          </w:tcPr>
          <w:p w14:paraId="7D0A5149" w14:textId="77777777" w:rsidR="00CD55F1" w:rsidRDefault="00CD55F1" w:rsidP="00024DD9">
            <w:pPr>
              <w:jc w:val="center"/>
            </w:pPr>
            <w:r>
              <w:t>0</w:t>
            </w:r>
          </w:p>
        </w:tc>
      </w:tr>
      <w:tr w:rsidR="00CD55F1" w:rsidRPr="00F60A9B" w14:paraId="2CE23ADB" w14:textId="77777777" w:rsidTr="00024DD9">
        <w:trPr>
          <w:jc w:val="center"/>
        </w:trPr>
        <w:tc>
          <w:tcPr>
            <w:tcW w:w="884" w:type="dxa"/>
            <w:tcBorders>
              <w:right w:val="single" w:sz="12" w:space="0" w:color="auto"/>
            </w:tcBorders>
          </w:tcPr>
          <w:p w14:paraId="3C136080" w14:textId="77777777" w:rsidR="00CD55F1" w:rsidRPr="005B7BEE" w:rsidRDefault="00CD55F1" w:rsidP="00024DD9">
            <w:pPr>
              <w:rPr>
                <w:sz w:val="14"/>
                <w:szCs w:val="14"/>
              </w:rPr>
            </w:pPr>
            <w:r w:rsidRPr="005B7BEE">
              <w:rPr>
                <w:sz w:val="14"/>
                <w:szCs w:val="14"/>
              </w:rPr>
              <w:t>Frequent</w:t>
            </w:r>
          </w:p>
        </w:tc>
        <w:tc>
          <w:tcPr>
            <w:tcW w:w="783" w:type="dxa"/>
            <w:tcBorders>
              <w:left w:val="single" w:sz="12" w:space="0" w:color="auto"/>
            </w:tcBorders>
            <w:shd w:val="clear" w:color="auto" w:fill="auto"/>
            <w:vAlign w:val="center"/>
          </w:tcPr>
          <w:p w14:paraId="4E69ED5C" w14:textId="77777777" w:rsidR="00CD55F1" w:rsidRDefault="00CD55F1" w:rsidP="00024DD9">
            <w:pPr>
              <w:jc w:val="center"/>
            </w:pPr>
            <w:r>
              <w:t>0</w:t>
            </w:r>
          </w:p>
        </w:tc>
        <w:tc>
          <w:tcPr>
            <w:tcW w:w="668" w:type="dxa"/>
            <w:shd w:val="clear" w:color="auto" w:fill="auto"/>
            <w:vAlign w:val="center"/>
          </w:tcPr>
          <w:p w14:paraId="50C3BA9D"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FDAEADA"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0C70BAE3" w14:textId="77777777" w:rsidR="00CD55F1" w:rsidRPr="00210DD1" w:rsidRDefault="00CD55F1" w:rsidP="00024DD9">
            <w:pPr>
              <w:jc w:val="center"/>
            </w:pPr>
            <w:r w:rsidRPr="00F60A9B">
              <w:rPr>
                <w:rFonts w:ascii="Calibri" w:hAnsi="Calibri" w:cs="Calibri"/>
              </w:rPr>
              <w:t>0</w:t>
            </w:r>
          </w:p>
        </w:tc>
        <w:tc>
          <w:tcPr>
            <w:tcW w:w="939" w:type="dxa"/>
            <w:shd w:val="clear" w:color="auto" w:fill="auto"/>
            <w:vAlign w:val="center"/>
          </w:tcPr>
          <w:p w14:paraId="5BBE5C85" w14:textId="77777777" w:rsidR="00CD55F1" w:rsidRDefault="00CD55F1" w:rsidP="00024DD9">
            <w:pPr>
              <w:jc w:val="center"/>
            </w:pPr>
            <w:r w:rsidRPr="00F60A9B">
              <w:rPr>
                <w:rFonts w:ascii="Calibri" w:hAnsi="Calibri" w:cs="Calibri"/>
              </w:rPr>
              <w:t>0</w:t>
            </w:r>
          </w:p>
        </w:tc>
        <w:tc>
          <w:tcPr>
            <w:tcW w:w="287" w:type="dxa"/>
            <w:tcBorders>
              <w:top w:val="nil"/>
              <w:left w:val="nil"/>
              <w:bottom w:val="nil"/>
              <w:right w:val="nil"/>
            </w:tcBorders>
            <w:shd w:val="clear" w:color="auto" w:fill="auto"/>
            <w:vAlign w:val="center"/>
          </w:tcPr>
          <w:p w14:paraId="30F05427" w14:textId="77777777" w:rsidR="00CD55F1" w:rsidRDefault="00CD55F1" w:rsidP="00024DD9">
            <w:pPr>
              <w:jc w:val="center"/>
            </w:pPr>
          </w:p>
        </w:tc>
        <w:tc>
          <w:tcPr>
            <w:tcW w:w="883" w:type="dxa"/>
            <w:shd w:val="clear" w:color="auto" w:fill="auto"/>
            <w:vAlign w:val="center"/>
          </w:tcPr>
          <w:p w14:paraId="0ED91CFC" w14:textId="77777777" w:rsidR="00CD55F1" w:rsidRPr="005B7BEE" w:rsidRDefault="00CD55F1" w:rsidP="00024DD9">
            <w:pPr>
              <w:jc w:val="center"/>
              <w:rPr>
                <w:sz w:val="14"/>
                <w:szCs w:val="14"/>
              </w:rPr>
            </w:pPr>
            <w:r w:rsidRPr="005B7BEE">
              <w:rPr>
                <w:sz w:val="14"/>
                <w:szCs w:val="14"/>
              </w:rPr>
              <w:t>Frequent</w:t>
            </w:r>
          </w:p>
        </w:tc>
        <w:tc>
          <w:tcPr>
            <w:tcW w:w="783" w:type="dxa"/>
            <w:shd w:val="clear" w:color="auto" w:fill="auto"/>
            <w:vAlign w:val="center"/>
          </w:tcPr>
          <w:p w14:paraId="3A39A798" w14:textId="77777777" w:rsidR="00CD55F1" w:rsidRDefault="00CD55F1" w:rsidP="00024DD9">
            <w:pPr>
              <w:jc w:val="center"/>
            </w:pPr>
            <w:r>
              <w:rPr>
                <w:rFonts w:ascii="Calibri" w:hAnsi="Calibri" w:cs="Calibri"/>
              </w:rPr>
              <w:t>0</w:t>
            </w:r>
          </w:p>
        </w:tc>
        <w:tc>
          <w:tcPr>
            <w:tcW w:w="666" w:type="dxa"/>
            <w:shd w:val="clear" w:color="auto" w:fill="auto"/>
            <w:vAlign w:val="center"/>
          </w:tcPr>
          <w:p w14:paraId="50DF46F6" w14:textId="77777777" w:rsidR="00CD55F1" w:rsidRPr="00210DD1" w:rsidRDefault="00CD55F1" w:rsidP="00024DD9">
            <w:pPr>
              <w:jc w:val="center"/>
            </w:pPr>
            <w:r>
              <w:rPr>
                <w:rFonts w:ascii="Calibri" w:hAnsi="Calibri" w:cs="Calibri"/>
              </w:rPr>
              <w:t>0</w:t>
            </w:r>
          </w:p>
        </w:tc>
        <w:tc>
          <w:tcPr>
            <w:tcW w:w="698" w:type="dxa"/>
            <w:shd w:val="clear" w:color="auto" w:fill="auto"/>
            <w:vAlign w:val="center"/>
          </w:tcPr>
          <w:p w14:paraId="20B235EB" w14:textId="77777777" w:rsidR="00CD55F1" w:rsidRPr="00210DD1" w:rsidRDefault="00CD55F1" w:rsidP="00024DD9">
            <w:pPr>
              <w:jc w:val="center"/>
            </w:pPr>
            <w:r w:rsidRPr="00F60A9B">
              <w:rPr>
                <w:rFonts w:ascii="Calibri" w:hAnsi="Calibri" w:cs="Calibri"/>
              </w:rPr>
              <w:t>0</w:t>
            </w:r>
          </w:p>
        </w:tc>
        <w:tc>
          <w:tcPr>
            <w:tcW w:w="612" w:type="dxa"/>
            <w:vAlign w:val="center"/>
          </w:tcPr>
          <w:p w14:paraId="6FCB3715" w14:textId="77777777" w:rsidR="00CD55F1" w:rsidRPr="00210DD1" w:rsidRDefault="00CD55F1" w:rsidP="00024DD9">
            <w:pPr>
              <w:jc w:val="center"/>
            </w:pPr>
            <w:r w:rsidRPr="00F60A9B">
              <w:rPr>
                <w:rFonts w:ascii="Calibri" w:hAnsi="Calibri" w:cs="Calibri"/>
              </w:rPr>
              <w:t>0</w:t>
            </w:r>
          </w:p>
        </w:tc>
        <w:tc>
          <w:tcPr>
            <w:tcW w:w="939" w:type="dxa"/>
            <w:vAlign w:val="center"/>
          </w:tcPr>
          <w:p w14:paraId="620D221A" w14:textId="77777777" w:rsidR="00CD55F1" w:rsidRDefault="00CD55F1" w:rsidP="00024DD9">
            <w:pPr>
              <w:jc w:val="center"/>
            </w:pPr>
            <w:r w:rsidRPr="00F60A9B">
              <w:rPr>
                <w:rFonts w:ascii="Calibri" w:hAnsi="Calibri" w:cs="Calibri"/>
              </w:rPr>
              <w:t>0</w:t>
            </w:r>
          </w:p>
        </w:tc>
      </w:tr>
      <w:tr w:rsidR="00CD55F1" w:rsidRPr="00F60A9B" w14:paraId="0D36D8FD" w14:textId="77777777" w:rsidTr="00024DD9">
        <w:trPr>
          <w:jc w:val="center"/>
        </w:trPr>
        <w:tc>
          <w:tcPr>
            <w:tcW w:w="884" w:type="dxa"/>
            <w:tcBorders>
              <w:right w:val="single" w:sz="12" w:space="0" w:color="auto"/>
            </w:tcBorders>
          </w:tcPr>
          <w:p w14:paraId="7DF89D40" w14:textId="77777777" w:rsidR="00CD55F1" w:rsidRPr="005B7BEE" w:rsidRDefault="00CD55F1" w:rsidP="00024DD9">
            <w:pPr>
              <w:rPr>
                <w:sz w:val="14"/>
                <w:szCs w:val="14"/>
              </w:rPr>
            </w:pPr>
            <w:r w:rsidRPr="005B7BEE">
              <w:rPr>
                <w:sz w:val="14"/>
                <w:szCs w:val="14"/>
              </w:rPr>
              <w:t>Probable</w:t>
            </w:r>
          </w:p>
        </w:tc>
        <w:tc>
          <w:tcPr>
            <w:tcW w:w="783" w:type="dxa"/>
            <w:tcBorders>
              <w:left w:val="single" w:sz="12" w:space="0" w:color="auto"/>
            </w:tcBorders>
            <w:shd w:val="clear" w:color="auto" w:fill="auto"/>
            <w:vAlign w:val="center"/>
          </w:tcPr>
          <w:p w14:paraId="45B59B35" w14:textId="77777777" w:rsidR="00CD55F1" w:rsidRPr="00F60A9B" w:rsidRDefault="00CD55F1" w:rsidP="00024DD9">
            <w:pPr>
              <w:jc w:val="center"/>
            </w:pPr>
            <w:r>
              <w:t>0</w:t>
            </w:r>
          </w:p>
        </w:tc>
        <w:tc>
          <w:tcPr>
            <w:tcW w:w="668" w:type="dxa"/>
            <w:shd w:val="clear" w:color="auto" w:fill="auto"/>
            <w:vAlign w:val="center"/>
          </w:tcPr>
          <w:p w14:paraId="63101CF0"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7C331779"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F187990" w14:textId="77777777" w:rsidR="00CD55F1" w:rsidRPr="00210DD1" w:rsidRDefault="00CD55F1" w:rsidP="00024DD9">
            <w:pPr>
              <w:jc w:val="center"/>
            </w:pPr>
            <w:r>
              <w:rPr>
                <w:rFonts w:ascii="Calibri" w:hAnsi="Calibri" w:cs="Calibri"/>
              </w:rPr>
              <w:t>0</w:t>
            </w:r>
          </w:p>
        </w:tc>
        <w:tc>
          <w:tcPr>
            <w:tcW w:w="939" w:type="dxa"/>
            <w:shd w:val="clear" w:color="auto" w:fill="auto"/>
            <w:vAlign w:val="center"/>
          </w:tcPr>
          <w:p w14:paraId="78FC65D9"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tcMar>
              <w:left w:w="58" w:type="dxa"/>
              <w:right w:w="115" w:type="dxa"/>
            </w:tcMar>
            <w:vAlign w:val="center"/>
          </w:tcPr>
          <w:p w14:paraId="05DC1C30" w14:textId="77777777" w:rsidR="00CD55F1" w:rsidRDefault="00000000" w:rsidP="00024DD9">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883" w:type="dxa"/>
            <w:shd w:val="clear" w:color="auto" w:fill="auto"/>
            <w:vAlign w:val="center"/>
          </w:tcPr>
          <w:p w14:paraId="683215B5" w14:textId="77777777" w:rsidR="00CD55F1" w:rsidRDefault="00CD55F1" w:rsidP="00024DD9">
            <w:pPr>
              <w:jc w:val="center"/>
            </w:pPr>
            <w:r w:rsidRPr="005B7BEE">
              <w:rPr>
                <w:sz w:val="14"/>
                <w:szCs w:val="14"/>
              </w:rPr>
              <w:t>Probable</w:t>
            </w:r>
          </w:p>
        </w:tc>
        <w:tc>
          <w:tcPr>
            <w:tcW w:w="783" w:type="dxa"/>
            <w:shd w:val="clear" w:color="auto" w:fill="auto"/>
            <w:vAlign w:val="center"/>
          </w:tcPr>
          <w:p w14:paraId="6477AA67" w14:textId="77777777" w:rsidR="00CD55F1" w:rsidRDefault="00CD55F1" w:rsidP="00024DD9">
            <w:pPr>
              <w:jc w:val="center"/>
            </w:pPr>
            <w:r>
              <w:rPr>
                <w:rFonts w:ascii="Calibri" w:hAnsi="Calibri" w:cs="Calibri"/>
              </w:rPr>
              <w:t>0</w:t>
            </w:r>
          </w:p>
        </w:tc>
        <w:tc>
          <w:tcPr>
            <w:tcW w:w="666" w:type="dxa"/>
            <w:shd w:val="clear" w:color="auto" w:fill="auto"/>
            <w:vAlign w:val="center"/>
          </w:tcPr>
          <w:p w14:paraId="5DD10F9A" w14:textId="77777777" w:rsidR="00CD55F1" w:rsidRDefault="00CD55F1" w:rsidP="00024DD9">
            <w:pPr>
              <w:jc w:val="center"/>
            </w:pPr>
            <w:r>
              <w:rPr>
                <w:rFonts w:ascii="Calibri" w:hAnsi="Calibri" w:cs="Calibri"/>
              </w:rPr>
              <w:t>0</w:t>
            </w:r>
          </w:p>
        </w:tc>
        <w:tc>
          <w:tcPr>
            <w:tcW w:w="698" w:type="dxa"/>
            <w:shd w:val="clear" w:color="auto" w:fill="auto"/>
            <w:vAlign w:val="center"/>
          </w:tcPr>
          <w:p w14:paraId="38506D26" w14:textId="77777777" w:rsidR="00CD55F1" w:rsidRDefault="00CD55F1" w:rsidP="00024DD9">
            <w:pPr>
              <w:jc w:val="center"/>
            </w:pPr>
            <w:r>
              <w:rPr>
                <w:rFonts w:ascii="Calibri" w:hAnsi="Calibri" w:cs="Calibri"/>
              </w:rPr>
              <w:t>0</w:t>
            </w:r>
          </w:p>
        </w:tc>
        <w:tc>
          <w:tcPr>
            <w:tcW w:w="612" w:type="dxa"/>
            <w:shd w:val="clear" w:color="auto" w:fill="auto"/>
            <w:vAlign w:val="center"/>
          </w:tcPr>
          <w:p w14:paraId="00781B5B" w14:textId="77777777" w:rsidR="00CD55F1" w:rsidRDefault="00CD55F1" w:rsidP="00024DD9">
            <w:pPr>
              <w:jc w:val="center"/>
            </w:pPr>
            <w:r>
              <w:rPr>
                <w:rFonts w:ascii="Calibri" w:hAnsi="Calibri" w:cs="Calibri"/>
              </w:rPr>
              <w:t>0</w:t>
            </w:r>
          </w:p>
        </w:tc>
        <w:tc>
          <w:tcPr>
            <w:tcW w:w="939" w:type="dxa"/>
            <w:vAlign w:val="center"/>
          </w:tcPr>
          <w:p w14:paraId="1ABE2FA7" w14:textId="77777777" w:rsidR="00CD55F1" w:rsidRDefault="00CD55F1" w:rsidP="00024DD9">
            <w:pPr>
              <w:jc w:val="center"/>
            </w:pPr>
            <w:r w:rsidRPr="00F60A9B">
              <w:rPr>
                <w:rFonts w:ascii="Calibri" w:hAnsi="Calibri" w:cs="Calibri"/>
              </w:rPr>
              <w:t>0</w:t>
            </w:r>
          </w:p>
        </w:tc>
      </w:tr>
      <w:tr w:rsidR="00CD55F1" w:rsidRPr="00F60A9B" w14:paraId="68140FE2" w14:textId="77777777" w:rsidTr="00024DD9">
        <w:trPr>
          <w:jc w:val="center"/>
        </w:trPr>
        <w:tc>
          <w:tcPr>
            <w:tcW w:w="884" w:type="dxa"/>
            <w:tcBorders>
              <w:right w:val="single" w:sz="12" w:space="0" w:color="auto"/>
            </w:tcBorders>
          </w:tcPr>
          <w:p w14:paraId="0C2F0D2F" w14:textId="77777777" w:rsidR="00CD55F1" w:rsidRPr="005B7BEE" w:rsidRDefault="00CD55F1" w:rsidP="00024DD9">
            <w:pPr>
              <w:rPr>
                <w:sz w:val="14"/>
                <w:szCs w:val="14"/>
              </w:rPr>
            </w:pPr>
            <w:r w:rsidRPr="005B7BEE">
              <w:rPr>
                <w:sz w:val="14"/>
                <w:szCs w:val="14"/>
              </w:rPr>
              <w:t>Occasional</w:t>
            </w:r>
          </w:p>
        </w:tc>
        <w:tc>
          <w:tcPr>
            <w:tcW w:w="783" w:type="dxa"/>
            <w:tcBorders>
              <w:left w:val="single" w:sz="12" w:space="0" w:color="auto"/>
            </w:tcBorders>
            <w:shd w:val="clear" w:color="auto" w:fill="auto"/>
            <w:vAlign w:val="center"/>
          </w:tcPr>
          <w:p w14:paraId="041986CD" w14:textId="77777777" w:rsidR="00CD55F1" w:rsidRPr="00F60A9B" w:rsidRDefault="00CD55F1" w:rsidP="00024DD9">
            <w:pPr>
              <w:jc w:val="center"/>
            </w:pPr>
            <w:r>
              <w:rPr>
                <w:rFonts w:ascii="Calibri" w:hAnsi="Calibri" w:cs="Calibri"/>
              </w:rPr>
              <w:t>0</w:t>
            </w:r>
          </w:p>
        </w:tc>
        <w:tc>
          <w:tcPr>
            <w:tcW w:w="668" w:type="dxa"/>
            <w:shd w:val="clear" w:color="auto" w:fill="D9E2F3" w:themeFill="accent1" w:themeFillTint="33"/>
            <w:vAlign w:val="center"/>
          </w:tcPr>
          <w:p w14:paraId="62552393" w14:textId="77777777" w:rsidR="00CD55F1" w:rsidRPr="00940D9A" w:rsidRDefault="00CD55F1" w:rsidP="00024DD9">
            <w:pPr>
              <w:jc w:val="center"/>
              <w:rPr>
                <w:vertAlign w:val="subscript"/>
              </w:rPr>
            </w:pPr>
            <w:r>
              <w:rPr>
                <w:rFonts w:ascii="Calibri" w:hAnsi="Calibri" w:cs="Calibri"/>
              </w:rPr>
              <w:t>6</w:t>
            </w:r>
          </w:p>
        </w:tc>
        <w:tc>
          <w:tcPr>
            <w:tcW w:w="680" w:type="dxa"/>
            <w:shd w:val="clear" w:color="auto" w:fill="auto"/>
            <w:vAlign w:val="center"/>
          </w:tcPr>
          <w:p w14:paraId="7742B054"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54737AA7" w14:textId="77777777" w:rsidR="00CD55F1" w:rsidRPr="00210DD1" w:rsidRDefault="00CD55F1" w:rsidP="00024DD9">
            <w:pPr>
              <w:jc w:val="center"/>
            </w:pPr>
            <w:r>
              <w:t>2</w:t>
            </w:r>
          </w:p>
        </w:tc>
        <w:tc>
          <w:tcPr>
            <w:tcW w:w="939" w:type="dxa"/>
            <w:shd w:val="clear" w:color="auto" w:fill="auto"/>
            <w:vAlign w:val="center"/>
          </w:tcPr>
          <w:p w14:paraId="6D35477C" w14:textId="77777777" w:rsidR="00CD55F1" w:rsidRPr="00F60A9B" w:rsidRDefault="00CD55F1" w:rsidP="00024DD9">
            <w:pPr>
              <w:jc w:val="center"/>
            </w:pPr>
            <w:r>
              <w:rPr>
                <w:rFonts w:ascii="Calibri" w:hAnsi="Calibri" w:cs="Calibri"/>
              </w:rPr>
              <w:t>8</w:t>
            </w:r>
          </w:p>
        </w:tc>
        <w:tc>
          <w:tcPr>
            <w:tcW w:w="287" w:type="dxa"/>
            <w:tcBorders>
              <w:top w:val="nil"/>
              <w:left w:val="nil"/>
              <w:bottom w:val="nil"/>
              <w:right w:val="nil"/>
            </w:tcBorders>
            <w:shd w:val="clear" w:color="auto" w:fill="auto"/>
            <w:vAlign w:val="center"/>
          </w:tcPr>
          <w:p w14:paraId="300452B0" w14:textId="77777777" w:rsidR="00CD55F1" w:rsidRDefault="00CD55F1" w:rsidP="00024DD9">
            <w:pPr>
              <w:jc w:val="center"/>
            </w:pPr>
          </w:p>
        </w:tc>
        <w:tc>
          <w:tcPr>
            <w:tcW w:w="883" w:type="dxa"/>
            <w:shd w:val="clear" w:color="auto" w:fill="auto"/>
            <w:vAlign w:val="center"/>
          </w:tcPr>
          <w:p w14:paraId="30E5007B" w14:textId="77777777" w:rsidR="00CD55F1" w:rsidRDefault="00CD55F1" w:rsidP="00024DD9">
            <w:pPr>
              <w:jc w:val="center"/>
            </w:pPr>
            <w:r w:rsidRPr="005B7BEE">
              <w:rPr>
                <w:sz w:val="14"/>
                <w:szCs w:val="14"/>
              </w:rPr>
              <w:t>Occasional</w:t>
            </w:r>
          </w:p>
        </w:tc>
        <w:tc>
          <w:tcPr>
            <w:tcW w:w="783" w:type="dxa"/>
            <w:shd w:val="clear" w:color="auto" w:fill="D9E2F3" w:themeFill="accent1" w:themeFillTint="33"/>
            <w:vAlign w:val="center"/>
          </w:tcPr>
          <w:p w14:paraId="5C5040A7" w14:textId="77777777" w:rsidR="00CD55F1" w:rsidRDefault="00CD55F1" w:rsidP="00024DD9">
            <w:pPr>
              <w:jc w:val="center"/>
            </w:pPr>
            <w:r>
              <w:rPr>
                <w:rFonts w:ascii="Calibri" w:hAnsi="Calibri" w:cs="Calibri"/>
              </w:rPr>
              <w:t>0</w:t>
            </w:r>
          </w:p>
        </w:tc>
        <w:tc>
          <w:tcPr>
            <w:tcW w:w="666" w:type="dxa"/>
            <w:shd w:val="clear" w:color="auto" w:fill="auto"/>
            <w:vAlign w:val="center"/>
          </w:tcPr>
          <w:p w14:paraId="0DCD3BEF" w14:textId="77777777" w:rsidR="00CD55F1" w:rsidRDefault="00CD55F1" w:rsidP="00024DD9">
            <w:pPr>
              <w:jc w:val="center"/>
            </w:pPr>
            <w:r>
              <w:rPr>
                <w:rFonts w:ascii="Calibri" w:hAnsi="Calibri" w:cs="Calibri"/>
              </w:rPr>
              <w:t>0</w:t>
            </w:r>
          </w:p>
        </w:tc>
        <w:tc>
          <w:tcPr>
            <w:tcW w:w="698" w:type="dxa"/>
            <w:vAlign w:val="center"/>
          </w:tcPr>
          <w:p w14:paraId="1580FD91" w14:textId="77777777" w:rsidR="00CD55F1" w:rsidRDefault="00CD55F1" w:rsidP="00024DD9">
            <w:pPr>
              <w:jc w:val="center"/>
            </w:pPr>
            <w:r>
              <w:rPr>
                <w:rFonts w:ascii="Calibri" w:hAnsi="Calibri" w:cs="Calibri"/>
              </w:rPr>
              <w:t>0</w:t>
            </w:r>
          </w:p>
        </w:tc>
        <w:tc>
          <w:tcPr>
            <w:tcW w:w="612" w:type="dxa"/>
            <w:vAlign w:val="center"/>
          </w:tcPr>
          <w:p w14:paraId="108C70EE" w14:textId="77777777" w:rsidR="00CD55F1" w:rsidRDefault="00CD55F1" w:rsidP="00024DD9">
            <w:pPr>
              <w:jc w:val="center"/>
            </w:pPr>
            <w:r>
              <w:rPr>
                <w:rFonts w:ascii="Calibri" w:hAnsi="Calibri" w:cs="Calibri"/>
              </w:rPr>
              <w:t>0</w:t>
            </w:r>
          </w:p>
        </w:tc>
        <w:tc>
          <w:tcPr>
            <w:tcW w:w="939" w:type="dxa"/>
            <w:shd w:val="clear" w:color="auto" w:fill="auto"/>
            <w:vAlign w:val="center"/>
          </w:tcPr>
          <w:p w14:paraId="76D51859" w14:textId="77777777" w:rsidR="00CD55F1" w:rsidRDefault="00CD55F1" w:rsidP="00024DD9">
            <w:pPr>
              <w:jc w:val="center"/>
            </w:pPr>
            <w:r>
              <w:rPr>
                <w:rFonts w:ascii="Calibri" w:hAnsi="Calibri" w:cs="Calibri"/>
              </w:rPr>
              <w:t>0</w:t>
            </w:r>
          </w:p>
        </w:tc>
      </w:tr>
      <w:tr w:rsidR="00CD55F1" w:rsidRPr="00F60A9B" w14:paraId="72F48190" w14:textId="77777777" w:rsidTr="00024DD9">
        <w:trPr>
          <w:jc w:val="center"/>
        </w:trPr>
        <w:tc>
          <w:tcPr>
            <w:tcW w:w="884" w:type="dxa"/>
            <w:tcBorders>
              <w:right w:val="single" w:sz="12" w:space="0" w:color="auto"/>
            </w:tcBorders>
          </w:tcPr>
          <w:p w14:paraId="64B22D30" w14:textId="77777777" w:rsidR="00CD55F1" w:rsidRPr="005B7BEE" w:rsidRDefault="00CD55F1" w:rsidP="00024DD9">
            <w:pPr>
              <w:rPr>
                <w:sz w:val="14"/>
                <w:szCs w:val="14"/>
              </w:rPr>
            </w:pPr>
            <w:r w:rsidRPr="005B7BEE">
              <w:rPr>
                <w:sz w:val="14"/>
                <w:szCs w:val="14"/>
              </w:rPr>
              <w:t>Remote</w:t>
            </w:r>
          </w:p>
        </w:tc>
        <w:tc>
          <w:tcPr>
            <w:tcW w:w="783" w:type="dxa"/>
            <w:tcBorders>
              <w:left w:val="single" w:sz="12" w:space="0" w:color="auto"/>
            </w:tcBorders>
            <w:vAlign w:val="center"/>
          </w:tcPr>
          <w:p w14:paraId="227C6D58" w14:textId="77777777" w:rsidR="00CD55F1" w:rsidRPr="00F60A9B" w:rsidRDefault="00CD55F1" w:rsidP="00024DD9">
            <w:pPr>
              <w:jc w:val="center"/>
            </w:pPr>
            <w:r>
              <w:rPr>
                <w:rFonts w:ascii="Calibri" w:hAnsi="Calibri" w:cs="Calibri"/>
              </w:rPr>
              <w:t>3</w:t>
            </w:r>
          </w:p>
        </w:tc>
        <w:tc>
          <w:tcPr>
            <w:tcW w:w="668" w:type="dxa"/>
            <w:vAlign w:val="center"/>
          </w:tcPr>
          <w:p w14:paraId="1A7B99D2"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12C8C065"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3A899186"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4AA08950" w14:textId="77777777" w:rsidR="00CD55F1" w:rsidRPr="00F60A9B" w:rsidRDefault="00CD55F1" w:rsidP="00024DD9">
            <w:pPr>
              <w:jc w:val="center"/>
            </w:pPr>
            <w:r>
              <w:rPr>
                <w:rFonts w:ascii="Calibri" w:hAnsi="Calibri" w:cs="Calibri"/>
              </w:rPr>
              <w:t>0</w:t>
            </w:r>
          </w:p>
        </w:tc>
        <w:tc>
          <w:tcPr>
            <w:tcW w:w="287" w:type="dxa"/>
            <w:tcBorders>
              <w:top w:val="nil"/>
              <w:left w:val="nil"/>
              <w:bottom w:val="nil"/>
              <w:right w:val="nil"/>
            </w:tcBorders>
            <w:shd w:val="clear" w:color="auto" w:fill="auto"/>
            <w:vAlign w:val="center"/>
          </w:tcPr>
          <w:p w14:paraId="0BC08E6B" w14:textId="77777777" w:rsidR="00CD55F1" w:rsidRDefault="00CD55F1" w:rsidP="00024DD9">
            <w:pPr>
              <w:jc w:val="center"/>
            </w:pPr>
          </w:p>
        </w:tc>
        <w:tc>
          <w:tcPr>
            <w:tcW w:w="883" w:type="dxa"/>
            <w:shd w:val="clear" w:color="auto" w:fill="auto"/>
            <w:vAlign w:val="center"/>
          </w:tcPr>
          <w:p w14:paraId="752455DE" w14:textId="77777777" w:rsidR="00CD55F1" w:rsidRDefault="00CD55F1" w:rsidP="00024DD9">
            <w:pPr>
              <w:jc w:val="center"/>
            </w:pPr>
            <w:r w:rsidRPr="005B7BEE">
              <w:rPr>
                <w:sz w:val="14"/>
                <w:szCs w:val="14"/>
              </w:rPr>
              <w:t>Remote</w:t>
            </w:r>
          </w:p>
        </w:tc>
        <w:tc>
          <w:tcPr>
            <w:tcW w:w="783" w:type="dxa"/>
            <w:shd w:val="clear" w:color="auto" w:fill="auto"/>
            <w:vAlign w:val="center"/>
          </w:tcPr>
          <w:p w14:paraId="0DFF0BEE" w14:textId="77777777" w:rsidR="00CD55F1" w:rsidRDefault="00CD55F1" w:rsidP="00024DD9">
            <w:pPr>
              <w:jc w:val="center"/>
            </w:pPr>
            <w:r>
              <w:rPr>
                <w:rFonts w:ascii="Calibri" w:hAnsi="Calibri" w:cs="Calibri"/>
              </w:rPr>
              <w:t>0</w:t>
            </w:r>
          </w:p>
        </w:tc>
        <w:tc>
          <w:tcPr>
            <w:tcW w:w="666" w:type="dxa"/>
            <w:shd w:val="clear" w:color="auto" w:fill="D9E2F3" w:themeFill="accent1" w:themeFillTint="33"/>
            <w:vAlign w:val="center"/>
          </w:tcPr>
          <w:p w14:paraId="0C795AB1" w14:textId="77777777" w:rsidR="00CD55F1" w:rsidRDefault="00CD55F1" w:rsidP="00024DD9">
            <w:pPr>
              <w:jc w:val="center"/>
            </w:pPr>
            <w:r>
              <w:rPr>
                <w:rFonts w:ascii="Calibri" w:hAnsi="Calibri" w:cs="Calibri"/>
              </w:rPr>
              <w:t>0</w:t>
            </w:r>
          </w:p>
        </w:tc>
        <w:tc>
          <w:tcPr>
            <w:tcW w:w="698" w:type="dxa"/>
            <w:shd w:val="clear" w:color="auto" w:fill="auto"/>
            <w:vAlign w:val="center"/>
          </w:tcPr>
          <w:p w14:paraId="2698F8BE" w14:textId="77777777" w:rsidR="00CD55F1" w:rsidRDefault="00CD55F1" w:rsidP="00024DD9">
            <w:pPr>
              <w:jc w:val="center"/>
            </w:pPr>
            <w:r>
              <w:rPr>
                <w:rFonts w:ascii="Calibri" w:hAnsi="Calibri" w:cs="Calibri"/>
              </w:rPr>
              <w:t>0</w:t>
            </w:r>
          </w:p>
        </w:tc>
        <w:tc>
          <w:tcPr>
            <w:tcW w:w="612" w:type="dxa"/>
            <w:shd w:val="clear" w:color="auto" w:fill="auto"/>
            <w:vAlign w:val="center"/>
          </w:tcPr>
          <w:p w14:paraId="558B4C97" w14:textId="77777777" w:rsidR="00CD55F1" w:rsidRDefault="00CD55F1" w:rsidP="00024DD9">
            <w:pPr>
              <w:jc w:val="center"/>
            </w:pPr>
            <w:r>
              <w:rPr>
                <w:rFonts w:ascii="Calibri" w:hAnsi="Calibri" w:cs="Calibri"/>
              </w:rPr>
              <w:t>0</w:t>
            </w:r>
          </w:p>
        </w:tc>
        <w:tc>
          <w:tcPr>
            <w:tcW w:w="939" w:type="dxa"/>
            <w:shd w:val="clear" w:color="auto" w:fill="auto"/>
            <w:vAlign w:val="center"/>
          </w:tcPr>
          <w:p w14:paraId="5C062634" w14:textId="77777777" w:rsidR="00CD55F1" w:rsidRDefault="00CD55F1" w:rsidP="00024DD9">
            <w:pPr>
              <w:jc w:val="center"/>
            </w:pPr>
            <w:r>
              <w:rPr>
                <w:rFonts w:ascii="Calibri" w:hAnsi="Calibri" w:cs="Calibri"/>
              </w:rPr>
              <w:t>0</w:t>
            </w:r>
          </w:p>
        </w:tc>
      </w:tr>
      <w:tr w:rsidR="00CD55F1" w:rsidRPr="00F60A9B" w14:paraId="4063A891" w14:textId="77777777" w:rsidTr="00024DD9">
        <w:trPr>
          <w:jc w:val="center"/>
        </w:trPr>
        <w:tc>
          <w:tcPr>
            <w:tcW w:w="884" w:type="dxa"/>
            <w:tcBorders>
              <w:right w:val="single" w:sz="12" w:space="0" w:color="auto"/>
            </w:tcBorders>
          </w:tcPr>
          <w:p w14:paraId="291B6800" w14:textId="77777777" w:rsidR="00CD55F1" w:rsidRPr="005B7BEE" w:rsidRDefault="00CD55F1" w:rsidP="00024DD9">
            <w:pPr>
              <w:rPr>
                <w:sz w:val="14"/>
                <w:szCs w:val="14"/>
              </w:rPr>
            </w:pPr>
            <w:r w:rsidRPr="005B7BEE">
              <w:rPr>
                <w:sz w:val="14"/>
                <w:szCs w:val="14"/>
              </w:rPr>
              <w:t>Improbable</w:t>
            </w:r>
          </w:p>
        </w:tc>
        <w:tc>
          <w:tcPr>
            <w:tcW w:w="783" w:type="dxa"/>
            <w:tcBorders>
              <w:left w:val="single" w:sz="12" w:space="0" w:color="auto"/>
            </w:tcBorders>
            <w:vAlign w:val="center"/>
          </w:tcPr>
          <w:p w14:paraId="1B71970D" w14:textId="77777777" w:rsidR="00CD55F1" w:rsidRPr="00F60A9B" w:rsidRDefault="00CD55F1" w:rsidP="00024DD9">
            <w:pPr>
              <w:jc w:val="center"/>
            </w:pPr>
            <w:r>
              <w:rPr>
                <w:rFonts w:ascii="Calibri" w:hAnsi="Calibri" w:cs="Calibri"/>
              </w:rPr>
              <w:t>0</w:t>
            </w:r>
          </w:p>
        </w:tc>
        <w:tc>
          <w:tcPr>
            <w:tcW w:w="668" w:type="dxa"/>
            <w:vAlign w:val="center"/>
          </w:tcPr>
          <w:p w14:paraId="6FBC9966" w14:textId="77777777" w:rsidR="00CD55F1" w:rsidRPr="00210DD1" w:rsidRDefault="00CD55F1" w:rsidP="00024DD9">
            <w:pPr>
              <w:jc w:val="center"/>
            </w:pPr>
            <w:r>
              <w:rPr>
                <w:rFonts w:ascii="Calibri" w:hAnsi="Calibri" w:cs="Calibri"/>
              </w:rPr>
              <w:t>0</w:t>
            </w:r>
          </w:p>
        </w:tc>
        <w:tc>
          <w:tcPr>
            <w:tcW w:w="680" w:type="dxa"/>
            <w:shd w:val="clear" w:color="auto" w:fill="auto"/>
            <w:vAlign w:val="center"/>
          </w:tcPr>
          <w:p w14:paraId="3155C96E" w14:textId="77777777" w:rsidR="00CD55F1" w:rsidRPr="00210DD1" w:rsidRDefault="00CD55F1" w:rsidP="00024DD9">
            <w:pPr>
              <w:jc w:val="center"/>
            </w:pPr>
            <w:r>
              <w:rPr>
                <w:rFonts w:ascii="Calibri" w:hAnsi="Calibri" w:cs="Calibri"/>
              </w:rPr>
              <w:t>0</w:t>
            </w:r>
          </w:p>
        </w:tc>
        <w:tc>
          <w:tcPr>
            <w:tcW w:w="628" w:type="dxa"/>
            <w:shd w:val="clear" w:color="auto" w:fill="auto"/>
            <w:vAlign w:val="center"/>
          </w:tcPr>
          <w:p w14:paraId="431D3FAD" w14:textId="77777777" w:rsidR="00CD55F1" w:rsidRPr="00210DD1" w:rsidRDefault="00CD55F1" w:rsidP="00024DD9">
            <w:pPr>
              <w:jc w:val="center"/>
            </w:pPr>
            <w:r>
              <w:rPr>
                <w:rFonts w:ascii="Calibri" w:hAnsi="Calibri" w:cs="Calibri"/>
              </w:rPr>
              <w:t>1</w:t>
            </w:r>
          </w:p>
        </w:tc>
        <w:tc>
          <w:tcPr>
            <w:tcW w:w="939" w:type="dxa"/>
            <w:shd w:val="clear" w:color="auto" w:fill="auto"/>
            <w:vAlign w:val="center"/>
          </w:tcPr>
          <w:p w14:paraId="5420AAF6" w14:textId="77777777" w:rsidR="00CD55F1" w:rsidRPr="00F60A9B" w:rsidRDefault="00CD55F1" w:rsidP="00024DD9">
            <w:pPr>
              <w:keepNext/>
              <w:jc w:val="center"/>
            </w:pPr>
            <w:r w:rsidRPr="00F60A9B">
              <w:rPr>
                <w:rFonts w:ascii="Calibri" w:hAnsi="Calibri" w:cs="Calibri"/>
              </w:rPr>
              <w:t>0</w:t>
            </w:r>
          </w:p>
        </w:tc>
        <w:tc>
          <w:tcPr>
            <w:tcW w:w="287" w:type="dxa"/>
            <w:tcBorders>
              <w:top w:val="nil"/>
              <w:left w:val="nil"/>
              <w:bottom w:val="nil"/>
              <w:right w:val="nil"/>
            </w:tcBorders>
            <w:vAlign w:val="center"/>
          </w:tcPr>
          <w:p w14:paraId="044B746A" w14:textId="77777777" w:rsidR="00CD55F1" w:rsidRDefault="00CD55F1" w:rsidP="00024DD9">
            <w:pPr>
              <w:keepNext/>
              <w:jc w:val="center"/>
            </w:pPr>
          </w:p>
        </w:tc>
        <w:tc>
          <w:tcPr>
            <w:tcW w:w="883" w:type="dxa"/>
            <w:vAlign w:val="center"/>
          </w:tcPr>
          <w:p w14:paraId="5DBDC033" w14:textId="77777777" w:rsidR="00CD55F1" w:rsidRDefault="00CD55F1" w:rsidP="00024DD9">
            <w:pPr>
              <w:keepNext/>
              <w:jc w:val="center"/>
            </w:pPr>
            <w:r w:rsidRPr="005B7BEE">
              <w:rPr>
                <w:sz w:val="14"/>
                <w:szCs w:val="14"/>
              </w:rPr>
              <w:t>Improbable</w:t>
            </w:r>
          </w:p>
        </w:tc>
        <w:tc>
          <w:tcPr>
            <w:tcW w:w="783" w:type="dxa"/>
            <w:vAlign w:val="center"/>
          </w:tcPr>
          <w:p w14:paraId="53835F7C" w14:textId="77777777" w:rsidR="00CD55F1" w:rsidRDefault="00CD55F1" w:rsidP="00024DD9">
            <w:pPr>
              <w:keepNext/>
              <w:jc w:val="center"/>
            </w:pPr>
            <w:r>
              <w:rPr>
                <w:rFonts w:ascii="Calibri" w:hAnsi="Calibri" w:cs="Calibri"/>
              </w:rPr>
              <w:t>0</w:t>
            </w:r>
          </w:p>
        </w:tc>
        <w:tc>
          <w:tcPr>
            <w:tcW w:w="666" w:type="dxa"/>
            <w:shd w:val="clear" w:color="auto" w:fill="D9E2F3" w:themeFill="accent1" w:themeFillTint="33"/>
            <w:vAlign w:val="center"/>
          </w:tcPr>
          <w:p w14:paraId="71F2F4A8" w14:textId="77777777" w:rsidR="00CD55F1" w:rsidRDefault="00CD55F1" w:rsidP="00024DD9">
            <w:pPr>
              <w:keepNext/>
              <w:jc w:val="center"/>
            </w:pPr>
            <w:r>
              <w:rPr>
                <w:rFonts w:ascii="Calibri" w:hAnsi="Calibri" w:cs="Calibri"/>
              </w:rPr>
              <w:t>0</w:t>
            </w:r>
          </w:p>
        </w:tc>
        <w:tc>
          <w:tcPr>
            <w:tcW w:w="698" w:type="dxa"/>
            <w:vAlign w:val="center"/>
          </w:tcPr>
          <w:p w14:paraId="10A0BE5B" w14:textId="77777777" w:rsidR="00CD55F1" w:rsidRDefault="00CD55F1" w:rsidP="00024DD9">
            <w:pPr>
              <w:keepNext/>
              <w:jc w:val="center"/>
            </w:pPr>
            <w:r>
              <w:rPr>
                <w:rFonts w:ascii="Calibri" w:hAnsi="Calibri" w:cs="Calibri"/>
              </w:rPr>
              <w:t>0</w:t>
            </w:r>
          </w:p>
        </w:tc>
        <w:tc>
          <w:tcPr>
            <w:tcW w:w="612" w:type="dxa"/>
            <w:shd w:val="clear" w:color="auto" w:fill="auto"/>
            <w:vAlign w:val="center"/>
          </w:tcPr>
          <w:p w14:paraId="01B35D23" w14:textId="77777777" w:rsidR="00CD55F1" w:rsidRDefault="00CD55F1" w:rsidP="00024DD9">
            <w:pPr>
              <w:keepNext/>
              <w:jc w:val="center"/>
            </w:pPr>
            <w:r>
              <w:rPr>
                <w:rFonts w:ascii="Calibri" w:hAnsi="Calibri" w:cs="Calibri"/>
              </w:rPr>
              <w:t>0</w:t>
            </w:r>
          </w:p>
        </w:tc>
        <w:tc>
          <w:tcPr>
            <w:tcW w:w="939" w:type="dxa"/>
            <w:vAlign w:val="center"/>
          </w:tcPr>
          <w:p w14:paraId="5908C468" w14:textId="77777777" w:rsidR="00CD55F1" w:rsidRDefault="00CD55F1" w:rsidP="00024DD9">
            <w:pPr>
              <w:keepNext/>
              <w:jc w:val="center"/>
            </w:pPr>
            <w:r w:rsidRPr="00F60A9B">
              <w:rPr>
                <w:rFonts w:ascii="Calibri" w:hAnsi="Calibri" w:cs="Calibri"/>
              </w:rPr>
              <w:t>0</w:t>
            </w:r>
          </w:p>
        </w:tc>
      </w:tr>
    </w:tbl>
    <w:p w14:paraId="4A46AAE7" w14:textId="5C4EA2E5" w:rsidR="00CD55F1" w:rsidRDefault="00CD55F1" w:rsidP="00CD55F1">
      <w:pPr>
        <w:pStyle w:val="Caption"/>
        <w:keepNext/>
        <w:spacing w:before="120"/>
        <w:jc w:val="center"/>
      </w:pPr>
      <w:bookmarkStart w:id="83" w:name="_Ref147861791"/>
      <w:r>
        <w:t xml:space="preserve">Equation </w:t>
      </w:r>
      <w:r>
        <w:fldChar w:fldCharType="begin"/>
      </w:r>
      <w:r>
        <w:instrText xml:space="preserve"> SEQ Equation \* ARABIC </w:instrText>
      </w:r>
      <w:r>
        <w:fldChar w:fldCharType="separate"/>
      </w:r>
      <w:r w:rsidR="003468AE">
        <w:rPr>
          <w:noProof/>
        </w:rPr>
        <w:t>21</w:t>
      </w:r>
      <w:r>
        <w:rPr>
          <w:noProof/>
        </w:rPr>
        <w:fldChar w:fldCharType="end"/>
      </w:r>
      <w:bookmarkEnd w:id="83"/>
    </w:p>
    <w:p w14:paraId="581E4F85" w14:textId="0DC18DFE" w:rsidR="00CD55F1" w:rsidRDefault="00CD55F1" w:rsidP="00CD55F1">
      <w:pPr>
        <w:spacing w:before="160"/>
      </w:pPr>
      <w:r>
        <w:t xml:space="preserve">Since the right-hand side of </w:t>
      </w:r>
      <w:r>
        <w:fldChar w:fldCharType="begin"/>
      </w:r>
      <w:r>
        <w:instrText xml:space="preserve"> REF _Ref147861791 \h </w:instrText>
      </w:r>
      <w:r>
        <w:fldChar w:fldCharType="separate"/>
      </w:r>
      <w:r w:rsidR="001E41EA">
        <w:t xml:space="preserve">Equation </w:t>
      </w:r>
      <w:r w:rsidR="001E41EA">
        <w:rPr>
          <w:noProof/>
        </w:rPr>
        <w:t>21</w:t>
      </w:r>
      <w:r>
        <w:fldChar w:fldCharType="end"/>
      </w:r>
      <w:r>
        <w:t xml:space="preserve"> has no risks and the left-hand side of </w:t>
      </w:r>
      <w:r>
        <w:fldChar w:fldCharType="begin"/>
      </w:r>
      <w:r>
        <w:instrText xml:space="preserve"> REF _Ref147861791 \h </w:instrText>
      </w:r>
      <w:r>
        <w:fldChar w:fldCharType="separate"/>
      </w:r>
      <w:r w:rsidR="001E41EA">
        <w:t xml:space="preserve">Equation </w:t>
      </w:r>
      <w:r w:rsidR="001E41EA">
        <w:rPr>
          <w:noProof/>
        </w:rPr>
        <w:t>21</w:t>
      </w:r>
      <w:r>
        <w:fldChar w:fldCharType="end"/>
      </w:r>
      <w:r>
        <w:t xml:space="preserve"> has 21 risks, </w:t>
      </w:r>
      <w:r>
        <w:fldChar w:fldCharType="begin"/>
      </w:r>
      <w:r>
        <w:instrText xml:space="preserve"> REF _Ref147861791 \h </w:instrText>
      </w:r>
      <w:r>
        <w:fldChar w:fldCharType="separate"/>
      </w:r>
      <w:r w:rsidR="001E41EA">
        <w:t xml:space="preserve">Equation </w:t>
      </w:r>
      <w:r w:rsidR="001E41EA">
        <w:rPr>
          <w:noProof/>
        </w:rPr>
        <w:t>21</w:t>
      </w:r>
      <w:r>
        <w:fldChar w:fldCharType="end"/>
      </w:r>
      <w:r>
        <w:t xml:space="preserve"> is clearly true.  Since the ‘risk algebra’ simplifications will not change whether the original equation, </w:t>
      </w:r>
      <w:r>
        <w:fldChar w:fldCharType="begin"/>
      </w:r>
      <w:r>
        <w:instrText xml:space="preserve"> REF _Ref147675342 \h </w:instrText>
      </w:r>
      <w:r>
        <w:fldChar w:fldCharType="separate"/>
      </w:r>
      <w:r w:rsidR="006E643A">
        <w:t xml:space="preserve">Equation </w:t>
      </w:r>
      <w:r w:rsidR="006E643A">
        <w:rPr>
          <w:noProof/>
        </w:rPr>
        <w:t>10</w:t>
      </w:r>
      <w:r>
        <w:fldChar w:fldCharType="end"/>
      </w:r>
      <w:r>
        <w:t xml:space="preserve">, is true or false does not change, then the fact that </w:t>
      </w:r>
      <w:r>
        <w:fldChar w:fldCharType="begin"/>
      </w:r>
      <w:r>
        <w:instrText xml:space="preserve"> REF _Ref147861791 \h </w:instrText>
      </w:r>
      <w:r>
        <w:fldChar w:fldCharType="separate"/>
      </w:r>
      <w:r w:rsidR="001E41EA">
        <w:t xml:space="preserve">Equation </w:t>
      </w:r>
      <w:r w:rsidR="001E41EA">
        <w:rPr>
          <w:noProof/>
        </w:rPr>
        <w:t>21</w:t>
      </w:r>
      <w:r>
        <w:fldChar w:fldCharType="end"/>
      </w:r>
      <w:r>
        <w:t xml:space="preserve"> is true means that the original equation, </w:t>
      </w:r>
      <w:r>
        <w:fldChar w:fldCharType="begin"/>
      </w:r>
      <w:r>
        <w:instrText xml:space="preserve"> REF _Ref147675342 \h </w:instrText>
      </w:r>
      <w:r>
        <w:fldChar w:fldCharType="separate"/>
      </w:r>
      <w:r w:rsidR="001E41EA">
        <w:t xml:space="preserve">Equation </w:t>
      </w:r>
      <w:r w:rsidR="001E41EA">
        <w:rPr>
          <w:noProof/>
        </w:rPr>
        <w:t>10</w:t>
      </w:r>
      <w:r>
        <w:fldChar w:fldCharType="end"/>
      </w:r>
      <w:r>
        <w:t xml:space="preserve">, is also true.  We have, therefore, used ‘risk algebra’ to simplify </w:t>
      </w:r>
      <w:r>
        <w:fldChar w:fldCharType="begin"/>
      </w:r>
      <w:r>
        <w:instrText xml:space="preserve"> REF _Ref147675342 \h </w:instrText>
      </w:r>
      <w:r>
        <w:fldChar w:fldCharType="separate"/>
      </w:r>
      <w:r w:rsidR="001E41EA">
        <w:t xml:space="preserve">Equation </w:t>
      </w:r>
      <w:r w:rsidR="001E41EA">
        <w:rPr>
          <w:noProof/>
        </w:rPr>
        <w:t>10</w:t>
      </w:r>
      <w:r>
        <w:fldChar w:fldCharType="end"/>
      </w:r>
      <w:r>
        <w:t xml:space="preserve"> until we can tell with certainty that it is true. </w:t>
      </w:r>
    </w:p>
    <w:p w14:paraId="08EC0071" w14:textId="77777777" w:rsidR="0085350B" w:rsidRDefault="0085350B" w:rsidP="00AA2310">
      <w:pPr>
        <w:spacing w:after="0" w:line="240" w:lineRule="auto"/>
        <w:rPr>
          <w:rFonts w:eastAsia="TimesNewRomanPSMT" w:cs="TimesNewRomanPSMT"/>
          <w:color w:val="000000"/>
          <w:szCs w:val="24"/>
        </w:rPr>
      </w:pPr>
    </w:p>
    <w:p w14:paraId="248CEA25" w14:textId="77777777" w:rsidR="0085350B" w:rsidRPr="00424731" w:rsidRDefault="0085350B" w:rsidP="00AA2310">
      <w:pPr>
        <w:spacing w:after="0" w:line="240" w:lineRule="auto"/>
        <w:rPr>
          <w:rFonts w:eastAsia="TimesNewRomanPSMT" w:cs="TimesNewRomanPSMT"/>
          <w:color w:val="000000"/>
          <w:szCs w:val="24"/>
        </w:rPr>
      </w:pPr>
    </w:p>
    <w:p w14:paraId="2E15F93F" w14:textId="2BF52F62" w:rsidR="00CD55F1" w:rsidRPr="00B25A88" w:rsidRDefault="00F9135E" w:rsidP="00A600C8">
      <w:pPr>
        <w:pStyle w:val="Heading2"/>
        <w:rPr>
          <w:rFonts w:eastAsia="TimesNewRomanPSMT" w:cs="TimesNewRomanPSMT"/>
          <w:b/>
          <w:color w:val="000000"/>
          <w:u w:val="single"/>
        </w:rPr>
      </w:pPr>
      <w:bookmarkStart w:id="84" w:name="_Ref151223769"/>
      <w:bookmarkStart w:id="85" w:name="_Toc156728655"/>
      <w:r>
        <w:rPr>
          <w:rFonts w:eastAsia="TimesNewRomanPSMT" w:cs="TimesNewRomanPSMT"/>
          <w:b/>
          <w:color w:val="000000"/>
          <w:u w:val="single"/>
        </w:rPr>
        <w:t>Review and D</w:t>
      </w:r>
      <w:r w:rsidR="00CD55F1" w:rsidRPr="00B25A88">
        <w:rPr>
          <w:rFonts w:eastAsia="TimesNewRomanPSMT" w:cs="TimesNewRomanPSMT"/>
          <w:b/>
          <w:color w:val="000000"/>
          <w:u w:val="single"/>
        </w:rPr>
        <w:t xml:space="preserve">ocument </w:t>
      </w:r>
      <w:r w:rsidR="00CD55F1" w:rsidRPr="00B25A88">
        <w:rPr>
          <w:rFonts w:eastAsia="TimesNewRomanPSMT" w:cs="TimesNewRomanPSMT"/>
          <w:b/>
          <w:color w:val="000000"/>
          <w:u w:val="single"/>
        </w:rPr>
        <w:fldChar w:fldCharType="begin"/>
      </w:r>
      <w:r w:rsidR="00CD55F1" w:rsidRPr="00B25A88">
        <w:rPr>
          <w:rFonts w:eastAsia="TimesNewRomanPSMT" w:cs="TimesNewRomanPSMT"/>
          <w:b/>
          <w:color w:val="000000"/>
          <w:u w:val="single"/>
        </w:rPr>
        <w:instrText xml:space="preserve"> REF _Ref147639186 \h </w:instrText>
      </w:r>
      <w:r w:rsidR="00B25A88">
        <w:rPr>
          <w:rFonts w:eastAsia="TimesNewRomanPSMT" w:cs="TimesNewRomanPSMT"/>
          <w:b/>
          <w:color w:val="000000"/>
          <w:u w:val="single"/>
        </w:rPr>
        <w:instrText xml:space="preserve"> \* MERGEFORMAT </w:instrText>
      </w:r>
      <w:r w:rsidR="00CD55F1" w:rsidRPr="00B25A88">
        <w:rPr>
          <w:rFonts w:eastAsia="TimesNewRomanPSMT" w:cs="TimesNewRomanPSMT"/>
          <w:b/>
          <w:color w:val="000000"/>
          <w:u w:val="single"/>
        </w:rPr>
      </w:r>
      <w:r w:rsidR="00CD55F1" w:rsidRPr="00B25A88">
        <w:rPr>
          <w:rFonts w:eastAsia="TimesNewRomanPSMT" w:cs="TimesNewRomanPSMT"/>
          <w:b/>
          <w:color w:val="000000"/>
          <w:u w:val="single"/>
        </w:rPr>
        <w:fldChar w:fldCharType="separate"/>
      </w:r>
      <w:r w:rsidR="001E41EA" w:rsidRPr="001E41EA">
        <w:rPr>
          <w:rFonts w:eastAsia="TimesNewRomanPSMT" w:cs="TimesNewRomanPSMT"/>
          <w:b/>
          <w:color w:val="000000"/>
          <w:u w:val="single"/>
        </w:rPr>
        <w:t>Equation 9</w:t>
      </w:r>
      <w:r w:rsidR="00CD55F1" w:rsidRPr="00B25A88">
        <w:rPr>
          <w:rFonts w:eastAsia="TimesNewRomanPSMT" w:cs="TimesNewRomanPSMT"/>
          <w:b/>
          <w:color w:val="000000"/>
          <w:u w:val="single"/>
        </w:rPr>
        <w:fldChar w:fldCharType="end"/>
      </w:r>
      <w:r>
        <w:rPr>
          <w:rFonts w:eastAsia="TimesNewRomanPSMT" w:cs="TimesNewRomanPSMT"/>
          <w:b/>
          <w:color w:val="000000"/>
          <w:u w:val="single"/>
        </w:rPr>
        <w:t xml:space="preserve"> </w:t>
      </w:r>
      <w:r w:rsidR="002A221F">
        <w:rPr>
          <w:rFonts w:eastAsia="TimesNewRomanPSMT" w:cs="TimesNewRomanPSMT"/>
          <w:b/>
          <w:color w:val="000000"/>
          <w:u w:val="single"/>
        </w:rPr>
        <w:t xml:space="preserve">and its </w:t>
      </w:r>
      <w:r>
        <w:rPr>
          <w:rFonts w:eastAsia="TimesNewRomanPSMT" w:cs="TimesNewRomanPSMT"/>
          <w:b/>
          <w:color w:val="000000"/>
          <w:u w:val="single"/>
        </w:rPr>
        <w:t>Simplification</w:t>
      </w:r>
      <w:bookmarkEnd w:id="84"/>
      <w:bookmarkEnd w:id="85"/>
    </w:p>
    <w:p w14:paraId="12E389A1" w14:textId="77777777" w:rsidR="00A10EFD" w:rsidRDefault="00CD55F1" w:rsidP="00CD55F1">
      <w:pPr>
        <w:autoSpaceDE w:val="0"/>
        <w:spacing w:line="240" w:lineRule="auto"/>
        <w:jc w:val="both"/>
        <w:rPr>
          <w:rFonts w:eastAsiaTheme="minorEastAsia" w:cs="Arial"/>
        </w:rPr>
      </w:pPr>
      <w:r>
        <w:rPr>
          <w:rFonts w:eastAsia="TimesNewRomanPSMT" w:cs="TimesNewRomanPSMT"/>
          <w:color w:val="000000"/>
          <w:szCs w:val="24"/>
        </w:rPr>
        <w:t xml:space="preserve">The </w:t>
      </w:r>
      <w:r w:rsidR="004C52C5">
        <w:rPr>
          <w:rFonts w:eastAsia="TimesNewRomanPSMT" w:cs="TimesNewRomanPSMT"/>
          <w:color w:val="000000"/>
          <w:szCs w:val="24"/>
        </w:rPr>
        <w:t xml:space="preserve">creating and </w:t>
      </w:r>
      <w:r w:rsidRPr="00424731">
        <w:rPr>
          <w:rFonts w:eastAsia="TimesNewRomanPSMT" w:cs="TimesNewRomanPSMT"/>
          <w:color w:val="000000"/>
          <w:szCs w:val="24"/>
        </w:rPr>
        <w:t>simplification of</w:t>
      </w:r>
      <w:r>
        <w:rPr>
          <w:rFonts w:eastAsia="TimesNewRomanPSMT" w:cs="TimesNewRomanPSMT"/>
          <w:color w:val="000000"/>
          <w:szCs w:val="24"/>
        </w:rPr>
        <w:t xml:space="preserve"> </w:t>
      </w:r>
      <w:r>
        <w:fldChar w:fldCharType="begin"/>
      </w:r>
      <w:r>
        <w:instrText xml:space="preserve"> REF _Ref147639186 \h </w:instrText>
      </w:r>
      <w:r>
        <w:fldChar w:fldCharType="separate"/>
      </w:r>
      <w:r w:rsidR="001E41EA">
        <w:t xml:space="preserve">Equation </w:t>
      </w:r>
      <w:r w:rsidR="001E41EA">
        <w:rPr>
          <w:noProof/>
        </w:rPr>
        <w:t>9</w:t>
      </w:r>
      <w:r>
        <w:fldChar w:fldCharType="end"/>
      </w:r>
      <w:r w:rsidRPr="00424731">
        <w:rPr>
          <w:rFonts w:eastAsia="TimesNewRomanPSMT" w:cs="TimesNewRomanPSMT"/>
          <w:color w:val="000000"/>
          <w:szCs w:val="24"/>
        </w:rPr>
        <w:t xml:space="preserve"> </w:t>
      </w:r>
      <w:r>
        <w:rPr>
          <w:rFonts w:eastAsia="TimesNewRomanPSMT" w:cs="TimesNewRomanPSMT"/>
          <w:color w:val="000000"/>
          <w:szCs w:val="24"/>
        </w:rPr>
        <w:t>should be critically reviewed</w:t>
      </w:r>
      <w:r w:rsidR="004C52C5">
        <w:rPr>
          <w:rFonts w:eastAsia="TimesNewRomanPSMT" w:cs="TimesNewRomanPSMT"/>
          <w:color w:val="000000"/>
          <w:szCs w:val="24"/>
        </w:rPr>
        <w:t xml:space="preserve"> by a cross-functional team and the review documented.  I</w:t>
      </w:r>
      <w:r w:rsidR="004C52C5" w:rsidRPr="001F6DC8">
        <w:rPr>
          <w:rFonts w:eastAsiaTheme="minorEastAsia"/>
        </w:rPr>
        <w:t xml:space="preserve">f the team is not comfortable with a </w:t>
      </w:r>
      <w:r w:rsidR="004C52C5">
        <w:rPr>
          <w:rFonts w:eastAsiaTheme="minorEastAsia"/>
        </w:rPr>
        <w:t>step, they should not approve it</w:t>
      </w:r>
      <w:r w:rsidR="004C52C5" w:rsidRPr="001F6DC8">
        <w:rPr>
          <w:rFonts w:eastAsiaTheme="minorEastAsia"/>
        </w:rPr>
        <w:t xml:space="preserve">.  </w:t>
      </w:r>
      <w:r w:rsidR="004C52C5">
        <w:rPr>
          <w:rFonts w:eastAsiaTheme="minorEastAsia"/>
        </w:rPr>
        <w:t xml:space="preserve">There are many ways to create and simplify </w:t>
      </w:r>
      <w:r w:rsidR="004C52C5">
        <w:fldChar w:fldCharType="begin"/>
      </w:r>
      <w:r w:rsidR="004C52C5">
        <w:instrText xml:space="preserve"> REF _Ref147639186 \h </w:instrText>
      </w:r>
      <w:r w:rsidR="004C52C5">
        <w:fldChar w:fldCharType="separate"/>
      </w:r>
      <w:r w:rsidR="004C52C5">
        <w:t xml:space="preserve">Equation </w:t>
      </w:r>
      <w:r w:rsidR="004C52C5">
        <w:rPr>
          <w:noProof/>
        </w:rPr>
        <w:t>9</w:t>
      </w:r>
      <w:r w:rsidR="004C52C5">
        <w:fldChar w:fldCharType="end"/>
      </w:r>
      <w:r w:rsidR="004C52C5">
        <w:rPr>
          <w:rFonts w:eastAsiaTheme="minorEastAsia"/>
        </w:rPr>
        <w:t xml:space="preserve">, so </w:t>
      </w:r>
      <w:r w:rsidR="00A10EFD">
        <w:rPr>
          <w:rFonts w:eastAsiaTheme="minorEastAsia"/>
        </w:rPr>
        <w:t xml:space="preserve">the team should </w:t>
      </w:r>
      <w:r w:rsidR="004C52C5">
        <w:rPr>
          <w:rFonts w:eastAsiaTheme="minorEastAsia"/>
        </w:rPr>
        <w:t>c</w:t>
      </w:r>
      <w:r w:rsidR="004C52C5" w:rsidRPr="001F6DC8">
        <w:rPr>
          <w:rFonts w:eastAsiaTheme="minorEastAsia"/>
        </w:rPr>
        <w:t xml:space="preserve">hange </w:t>
      </w:r>
      <w:r w:rsidR="00A10EFD">
        <w:rPr>
          <w:rFonts w:eastAsiaTheme="minorEastAsia"/>
        </w:rPr>
        <w:t xml:space="preserve">whatever they are not comfortable with </w:t>
      </w:r>
      <w:r w:rsidR="004C52C5" w:rsidRPr="001F6DC8">
        <w:rPr>
          <w:rFonts w:eastAsiaTheme="minorEastAsia"/>
        </w:rPr>
        <w:t>to something more conservative and document why this more-conservative simplification was chosen.</w:t>
      </w:r>
    </w:p>
    <w:p w14:paraId="2BF93403" w14:textId="644291D6" w:rsidR="0071578E" w:rsidRDefault="00A10EFD" w:rsidP="00CD55F1">
      <w:pPr>
        <w:autoSpaceDE w:val="0"/>
        <w:spacing w:line="240" w:lineRule="auto"/>
        <w:jc w:val="both"/>
        <w:rPr>
          <w:rFonts w:eastAsia="TimesNewRomanPSMT" w:cs="TimesNewRomanPSMT"/>
          <w:color w:val="000000"/>
          <w:szCs w:val="24"/>
        </w:rPr>
      </w:pPr>
      <w:r>
        <w:rPr>
          <w:rFonts w:eastAsiaTheme="minorEastAsia" w:cs="Arial"/>
        </w:rPr>
        <w:t>This review should include</w:t>
      </w:r>
      <w:r w:rsidR="00CD55F1" w:rsidRPr="00424731">
        <w:rPr>
          <w:rFonts w:eastAsia="TimesNewRomanPSMT" w:cs="TimesNewRomanPSMT"/>
          <w:color w:val="000000"/>
          <w:szCs w:val="24"/>
        </w:rPr>
        <w:t xml:space="preserve">: </w:t>
      </w:r>
    </w:p>
    <w:p w14:paraId="6DC97178" w14:textId="263DB00F" w:rsidR="00CD55F1" w:rsidRDefault="00F429B2">
      <w:pPr>
        <w:pStyle w:val="ListParagraph"/>
        <w:numPr>
          <w:ilvl w:val="0"/>
          <w:numId w:val="9"/>
        </w:numPr>
        <w:autoSpaceDE w:val="0"/>
        <w:spacing w:line="240" w:lineRule="auto"/>
        <w:contextualSpacing w:val="0"/>
        <w:jc w:val="both"/>
        <w:rPr>
          <w:rFonts w:cs="Arial"/>
          <w:iCs/>
        </w:rPr>
      </w:pPr>
      <w:r>
        <w:rPr>
          <w:rFonts w:eastAsia="TimesNewRomanPSMT" w:cs="TimesNewRomanPSMT"/>
          <w:color w:val="000000"/>
          <w:szCs w:val="24"/>
        </w:rPr>
        <w:t>D</w:t>
      </w:r>
      <w:r w:rsidR="00CD55F1" w:rsidRPr="003A0CAD">
        <w:rPr>
          <w:rFonts w:eastAsia="TimesNewRomanPSMT" w:cs="TimesNewRomanPSMT"/>
          <w:color w:val="000000"/>
          <w:szCs w:val="24"/>
        </w:rPr>
        <w:t xml:space="preserve">efining and/or deciding </w:t>
      </w:r>
      <w:r w:rsidR="00CD55F1">
        <w:rPr>
          <w:rFonts w:cs="Arial"/>
          <w:iCs/>
        </w:rPr>
        <w:t xml:space="preserve">which health condition and treatment </w:t>
      </w:r>
      <w:r w:rsidR="00CD55F1" w:rsidRPr="003A0CAD">
        <w:rPr>
          <w:rFonts w:cs="Arial"/>
          <w:iCs/>
        </w:rPr>
        <w:t>risks are included</w:t>
      </w:r>
      <w:r w:rsidR="001F61C2">
        <w:rPr>
          <w:rStyle w:val="FootnoteReference"/>
          <w:rFonts w:cs="Arial"/>
          <w:iCs/>
        </w:rPr>
        <w:footnoteReference w:id="32"/>
      </w:r>
      <w:r w:rsidR="00CD55F1" w:rsidRPr="003A0CAD">
        <w:rPr>
          <w:rFonts w:cs="Arial"/>
          <w:iCs/>
        </w:rPr>
        <w:t xml:space="preserve"> and why, </w:t>
      </w:r>
    </w:p>
    <w:p w14:paraId="6412EC9F" w14:textId="6E0B4F3D" w:rsidR="00CD55F1" w:rsidRPr="003A0CAD" w:rsidRDefault="00F429B2">
      <w:pPr>
        <w:pStyle w:val="ListParagraph"/>
        <w:numPr>
          <w:ilvl w:val="0"/>
          <w:numId w:val="9"/>
        </w:numPr>
        <w:autoSpaceDE w:val="0"/>
        <w:spacing w:line="240" w:lineRule="auto"/>
        <w:contextualSpacing w:val="0"/>
        <w:jc w:val="both"/>
        <w:rPr>
          <w:rFonts w:cs="Arial"/>
          <w:iCs/>
        </w:rPr>
      </w:pPr>
      <w:r>
        <w:rPr>
          <w:rFonts w:cs="Arial"/>
          <w:iCs/>
        </w:rPr>
        <w:t>E</w:t>
      </w:r>
      <w:r w:rsidR="00CD55F1" w:rsidRPr="003A0CAD">
        <w:rPr>
          <w:rFonts w:cs="Arial"/>
          <w:iCs/>
        </w:rPr>
        <w:t xml:space="preserve">valuating each pair of </w:t>
      </w:r>
      <m:oMath>
        <m:sSubSup>
          <m:sSubSupPr>
            <m:ctrlPr>
              <w:rPr>
                <w:rFonts w:ascii="Cambria Math" w:hAnsi="Cambria Math" w:cs="Arial"/>
                <w:i/>
              </w:rPr>
            </m:ctrlPr>
          </m:sSubSupPr>
          <m:e>
            <m:r>
              <w:rPr>
                <w:rFonts w:ascii="Cambria Math" w:hAnsi="Cambria Math" w:cs="Arial"/>
              </w:rPr>
              <m:t>P</m:t>
            </m:r>
          </m:e>
          <m:sub>
            <m:r>
              <w:rPr>
                <w:rFonts w:ascii="Cambria Math" w:hAnsi="Cambria Math" w:cs="Arial"/>
              </w:rPr>
              <m:t>i</m:t>
            </m:r>
          </m:sub>
          <m:sup>
            <m:r>
              <w:rPr>
                <w:rFonts w:ascii="Cambria Math" w:hAnsi="Cambria Math" w:cs="Arial"/>
              </w:rPr>
              <m:t>x</m:t>
            </m:r>
          </m:sup>
        </m:sSubSup>
      </m:oMath>
      <w:r w:rsidR="00CD55F1" w:rsidRPr="003A0CAD">
        <w:rPr>
          <w:rFonts w:eastAsiaTheme="minorEastAsia" w:cs="Arial"/>
        </w:rPr>
        <w:t xml:space="preserve"> and </w:t>
      </w:r>
      <m:oMath>
        <m:sSubSup>
          <m:sSubSupPr>
            <m:ctrlPr>
              <w:rPr>
                <w:rFonts w:ascii="Cambria Math" w:hAnsi="Cambria Math" w:cs="Arial"/>
                <w:i/>
              </w:rPr>
            </m:ctrlPr>
          </m:sSubSupPr>
          <m:e>
            <m:r>
              <w:rPr>
                <w:rFonts w:ascii="Cambria Math" w:hAnsi="Cambria Math" w:cs="Arial"/>
              </w:rPr>
              <m:t>S</m:t>
            </m:r>
          </m:e>
          <m:sub>
            <m:r>
              <w:rPr>
                <w:rFonts w:ascii="Cambria Math" w:hAnsi="Cambria Math" w:cs="Arial"/>
              </w:rPr>
              <m:t>i</m:t>
            </m:r>
          </m:sub>
          <m:sup>
            <m:r>
              <w:rPr>
                <w:rFonts w:ascii="Cambria Math" w:hAnsi="Cambria Math" w:cs="Arial"/>
              </w:rPr>
              <m:t>x</m:t>
            </m:r>
          </m:sup>
        </m:sSubSup>
      </m:oMath>
      <w:r w:rsidR="00CD55F1" w:rsidRPr="003A0CAD">
        <w:rPr>
          <w:rFonts w:eastAsiaTheme="minorEastAsia" w:cs="Arial"/>
        </w:rPr>
        <w:t xml:space="preserve"> values </w:t>
      </w:r>
      <w:r w:rsidR="00084EFA">
        <w:rPr>
          <w:rFonts w:eastAsiaTheme="minorEastAsia" w:cs="Arial"/>
        </w:rPr>
        <w:t xml:space="preserve">in </w:t>
      </w:r>
      <w:r w:rsidR="00084EFA">
        <w:rPr>
          <w:rFonts w:eastAsiaTheme="minorEastAsia" w:cs="Arial"/>
        </w:rPr>
        <w:fldChar w:fldCharType="begin"/>
      </w:r>
      <w:r w:rsidR="00084EFA">
        <w:rPr>
          <w:rFonts w:eastAsiaTheme="minorEastAsia" w:cs="Arial"/>
        </w:rPr>
        <w:instrText xml:space="preserve"> REF _Ref147639186 \h </w:instrText>
      </w:r>
      <w:r w:rsidR="00084EFA">
        <w:rPr>
          <w:rFonts w:eastAsiaTheme="minorEastAsia" w:cs="Arial"/>
        </w:rPr>
      </w:r>
      <w:r w:rsidR="00084EFA">
        <w:rPr>
          <w:rFonts w:eastAsiaTheme="minorEastAsia" w:cs="Arial"/>
        </w:rPr>
        <w:fldChar w:fldCharType="separate"/>
      </w:r>
      <w:r w:rsidR="001E41EA">
        <w:t xml:space="preserve">Equation </w:t>
      </w:r>
      <w:r w:rsidR="001E41EA">
        <w:rPr>
          <w:noProof/>
        </w:rPr>
        <w:t>9</w:t>
      </w:r>
      <w:r w:rsidR="00084EFA">
        <w:rPr>
          <w:rFonts w:eastAsiaTheme="minorEastAsia" w:cs="Arial"/>
        </w:rPr>
        <w:fldChar w:fldCharType="end"/>
      </w:r>
      <w:r w:rsidR="00084EFA">
        <w:rPr>
          <w:rFonts w:eastAsiaTheme="minorEastAsia" w:cs="Arial"/>
        </w:rPr>
        <w:t xml:space="preserve"> </w:t>
      </w:r>
      <w:r w:rsidR="00CD55F1" w:rsidRPr="003A0CAD">
        <w:rPr>
          <w:rFonts w:eastAsiaTheme="minorEastAsia" w:cs="Arial"/>
        </w:rPr>
        <w:t xml:space="preserve">and </w:t>
      </w:r>
      <w:r w:rsidR="00CD55F1">
        <w:rPr>
          <w:rFonts w:eastAsiaTheme="minorEastAsia" w:cs="Arial"/>
        </w:rPr>
        <w:t>documenting why the probability and severity level was chosen</w:t>
      </w:r>
      <w:r w:rsidR="00CD55F1" w:rsidRPr="003A0CAD">
        <w:rPr>
          <w:rFonts w:eastAsiaTheme="minorEastAsia" w:cs="Arial"/>
        </w:rPr>
        <w:t xml:space="preserve">, </w:t>
      </w:r>
    </w:p>
    <w:p w14:paraId="4A67D66B" w14:textId="7C0A64EE" w:rsidR="001840AE" w:rsidRPr="00A10EFD" w:rsidRDefault="004C52C5">
      <w:pPr>
        <w:pStyle w:val="ListParagraph"/>
        <w:numPr>
          <w:ilvl w:val="0"/>
          <w:numId w:val="9"/>
        </w:numPr>
        <w:autoSpaceDE w:val="0"/>
        <w:spacing w:line="240" w:lineRule="auto"/>
        <w:contextualSpacing w:val="0"/>
        <w:jc w:val="both"/>
        <w:rPr>
          <w:rFonts w:eastAsiaTheme="minorEastAsia" w:cs="Arial"/>
        </w:rPr>
      </w:pPr>
      <w:r w:rsidRPr="001F6DC8">
        <w:rPr>
          <w:rFonts w:eastAsiaTheme="minorEastAsia"/>
        </w:rPr>
        <w:t>Review</w:t>
      </w:r>
      <w:r w:rsidR="00A10EFD">
        <w:rPr>
          <w:rFonts w:eastAsiaTheme="minorEastAsia"/>
        </w:rPr>
        <w:t>ing</w:t>
      </w:r>
      <w:r w:rsidRPr="001F6DC8">
        <w:rPr>
          <w:rFonts w:eastAsiaTheme="minorEastAsia"/>
        </w:rPr>
        <w:t xml:space="preserve"> </w:t>
      </w:r>
      <w:r>
        <w:rPr>
          <w:rFonts w:eastAsiaTheme="minorEastAsia"/>
        </w:rPr>
        <w:t>each</w:t>
      </w:r>
      <w:r w:rsidRPr="001F6DC8">
        <w:rPr>
          <w:rFonts w:eastAsiaTheme="minorEastAsia"/>
        </w:rPr>
        <w:t xml:space="preserve"> simplification and document</w:t>
      </w:r>
      <w:r w:rsidR="00A10EFD">
        <w:rPr>
          <w:rFonts w:eastAsiaTheme="minorEastAsia"/>
        </w:rPr>
        <w:t>ing</w:t>
      </w:r>
      <w:r w:rsidRPr="001F6DC8">
        <w:rPr>
          <w:rFonts w:eastAsiaTheme="minorEastAsia"/>
        </w:rPr>
        <w:t xml:space="preserve"> </w:t>
      </w:r>
      <w:r>
        <w:rPr>
          <w:rFonts w:eastAsiaTheme="minorEastAsia"/>
        </w:rPr>
        <w:t>‘</w:t>
      </w:r>
      <w:proofErr w:type="gramStart"/>
      <w:r w:rsidRPr="001F6DC8">
        <w:rPr>
          <w:rFonts w:eastAsiaTheme="minorEastAsia"/>
        </w:rPr>
        <w:t>why</w:t>
      </w:r>
      <w:proofErr w:type="gramEnd"/>
      <w:r>
        <w:rPr>
          <w:rFonts w:eastAsiaTheme="minorEastAsia"/>
        </w:rPr>
        <w:t>’</w:t>
      </w:r>
      <w:r w:rsidRPr="001F6DC8">
        <w:rPr>
          <w:rFonts w:eastAsiaTheme="minorEastAsia"/>
        </w:rPr>
        <w:t xml:space="preserve"> the team is comfortable with each simplification. </w:t>
      </w:r>
      <w:r w:rsidR="00A10EFD">
        <w:rPr>
          <w:rFonts w:eastAsiaTheme="minorEastAsia"/>
        </w:rPr>
        <w:t xml:space="preserve"> </w:t>
      </w:r>
      <w:r w:rsidR="006643DE" w:rsidRPr="00A10EFD">
        <w:rPr>
          <w:rFonts w:cs="Arial"/>
          <w:iCs/>
        </w:rPr>
        <w:t>The following sections highlight some possible areas of discussion by the cross-functional team</w:t>
      </w:r>
      <w:r w:rsidR="00A10EFD">
        <w:rPr>
          <w:rFonts w:cs="Arial"/>
          <w:iCs/>
        </w:rPr>
        <w:t xml:space="preserve"> that could be </w:t>
      </w:r>
      <w:r w:rsidR="006643DE" w:rsidRPr="00A10EFD">
        <w:rPr>
          <w:rFonts w:cs="Arial"/>
          <w:iCs/>
        </w:rPr>
        <w:t>inclu</w:t>
      </w:r>
      <w:r w:rsidR="00A10EFD">
        <w:rPr>
          <w:rFonts w:cs="Arial"/>
          <w:iCs/>
        </w:rPr>
        <w:t>ded</w:t>
      </w:r>
      <w:r w:rsidR="006643DE" w:rsidRPr="00A10EFD">
        <w:rPr>
          <w:rFonts w:cs="Arial"/>
          <w:iCs/>
        </w:rPr>
        <w:t xml:space="preserve"> in the </w:t>
      </w:r>
      <w:r w:rsidR="00EC42E0">
        <w:rPr>
          <w:rFonts w:cs="Arial"/>
          <w:iCs/>
        </w:rPr>
        <w:t>Benefit-Risk</w:t>
      </w:r>
      <w:r w:rsidR="006643DE" w:rsidRPr="00A10EFD">
        <w:rPr>
          <w:rFonts w:cs="Arial"/>
          <w:iCs/>
        </w:rPr>
        <w:t xml:space="preserve"> analysis documentation.  </w:t>
      </w:r>
    </w:p>
    <w:p w14:paraId="5A8B309A" w14:textId="32321AE4" w:rsidR="006643DE" w:rsidRDefault="00492771">
      <w:pPr>
        <w:pStyle w:val="ListParagraph"/>
        <w:numPr>
          <w:ilvl w:val="1"/>
          <w:numId w:val="9"/>
        </w:numPr>
        <w:autoSpaceDE w:val="0"/>
        <w:spacing w:line="240" w:lineRule="auto"/>
        <w:contextualSpacing w:val="0"/>
        <w:jc w:val="both"/>
        <w:rPr>
          <w:rFonts w:cs="Arial"/>
          <w:iCs/>
        </w:rPr>
      </w:pPr>
      <w:r>
        <w:rPr>
          <w:u w:val="single"/>
        </w:rPr>
        <w:fldChar w:fldCharType="begin"/>
      </w:r>
      <w:r>
        <w:rPr>
          <w:rFonts w:cs="Arial"/>
          <w:iCs/>
        </w:rPr>
        <w:instrText xml:space="preserve"> REF _Ref151218484 \h </w:instrText>
      </w:r>
      <w:r>
        <w:rPr>
          <w:u w:val="single"/>
        </w:rPr>
      </w:r>
      <w:r>
        <w:rPr>
          <w:u w:val="single"/>
        </w:rPr>
        <w:fldChar w:fldCharType="separate"/>
      </w:r>
      <w:r w:rsidRPr="00646086">
        <w:rPr>
          <w:rFonts w:eastAsia="TimesNewRomanPSMT" w:cs="TimesNewRomanPSMT"/>
          <w:b/>
          <w:color w:val="000000"/>
          <w:u w:val="single"/>
        </w:rPr>
        <w:t>Removing Identical Risks</w:t>
      </w:r>
      <w:r>
        <w:rPr>
          <w:u w:val="single"/>
        </w:rPr>
        <w:fldChar w:fldCharType="end"/>
      </w:r>
      <w:r w:rsidR="00CD55F1">
        <w:rPr>
          <w:rFonts w:cs="Arial"/>
          <w:iCs/>
        </w:rPr>
        <w:t xml:space="preserve"> </w:t>
      </w:r>
      <w:r>
        <w:rPr>
          <w:rFonts w:cs="Arial"/>
          <w:iCs/>
        </w:rPr>
        <w:tab/>
      </w:r>
      <w:r>
        <w:rPr>
          <w:rFonts w:cs="Arial"/>
          <w:iCs/>
        </w:rPr>
        <w:br/>
        <w:t xml:space="preserve">This </w:t>
      </w:r>
      <w:r w:rsidR="00CD55F1">
        <w:rPr>
          <w:rFonts w:cs="Arial"/>
          <w:iCs/>
        </w:rPr>
        <w:t xml:space="preserve">is the most straight-forward operation in ‘Risk Algebra’ and </w:t>
      </w:r>
      <w:r w:rsidR="00940614">
        <w:rPr>
          <w:rFonts w:cs="Arial"/>
          <w:iCs/>
        </w:rPr>
        <w:t>the documentation of applications of this rule should be similarly simple</w:t>
      </w:r>
      <w:r w:rsidR="001840AE">
        <w:rPr>
          <w:rFonts w:cs="Arial"/>
          <w:iCs/>
        </w:rPr>
        <w:t xml:space="preserve">; e.g., simply listing each pair of identical ordered pairs, </w:t>
      </w:r>
      <m:oMath>
        <m:d>
          <m:dPr>
            <m:ctrlPr>
              <w:rPr>
                <w:rFonts w:ascii="Cambria Math" w:eastAsiaTheme="minorEastAsia" w:hAnsi="Cambria Math" w:cs="Arial"/>
                <w:i/>
              </w:rPr>
            </m:ctrlPr>
          </m:dPr>
          <m:e>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i</m:t>
                </m:r>
              </m:sub>
              <m:sup>
                <m:r>
                  <w:rPr>
                    <w:rFonts w:ascii="Cambria Math" w:eastAsiaTheme="minorEastAsia" w:hAnsi="Cambria Math" w:cs="Arial"/>
                  </w:rPr>
                  <m:t>x</m:t>
                </m:r>
              </m:sup>
            </m:sSubSup>
            <m:r>
              <w:rPr>
                <w:rFonts w:ascii="Cambria Math" w:eastAsiaTheme="minorEastAsia" w:hAnsi="Cambria Math" w:cs="Arial"/>
              </w:rPr>
              <m:t xml:space="preserve">, </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m:t>
                </m:r>
              </m:sub>
              <m:sup>
                <m:r>
                  <w:rPr>
                    <w:rFonts w:ascii="Cambria Math" w:eastAsiaTheme="minorEastAsia" w:hAnsi="Cambria Math" w:cs="Arial"/>
                  </w:rPr>
                  <m:t>x</m:t>
                </m:r>
              </m:sup>
            </m:sSubSup>
          </m:e>
        </m:d>
      </m:oMath>
      <w:r w:rsidR="001840AE">
        <w:rPr>
          <w:rFonts w:eastAsiaTheme="minorEastAsia" w:cs="Arial"/>
        </w:rPr>
        <w:t xml:space="preserve">, that are removed from each side of </w:t>
      </w:r>
      <w:r w:rsidR="001840AE">
        <w:rPr>
          <w:rFonts w:eastAsiaTheme="minorEastAsia" w:cs="Arial"/>
        </w:rPr>
        <w:fldChar w:fldCharType="begin"/>
      </w:r>
      <w:r w:rsidR="001840AE">
        <w:rPr>
          <w:rFonts w:eastAsiaTheme="minorEastAsia" w:cs="Arial"/>
        </w:rPr>
        <w:instrText xml:space="preserve"> REF _Ref147639186 \h </w:instrText>
      </w:r>
      <w:r w:rsidR="001840AE">
        <w:rPr>
          <w:rFonts w:eastAsiaTheme="minorEastAsia" w:cs="Arial"/>
        </w:rPr>
      </w:r>
      <w:r w:rsidR="001840AE">
        <w:rPr>
          <w:rFonts w:eastAsiaTheme="minorEastAsia" w:cs="Arial"/>
        </w:rPr>
        <w:fldChar w:fldCharType="separate"/>
      </w:r>
      <w:r w:rsidR="001E41EA">
        <w:t xml:space="preserve">Equation </w:t>
      </w:r>
      <w:r w:rsidR="001E41EA">
        <w:rPr>
          <w:noProof/>
        </w:rPr>
        <w:t>9</w:t>
      </w:r>
      <w:r w:rsidR="001840AE">
        <w:rPr>
          <w:rFonts w:eastAsiaTheme="minorEastAsia" w:cs="Arial"/>
        </w:rPr>
        <w:fldChar w:fldCharType="end"/>
      </w:r>
      <w:r w:rsidR="00940614">
        <w:rPr>
          <w:rFonts w:cs="Arial"/>
          <w:iCs/>
        </w:rPr>
        <w:t xml:space="preserve">. </w:t>
      </w:r>
      <w:r w:rsidR="006643DE">
        <w:rPr>
          <w:rFonts w:cs="Arial"/>
          <w:iCs/>
        </w:rPr>
        <w:t xml:space="preserve"> </w:t>
      </w:r>
    </w:p>
    <w:p w14:paraId="1A8247CD" w14:textId="63598E62" w:rsidR="001840AE" w:rsidRDefault="00492771">
      <w:pPr>
        <w:pStyle w:val="ListParagraph"/>
        <w:numPr>
          <w:ilvl w:val="1"/>
          <w:numId w:val="9"/>
        </w:numPr>
        <w:autoSpaceDE w:val="0"/>
        <w:spacing w:line="240" w:lineRule="auto"/>
        <w:contextualSpacing w:val="0"/>
        <w:jc w:val="both"/>
        <w:rPr>
          <w:rFonts w:cs="Arial"/>
          <w:iCs/>
        </w:rPr>
      </w:pPr>
      <w:r>
        <w:rPr>
          <w:rFonts w:cs="Arial"/>
          <w:iCs/>
          <w:u w:val="single"/>
        </w:rPr>
        <w:fldChar w:fldCharType="begin"/>
      </w:r>
      <w:r>
        <w:rPr>
          <w:rFonts w:cs="Arial"/>
          <w:iCs/>
        </w:rPr>
        <w:instrText xml:space="preserve"> REF _Ref151223378 \h </w:instrText>
      </w:r>
      <w:r>
        <w:rPr>
          <w:rFonts w:cs="Arial"/>
          <w:iCs/>
          <w:u w:val="single"/>
        </w:rPr>
      </w:r>
      <w:r>
        <w:rPr>
          <w:rFonts w:cs="Arial"/>
          <w:iCs/>
          <w:u w:val="single"/>
        </w:rPr>
        <w:fldChar w:fldCharType="separate"/>
      </w:r>
      <w:r w:rsidRPr="00646086">
        <w:rPr>
          <w:rFonts w:eastAsia="TimesNewRomanPSMT" w:cs="TimesNewRomanPSMT"/>
          <w:b/>
          <w:color w:val="000000"/>
          <w:u w:val="single"/>
        </w:rPr>
        <w:t>Moving Repeated Risks</w:t>
      </w:r>
      <w:r>
        <w:rPr>
          <w:rFonts w:cs="Arial"/>
          <w:iCs/>
          <w:u w:val="single"/>
        </w:rPr>
        <w:fldChar w:fldCharType="end"/>
      </w:r>
      <w:r w:rsidR="00CD55F1" w:rsidRPr="001840AE">
        <w:rPr>
          <w:rFonts w:cs="Arial"/>
          <w:iCs/>
        </w:rPr>
        <w:t xml:space="preserve">  </w:t>
      </w:r>
      <w:r w:rsidR="00CD55F1" w:rsidRPr="001840AE">
        <w:rPr>
          <w:rFonts w:cs="Arial"/>
          <w:iCs/>
        </w:rPr>
        <w:tab/>
      </w:r>
      <w:r w:rsidR="00CD55F1" w:rsidRPr="001840AE">
        <w:rPr>
          <w:rFonts w:cs="Arial"/>
          <w:iCs/>
        </w:rPr>
        <w:br/>
      </w:r>
      <w:r w:rsidR="00584B40">
        <w:rPr>
          <w:rFonts w:cs="Arial"/>
          <w:iCs/>
        </w:rPr>
        <w:t>This operation h</w:t>
      </w:r>
      <w:r w:rsidR="001840AE">
        <w:rPr>
          <w:rFonts w:cs="Arial"/>
          <w:iCs/>
        </w:rPr>
        <w:t xml:space="preserve">as several options within it, so </w:t>
      </w:r>
      <w:r>
        <w:rPr>
          <w:rFonts w:cs="Arial"/>
          <w:iCs/>
        </w:rPr>
        <w:t>th</w:t>
      </w:r>
      <w:r w:rsidR="00584B40">
        <w:rPr>
          <w:rFonts w:cs="Arial"/>
          <w:iCs/>
        </w:rPr>
        <w:t>e</w:t>
      </w:r>
      <w:r>
        <w:rPr>
          <w:rFonts w:cs="Arial"/>
          <w:iCs/>
        </w:rPr>
        <w:t xml:space="preserve"> documentation should </w:t>
      </w:r>
      <w:r w:rsidR="001840AE">
        <w:rPr>
          <w:rFonts w:cs="Arial"/>
          <w:iCs/>
        </w:rPr>
        <w:t xml:space="preserve">include </w:t>
      </w:r>
      <w:r>
        <w:rPr>
          <w:rFonts w:cs="Arial"/>
          <w:iCs/>
        </w:rPr>
        <w:t xml:space="preserve">an </w:t>
      </w:r>
      <w:r w:rsidR="001840AE">
        <w:rPr>
          <w:rFonts w:cs="Arial"/>
          <w:iCs/>
        </w:rPr>
        <w:t>explan</w:t>
      </w:r>
      <w:r>
        <w:rPr>
          <w:rFonts w:cs="Arial"/>
          <w:iCs/>
        </w:rPr>
        <w:t>ation of</w:t>
      </w:r>
      <w:r w:rsidR="001840AE">
        <w:rPr>
          <w:rFonts w:cs="Arial"/>
          <w:iCs/>
        </w:rPr>
        <w:t xml:space="preserve"> which variation on ‘Moving Repeated Risks’ was followed and which ordered pairs, </w:t>
      </w:r>
      <m:oMath>
        <m:d>
          <m:dPr>
            <m:ctrlPr>
              <w:rPr>
                <w:rFonts w:ascii="Cambria Math" w:eastAsiaTheme="minorEastAsia" w:hAnsi="Cambria Math" w:cs="Arial"/>
                <w:i/>
              </w:rPr>
            </m:ctrlPr>
          </m:dPr>
          <m:e>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i</m:t>
                </m:r>
              </m:sub>
              <m:sup>
                <m:r>
                  <w:rPr>
                    <w:rFonts w:ascii="Cambria Math" w:eastAsiaTheme="minorEastAsia" w:hAnsi="Cambria Math" w:cs="Arial"/>
                  </w:rPr>
                  <m:t>x</m:t>
                </m:r>
              </m:sup>
            </m:sSubSup>
            <m:r>
              <w:rPr>
                <w:rFonts w:ascii="Cambria Math" w:eastAsiaTheme="minorEastAsia" w:hAnsi="Cambria Math" w:cs="Arial"/>
              </w:rPr>
              <m:t xml:space="preserve">, </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i</m:t>
                </m:r>
              </m:sub>
              <m:sup>
                <m:r>
                  <w:rPr>
                    <w:rFonts w:ascii="Cambria Math" w:eastAsiaTheme="minorEastAsia" w:hAnsi="Cambria Math" w:cs="Arial"/>
                  </w:rPr>
                  <m:t>x</m:t>
                </m:r>
              </m:sup>
            </m:sSubSup>
          </m:e>
        </m:d>
      </m:oMath>
      <w:r w:rsidR="001840AE">
        <w:rPr>
          <w:rFonts w:eastAsiaTheme="minorEastAsia" w:cs="Arial"/>
        </w:rPr>
        <w:t xml:space="preserve">, </w:t>
      </w:r>
      <w:r w:rsidR="001840AE">
        <w:rPr>
          <w:rFonts w:cs="Arial"/>
          <w:iCs/>
        </w:rPr>
        <w:t xml:space="preserve">were </w:t>
      </w:r>
      <w:proofErr w:type="gramStart"/>
      <w:r w:rsidR="001840AE">
        <w:rPr>
          <w:rFonts w:cs="Arial"/>
          <w:iCs/>
        </w:rPr>
        <w:t>effected</w:t>
      </w:r>
      <w:proofErr w:type="gramEnd"/>
      <w:r w:rsidR="001840AE">
        <w:rPr>
          <w:rFonts w:cs="Arial"/>
          <w:iCs/>
        </w:rPr>
        <w:t xml:space="preserve">.  </w:t>
      </w:r>
    </w:p>
    <w:p w14:paraId="7BCEDAE4" w14:textId="120A6C88" w:rsidR="00492771" w:rsidRPr="00492771" w:rsidRDefault="00492771">
      <w:pPr>
        <w:pStyle w:val="ListParagraph"/>
        <w:numPr>
          <w:ilvl w:val="1"/>
          <w:numId w:val="9"/>
        </w:numPr>
        <w:autoSpaceDE w:val="0"/>
        <w:spacing w:line="240" w:lineRule="auto"/>
        <w:contextualSpacing w:val="0"/>
        <w:jc w:val="both"/>
        <w:rPr>
          <w:rFonts w:eastAsiaTheme="minorEastAsia" w:cs="Arial"/>
        </w:rPr>
      </w:pPr>
      <w:r>
        <w:rPr>
          <w:u w:val="single"/>
        </w:rPr>
        <w:lastRenderedPageBreak/>
        <w:fldChar w:fldCharType="begin"/>
      </w:r>
      <w:r>
        <w:rPr>
          <w:rFonts w:cs="Arial"/>
          <w:iCs/>
        </w:rPr>
        <w:instrText xml:space="preserve"> REF _Ref151223404 \h </w:instrText>
      </w:r>
      <w:r>
        <w:rPr>
          <w:u w:val="single"/>
        </w:rPr>
      </w:r>
      <w:r>
        <w:rPr>
          <w:u w:val="single"/>
        </w:rPr>
        <w:fldChar w:fldCharType="separate"/>
      </w:r>
      <w:r w:rsidRPr="00646086">
        <w:rPr>
          <w:rFonts w:eastAsia="TimesNewRomanPSMT" w:cs="TimesNewRomanPSMT"/>
          <w:b/>
          <w:color w:val="000000"/>
          <w:u w:val="single"/>
        </w:rPr>
        <w:t>Moving Similar Risks</w:t>
      </w:r>
      <w:r>
        <w:rPr>
          <w:u w:val="single"/>
        </w:rPr>
        <w:fldChar w:fldCharType="end"/>
      </w:r>
      <w:r w:rsidR="006643DE" w:rsidRPr="005F22AB">
        <w:rPr>
          <w:rFonts w:cs="Arial"/>
          <w:iCs/>
        </w:rPr>
        <w:t xml:space="preserve"> </w:t>
      </w:r>
      <w:r>
        <w:rPr>
          <w:rFonts w:cs="Arial"/>
          <w:iCs/>
        </w:rPr>
        <w:tab/>
      </w:r>
      <w:r>
        <w:rPr>
          <w:rFonts w:cs="Arial"/>
          <w:iCs/>
        </w:rPr>
        <w:br/>
      </w:r>
      <w:r w:rsidR="001840AE" w:rsidRPr="00492771">
        <w:rPr>
          <w:rFonts w:eastAsiaTheme="minorEastAsia" w:cs="Arial"/>
        </w:rPr>
        <w:t xml:space="preserve">There </w:t>
      </w:r>
      <w:r w:rsidR="00584B40">
        <w:rPr>
          <w:rFonts w:eastAsiaTheme="minorEastAsia" w:cs="Arial"/>
        </w:rPr>
        <w:t xml:space="preserve">are two </w:t>
      </w:r>
      <w:r w:rsidR="001840AE" w:rsidRPr="00492771">
        <w:rPr>
          <w:rFonts w:eastAsiaTheme="minorEastAsia" w:cs="Arial"/>
        </w:rPr>
        <w:t xml:space="preserve">notes in the section </w:t>
      </w:r>
      <w:r w:rsidRPr="00492771">
        <w:rPr>
          <w:rFonts w:eastAsiaTheme="minorEastAsia" w:cs="Arial"/>
        </w:rPr>
        <w:fldChar w:fldCharType="begin"/>
      </w:r>
      <w:r w:rsidRPr="00492771">
        <w:rPr>
          <w:rFonts w:eastAsiaTheme="minorEastAsia" w:cs="Arial"/>
        </w:rPr>
        <w:instrText xml:space="preserve"> REF _Ref151223404 \h </w:instrText>
      </w:r>
      <w:r w:rsidRPr="00492771">
        <w:rPr>
          <w:rFonts w:eastAsiaTheme="minorEastAsia" w:cs="Arial"/>
        </w:rPr>
      </w:r>
      <w:r w:rsidRPr="00492771">
        <w:rPr>
          <w:rFonts w:eastAsiaTheme="minorEastAsia" w:cs="Arial"/>
        </w:rPr>
        <w:fldChar w:fldCharType="separate"/>
      </w:r>
      <w:r w:rsidRPr="00492771">
        <w:rPr>
          <w:rFonts w:eastAsia="TimesNewRomanPSMT" w:cs="TimesNewRomanPSMT"/>
          <w:b/>
          <w:color w:val="000000"/>
          <w:u w:val="single"/>
        </w:rPr>
        <w:t>Moving Similar Risks</w:t>
      </w:r>
      <w:r w:rsidRPr="00492771">
        <w:rPr>
          <w:rFonts w:eastAsiaTheme="minorEastAsia" w:cs="Arial"/>
        </w:rPr>
        <w:fldChar w:fldCharType="end"/>
      </w:r>
      <w:r w:rsidRPr="00492771">
        <w:rPr>
          <w:rFonts w:eastAsiaTheme="minorEastAsia" w:cs="Arial"/>
        </w:rPr>
        <w:t xml:space="preserve"> </w:t>
      </w:r>
      <w:r w:rsidR="00206B01" w:rsidRPr="00492771">
        <w:rPr>
          <w:rFonts w:eastAsiaTheme="minorEastAsia" w:cs="Arial"/>
        </w:rPr>
        <w:t xml:space="preserve">on how to ensure this ‘risk algebra’ rule is used properly.  </w:t>
      </w:r>
      <w:r w:rsidRPr="00492771">
        <w:rPr>
          <w:rFonts w:eastAsiaTheme="minorEastAsia" w:cs="Arial"/>
        </w:rPr>
        <w:t>Th</w:t>
      </w:r>
      <w:r w:rsidR="00584B40">
        <w:rPr>
          <w:rFonts w:eastAsiaTheme="minorEastAsia" w:cs="Arial"/>
        </w:rPr>
        <w:t>e</w:t>
      </w:r>
      <w:r w:rsidR="00206B01" w:rsidRPr="00492771">
        <w:rPr>
          <w:rFonts w:eastAsiaTheme="minorEastAsia" w:cs="Arial"/>
        </w:rPr>
        <w:t xml:space="preserve"> documentation should include an explanation of the steps used to ensure these notes were </w:t>
      </w:r>
      <w:r w:rsidR="00584B40">
        <w:rPr>
          <w:rFonts w:eastAsiaTheme="minorEastAsia" w:cs="Arial"/>
        </w:rPr>
        <w:t>implemented</w:t>
      </w:r>
      <w:r w:rsidR="00206B01" w:rsidRPr="00492771">
        <w:rPr>
          <w:rFonts w:eastAsiaTheme="minorEastAsia" w:cs="Arial"/>
        </w:rPr>
        <w:t xml:space="preserve">.  </w:t>
      </w:r>
    </w:p>
    <w:p w14:paraId="0DFC2CEF" w14:textId="54B6CC08" w:rsidR="00492771" w:rsidRPr="00492771" w:rsidRDefault="00492771">
      <w:pPr>
        <w:pStyle w:val="ListParagraph"/>
        <w:numPr>
          <w:ilvl w:val="1"/>
          <w:numId w:val="9"/>
        </w:numPr>
        <w:autoSpaceDE w:val="0"/>
        <w:spacing w:line="240" w:lineRule="auto"/>
        <w:contextualSpacing w:val="0"/>
        <w:jc w:val="both"/>
        <w:rPr>
          <w:rFonts w:eastAsiaTheme="minorEastAsia" w:cs="Arial"/>
        </w:rPr>
      </w:pPr>
      <w:r>
        <w:rPr>
          <w:u w:val="single"/>
        </w:rPr>
        <w:fldChar w:fldCharType="begin"/>
      </w:r>
      <w:r>
        <w:rPr>
          <w:rFonts w:cs="Arial"/>
          <w:iCs/>
        </w:rPr>
        <w:instrText xml:space="preserve"> REF _Ref151363956 \h </w:instrText>
      </w:r>
      <w:r>
        <w:rPr>
          <w:u w:val="single"/>
        </w:rPr>
      </w:r>
      <w:r>
        <w:rPr>
          <w:u w:val="single"/>
        </w:rPr>
        <w:fldChar w:fldCharType="separate"/>
      </w:r>
      <w:r w:rsidRPr="00646086">
        <w:rPr>
          <w:rFonts w:eastAsia="TimesNewRomanPSMT" w:cs="TimesNewRomanPSMT"/>
          <w:b/>
          <w:color w:val="000000"/>
          <w:u w:val="single"/>
        </w:rPr>
        <w:t>Removing Unequal Risks</w:t>
      </w:r>
      <w:r>
        <w:rPr>
          <w:u w:val="single"/>
        </w:rPr>
        <w:fldChar w:fldCharType="end"/>
      </w:r>
      <w:r w:rsidRPr="005F22AB">
        <w:rPr>
          <w:rFonts w:cs="Arial"/>
          <w:iCs/>
        </w:rPr>
        <w:t xml:space="preserve"> </w:t>
      </w:r>
      <w:r>
        <w:rPr>
          <w:rFonts w:cs="Arial"/>
          <w:iCs/>
        </w:rPr>
        <w:tab/>
      </w:r>
      <w:r>
        <w:rPr>
          <w:rFonts w:cs="Arial"/>
          <w:iCs/>
        </w:rPr>
        <w:br/>
      </w:r>
      <w:r w:rsidRPr="00492771">
        <w:rPr>
          <w:rFonts w:eastAsiaTheme="minorEastAsia" w:cs="Arial"/>
        </w:rPr>
        <w:t xml:space="preserve">There </w:t>
      </w:r>
      <w:r w:rsidR="00584B40">
        <w:rPr>
          <w:rFonts w:eastAsiaTheme="minorEastAsia" w:cs="Arial"/>
        </w:rPr>
        <w:t xml:space="preserve">a </w:t>
      </w:r>
      <w:r w:rsidRPr="00492771">
        <w:rPr>
          <w:rFonts w:eastAsiaTheme="minorEastAsia" w:cs="Arial"/>
        </w:rPr>
        <w:t xml:space="preserve">note in the section </w:t>
      </w:r>
      <w:r w:rsidR="00584B40">
        <w:rPr>
          <w:u w:val="single"/>
        </w:rPr>
        <w:fldChar w:fldCharType="begin"/>
      </w:r>
      <w:r w:rsidR="00584B40">
        <w:rPr>
          <w:rFonts w:cs="Arial"/>
          <w:iCs/>
        </w:rPr>
        <w:instrText xml:space="preserve"> REF _Ref151363956 \h </w:instrText>
      </w:r>
      <w:r w:rsidR="00584B40">
        <w:rPr>
          <w:u w:val="single"/>
        </w:rPr>
      </w:r>
      <w:r w:rsidR="00584B40">
        <w:rPr>
          <w:u w:val="single"/>
        </w:rPr>
        <w:fldChar w:fldCharType="separate"/>
      </w:r>
      <w:r w:rsidR="00584B40" w:rsidRPr="00646086">
        <w:rPr>
          <w:rFonts w:eastAsia="TimesNewRomanPSMT" w:cs="TimesNewRomanPSMT"/>
          <w:b/>
          <w:color w:val="000000"/>
          <w:u w:val="single"/>
        </w:rPr>
        <w:t>Removing Unequal Risks</w:t>
      </w:r>
      <w:r w:rsidR="00584B40">
        <w:rPr>
          <w:u w:val="single"/>
        </w:rPr>
        <w:fldChar w:fldCharType="end"/>
      </w:r>
      <w:r w:rsidRPr="00492771">
        <w:rPr>
          <w:rFonts w:eastAsiaTheme="minorEastAsia" w:cs="Arial"/>
        </w:rPr>
        <w:t xml:space="preserve"> on how to ensure this ‘risk algebra’ rule is used properly.  Th</w:t>
      </w:r>
      <w:r w:rsidR="00584B40">
        <w:rPr>
          <w:rFonts w:eastAsiaTheme="minorEastAsia" w:cs="Arial"/>
        </w:rPr>
        <w:t>e</w:t>
      </w:r>
      <w:r w:rsidRPr="00492771">
        <w:rPr>
          <w:rFonts w:eastAsiaTheme="minorEastAsia" w:cs="Arial"/>
        </w:rPr>
        <w:t xml:space="preserve"> documentation should include an explanation of the steps used to ensure </w:t>
      </w:r>
      <w:r w:rsidR="00584B40">
        <w:rPr>
          <w:rFonts w:eastAsiaTheme="minorEastAsia" w:cs="Arial"/>
        </w:rPr>
        <w:t xml:space="preserve">this </w:t>
      </w:r>
      <w:r w:rsidRPr="00492771">
        <w:rPr>
          <w:rFonts w:eastAsiaTheme="minorEastAsia" w:cs="Arial"/>
        </w:rPr>
        <w:t>note</w:t>
      </w:r>
      <w:r w:rsidR="00584B40">
        <w:rPr>
          <w:rFonts w:eastAsiaTheme="minorEastAsia" w:cs="Arial"/>
        </w:rPr>
        <w:t xml:space="preserve"> was</w:t>
      </w:r>
      <w:r w:rsidRPr="00492771">
        <w:rPr>
          <w:rFonts w:eastAsiaTheme="minorEastAsia" w:cs="Arial"/>
        </w:rPr>
        <w:t xml:space="preserve"> </w:t>
      </w:r>
      <w:r w:rsidR="00584B40">
        <w:rPr>
          <w:rFonts w:eastAsiaTheme="minorEastAsia" w:cs="Arial"/>
        </w:rPr>
        <w:t>implemented</w:t>
      </w:r>
      <w:r w:rsidRPr="00492771">
        <w:rPr>
          <w:rFonts w:eastAsiaTheme="minorEastAsia" w:cs="Arial"/>
        </w:rPr>
        <w:t xml:space="preserve">.  </w:t>
      </w:r>
    </w:p>
    <w:p w14:paraId="531F3DEA" w14:textId="3043766A" w:rsidR="009E56BE" w:rsidRDefault="003A11F6">
      <w:pPr>
        <w:pStyle w:val="ListParagraph"/>
        <w:numPr>
          <w:ilvl w:val="0"/>
          <w:numId w:val="9"/>
        </w:numPr>
      </w:pPr>
      <w:r>
        <w:rPr>
          <w:rFonts w:eastAsiaTheme="minorEastAsia"/>
          <w:iCs/>
        </w:rPr>
        <w:t xml:space="preserve">If simplified version of </w:t>
      </w:r>
      <w:r>
        <w:fldChar w:fldCharType="begin"/>
      </w:r>
      <w:r>
        <w:instrText xml:space="preserve"> REF _Ref147639186 \h </w:instrText>
      </w:r>
      <w:r>
        <w:fldChar w:fldCharType="separate"/>
      </w:r>
      <w:r>
        <w:t xml:space="preserve">Equation </w:t>
      </w:r>
      <w:r>
        <w:rPr>
          <w:noProof/>
        </w:rPr>
        <w:t>9</w:t>
      </w:r>
      <w:r>
        <w:fldChar w:fldCharType="end"/>
      </w:r>
      <w:r>
        <w:t xml:space="preserve"> says it is true, then it is true.  However, if the simplified version of </w:t>
      </w:r>
      <w:r>
        <w:fldChar w:fldCharType="begin"/>
      </w:r>
      <w:r>
        <w:instrText xml:space="preserve"> REF _Ref147639186 \h </w:instrText>
      </w:r>
      <w:r>
        <w:fldChar w:fldCharType="separate"/>
      </w:r>
      <w:r>
        <w:t xml:space="preserve">Equation </w:t>
      </w:r>
      <w:r>
        <w:rPr>
          <w:noProof/>
        </w:rPr>
        <w:t>9</w:t>
      </w:r>
      <w:r>
        <w:fldChar w:fldCharType="end"/>
      </w:r>
      <w:r>
        <w:t xml:space="preserve"> is false, then before concluding </w:t>
      </w:r>
      <w:r w:rsidR="000D774F">
        <w:fldChar w:fldCharType="begin"/>
      </w:r>
      <w:r w:rsidR="000D774F">
        <w:instrText xml:space="preserve"> REF _Ref147639186 \h </w:instrText>
      </w:r>
      <w:r w:rsidR="000D774F">
        <w:fldChar w:fldCharType="separate"/>
      </w:r>
      <w:r w:rsidR="000D774F">
        <w:t xml:space="preserve">Equation </w:t>
      </w:r>
      <w:r w:rsidR="000D774F">
        <w:rPr>
          <w:noProof/>
        </w:rPr>
        <w:t>9</w:t>
      </w:r>
      <w:r w:rsidR="000D774F">
        <w:fldChar w:fldCharType="end"/>
      </w:r>
      <w:r w:rsidR="000D774F">
        <w:t xml:space="preserve"> </w:t>
      </w:r>
      <w:r>
        <w:t xml:space="preserve">is false, try </w:t>
      </w:r>
      <w:r w:rsidR="0085350B" w:rsidRPr="003A11F6">
        <w:rPr>
          <w:rFonts w:eastAsiaTheme="minorEastAsia"/>
          <w:iCs/>
        </w:rPr>
        <w:t xml:space="preserve">reversing the inequality in </w:t>
      </w:r>
      <w:r w:rsidR="0085350B">
        <w:fldChar w:fldCharType="begin"/>
      </w:r>
      <w:r w:rsidR="0085350B">
        <w:instrText xml:space="preserve"> REF _Ref147639186 \h </w:instrText>
      </w:r>
      <w:r w:rsidR="0085350B">
        <w:fldChar w:fldCharType="separate"/>
      </w:r>
      <w:r w:rsidR="0085350B">
        <w:t xml:space="preserve">Equation </w:t>
      </w:r>
      <w:r w:rsidR="0085350B">
        <w:rPr>
          <w:noProof/>
        </w:rPr>
        <w:t>9</w:t>
      </w:r>
      <w:r w:rsidR="0085350B">
        <w:fldChar w:fldCharType="end"/>
      </w:r>
      <w:r w:rsidR="0085350B">
        <w:t xml:space="preserve"> and simplifying the </w:t>
      </w:r>
      <w:r>
        <w:t xml:space="preserve">new </w:t>
      </w:r>
      <w:r w:rsidR="0085350B">
        <w:t>equation</w:t>
      </w:r>
      <w:r w:rsidR="009E56BE">
        <w:t xml:space="preserve">.  If the simplified version of this new equation is true, then you know </w:t>
      </w:r>
      <w:r w:rsidR="009E56BE">
        <w:fldChar w:fldCharType="begin"/>
      </w:r>
      <w:r w:rsidR="009E56BE">
        <w:instrText xml:space="preserve"> REF _Ref147639186 \h </w:instrText>
      </w:r>
      <w:r w:rsidR="009E56BE">
        <w:fldChar w:fldCharType="separate"/>
      </w:r>
      <w:r w:rsidR="009E56BE">
        <w:t xml:space="preserve">Equation </w:t>
      </w:r>
      <w:r w:rsidR="009E56BE">
        <w:rPr>
          <w:noProof/>
        </w:rPr>
        <w:t>9</w:t>
      </w:r>
      <w:r w:rsidR="009E56BE">
        <w:fldChar w:fldCharType="end"/>
      </w:r>
      <w:r w:rsidR="009E56BE">
        <w:t xml:space="preserve"> is false.  </w:t>
      </w:r>
    </w:p>
    <w:p w14:paraId="31457333" w14:textId="4282D90C" w:rsidR="0085350B" w:rsidRDefault="009E56BE" w:rsidP="009E56BE">
      <w:pPr>
        <w:pStyle w:val="ListParagraph"/>
        <w:contextualSpacing w:val="0"/>
      </w:pPr>
      <w:r>
        <w:t xml:space="preserve">However, it is also possible that </w:t>
      </w:r>
      <w:r w:rsidR="0085350B">
        <w:t xml:space="preserve">the simplified </w:t>
      </w:r>
      <w:r>
        <w:t xml:space="preserve">version of this new equation </w:t>
      </w:r>
      <w:r w:rsidR="0085350B">
        <w:t xml:space="preserve">will be false again.  This would indicate that </w:t>
      </w:r>
      <w:r w:rsidR="0085350B">
        <w:fldChar w:fldCharType="begin"/>
      </w:r>
      <w:r w:rsidR="0085350B">
        <w:instrText xml:space="preserve"> REF _Ref147639186 \h </w:instrText>
      </w:r>
      <w:r w:rsidR="0085350B">
        <w:fldChar w:fldCharType="separate"/>
      </w:r>
      <w:r w:rsidR="0085350B">
        <w:t xml:space="preserve">Equation </w:t>
      </w:r>
      <w:r w:rsidR="0085350B">
        <w:rPr>
          <w:noProof/>
        </w:rPr>
        <w:t>9</w:t>
      </w:r>
      <w:r w:rsidR="0085350B">
        <w:fldChar w:fldCharType="end"/>
      </w:r>
      <w:r w:rsidR="0085350B">
        <w:t xml:space="preserve"> is roughly equal and the following three steps should be taken, in order, to determine whether </w:t>
      </w:r>
      <w:r w:rsidR="0085350B">
        <w:fldChar w:fldCharType="begin"/>
      </w:r>
      <w:r w:rsidR="0085350B">
        <w:instrText xml:space="preserve"> REF _Ref147639186 \h </w:instrText>
      </w:r>
      <w:r w:rsidR="0085350B">
        <w:fldChar w:fldCharType="separate"/>
      </w:r>
      <w:r w:rsidR="0085350B">
        <w:t xml:space="preserve">Equation </w:t>
      </w:r>
      <w:r w:rsidR="0085350B">
        <w:rPr>
          <w:noProof/>
        </w:rPr>
        <w:t>9</w:t>
      </w:r>
      <w:r w:rsidR="0085350B">
        <w:fldChar w:fldCharType="end"/>
      </w:r>
      <w:r w:rsidR="0085350B">
        <w:t xml:space="preserve">  is true: </w:t>
      </w:r>
    </w:p>
    <w:p w14:paraId="5A2E4C98" w14:textId="77D88D75" w:rsidR="009E56BE" w:rsidRDefault="0085350B">
      <w:pPr>
        <w:pStyle w:val="ListParagraph"/>
        <w:numPr>
          <w:ilvl w:val="1"/>
          <w:numId w:val="9"/>
        </w:numPr>
        <w:autoSpaceDE w:val="0"/>
        <w:spacing w:line="240" w:lineRule="auto"/>
        <w:contextualSpacing w:val="0"/>
        <w:jc w:val="both"/>
      </w:pPr>
      <w:r>
        <w:t xml:space="preserve">There are many ways to </w:t>
      </w:r>
      <w:r w:rsidR="00663D9B">
        <w:t xml:space="preserve">create and </w:t>
      </w:r>
      <w:r>
        <w:t xml:space="preserve">simplify </w:t>
      </w:r>
      <w:r>
        <w:fldChar w:fldCharType="begin"/>
      </w:r>
      <w:r>
        <w:instrText xml:space="preserve"> REF _Ref147639186 \h </w:instrText>
      </w:r>
      <w:r>
        <w:fldChar w:fldCharType="separate"/>
      </w:r>
      <w:r>
        <w:t xml:space="preserve">Equation </w:t>
      </w:r>
      <w:r>
        <w:rPr>
          <w:noProof/>
        </w:rPr>
        <w:t>9</w:t>
      </w:r>
      <w:r>
        <w:fldChar w:fldCharType="end"/>
      </w:r>
      <w:r>
        <w:t xml:space="preserve">, so </w:t>
      </w:r>
      <w:r w:rsidR="00663D9B">
        <w:t xml:space="preserve">review the process of populating </w:t>
      </w:r>
      <w:r w:rsidR="00663D9B">
        <w:fldChar w:fldCharType="begin"/>
      </w:r>
      <w:r w:rsidR="00663D9B">
        <w:instrText xml:space="preserve"> REF _Ref147639186 \h </w:instrText>
      </w:r>
      <w:r w:rsidR="00663D9B">
        <w:fldChar w:fldCharType="separate"/>
      </w:r>
      <w:r w:rsidR="00663D9B">
        <w:t xml:space="preserve">Equation </w:t>
      </w:r>
      <w:r w:rsidR="00663D9B">
        <w:rPr>
          <w:noProof/>
        </w:rPr>
        <w:t>9</w:t>
      </w:r>
      <w:r w:rsidR="00663D9B">
        <w:fldChar w:fldCharType="end"/>
      </w:r>
      <w:r w:rsidR="00663D9B">
        <w:t xml:space="preserve"> for any opportunities to improve how the benefits and risks are represented, and, when simplifying </w:t>
      </w:r>
      <w:r w:rsidR="00663D9B">
        <w:fldChar w:fldCharType="begin"/>
      </w:r>
      <w:r w:rsidR="00663D9B">
        <w:instrText xml:space="preserve"> REF _Ref147639186 \h </w:instrText>
      </w:r>
      <w:r w:rsidR="00663D9B">
        <w:fldChar w:fldCharType="separate"/>
      </w:r>
      <w:r w:rsidR="00663D9B">
        <w:t xml:space="preserve">Equation </w:t>
      </w:r>
      <w:r w:rsidR="00663D9B">
        <w:rPr>
          <w:noProof/>
        </w:rPr>
        <w:t>9</w:t>
      </w:r>
      <w:r w:rsidR="00663D9B">
        <w:fldChar w:fldCharType="end"/>
      </w:r>
      <w:r w:rsidR="00663D9B">
        <w:t xml:space="preserve">, </w:t>
      </w:r>
      <w:r>
        <w:t xml:space="preserve">try different sequences </w:t>
      </w:r>
      <w:r w:rsidR="00663D9B">
        <w:t xml:space="preserve">that might better maintain the amount of inequality between each side of </w:t>
      </w:r>
      <w:r w:rsidR="00663D9B">
        <w:fldChar w:fldCharType="begin"/>
      </w:r>
      <w:r w:rsidR="00663D9B">
        <w:instrText xml:space="preserve"> REF _Ref147639186 \h </w:instrText>
      </w:r>
      <w:r w:rsidR="00663D9B">
        <w:fldChar w:fldCharType="separate"/>
      </w:r>
      <w:r w:rsidR="00663D9B">
        <w:t xml:space="preserve">Equation </w:t>
      </w:r>
      <w:r w:rsidR="00663D9B">
        <w:rPr>
          <w:noProof/>
        </w:rPr>
        <w:t>9</w:t>
      </w:r>
      <w:r w:rsidR="00663D9B">
        <w:fldChar w:fldCharType="end"/>
      </w:r>
      <w:r>
        <w:t xml:space="preserve">.  </w:t>
      </w:r>
    </w:p>
    <w:p w14:paraId="3D98255E" w14:textId="5CEED7BD" w:rsidR="0085350B" w:rsidRDefault="0085350B">
      <w:pPr>
        <w:pStyle w:val="ListParagraph"/>
        <w:numPr>
          <w:ilvl w:val="1"/>
          <w:numId w:val="9"/>
        </w:numPr>
        <w:autoSpaceDE w:val="0"/>
        <w:spacing w:line="240" w:lineRule="auto"/>
        <w:contextualSpacing w:val="0"/>
        <w:jc w:val="both"/>
      </w:pPr>
      <w:r>
        <w:t xml:space="preserve">There will be instances where </w:t>
      </w:r>
      <w:r>
        <w:fldChar w:fldCharType="begin"/>
      </w:r>
      <w:r>
        <w:instrText xml:space="preserve"> REF _Ref147639186 \h </w:instrText>
      </w:r>
      <w:r>
        <w:fldChar w:fldCharType="separate"/>
      </w:r>
      <w:r>
        <w:t xml:space="preserve">Equation </w:t>
      </w:r>
      <w:r>
        <w:rPr>
          <w:noProof/>
        </w:rPr>
        <w:t>9</w:t>
      </w:r>
      <w:r>
        <w:fldChar w:fldCharType="end"/>
      </w:r>
      <w:r>
        <w:t xml:space="preserve"> is so close to an equality that none of these techniques will be able to resolve for certain whether </w:t>
      </w:r>
      <w:r>
        <w:fldChar w:fldCharType="begin"/>
      </w:r>
      <w:r>
        <w:instrText xml:space="preserve"> REF _Ref147639186 \h </w:instrText>
      </w:r>
      <w:r>
        <w:fldChar w:fldCharType="separate"/>
      </w:r>
      <w:r>
        <w:t xml:space="preserve">Equation </w:t>
      </w:r>
      <w:r>
        <w:rPr>
          <w:noProof/>
        </w:rPr>
        <w:t>9</w:t>
      </w:r>
      <w:r>
        <w:fldChar w:fldCharType="end"/>
      </w:r>
      <w:r>
        <w:t xml:space="preserve"> is true or not.  In this case, the </w:t>
      </w:r>
      <w:r w:rsidR="00663D9B">
        <w:t>cross-functional team</w:t>
      </w:r>
      <w:r>
        <w:t xml:space="preserve"> will need to select when the process of simplifying </w:t>
      </w:r>
      <w:r>
        <w:fldChar w:fldCharType="begin"/>
      </w:r>
      <w:r>
        <w:instrText xml:space="preserve"> REF _Ref147639186 \h </w:instrText>
      </w:r>
      <w:r>
        <w:fldChar w:fldCharType="separate"/>
      </w:r>
      <w:r>
        <w:t xml:space="preserve">Equation </w:t>
      </w:r>
      <w:r>
        <w:rPr>
          <w:noProof/>
        </w:rPr>
        <w:t>9</w:t>
      </w:r>
      <w:r>
        <w:fldChar w:fldCharType="end"/>
      </w:r>
      <w:r>
        <w:t xml:space="preserve"> will stop.  This same group will then need to either: </w:t>
      </w:r>
    </w:p>
    <w:p w14:paraId="10DE4A4A" w14:textId="77777777" w:rsidR="0085350B" w:rsidRDefault="0085350B">
      <w:pPr>
        <w:pStyle w:val="ListParagraph"/>
        <w:numPr>
          <w:ilvl w:val="2"/>
          <w:numId w:val="9"/>
        </w:numPr>
      </w:pPr>
      <w:r>
        <w:t xml:space="preserve">Use their intuition to interpret whether the simplified </w:t>
      </w:r>
      <w:r>
        <w:fldChar w:fldCharType="begin"/>
      </w:r>
      <w:r>
        <w:instrText xml:space="preserve"> REF _Ref147639186 \h </w:instrText>
      </w:r>
      <w:r>
        <w:fldChar w:fldCharType="separate"/>
      </w:r>
      <w:r>
        <w:t xml:space="preserve">Equation </w:t>
      </w:r>
      <w:r>
        <w:rPr>
          <w:noProof/>
        </w:rPr>
        <w:t>9</w:t>
      </w:r>
      <w:r>
        <w:fldChar w:fldCharType="end"/>
      </w:r>
      <w:r>
        <w:t xml:space="preserve"> (or the simplified </w:t>
      </w:r>
      <w:r>
        <w:fldChar w:fldCharType="begin"/>
      </w:r>
      <w:r>
        <w:instrText xml:space="preserve"> REF _Ref147639186 \h </w:instrText>
      </w:r>
      <w:r>
        <w:fldChar w:fldCharType="separate"/>
      </w:r>
      <w:r>
        <w:t xml:space="preserve">Equation </w:t>
      </w:r>
      <w:r>
        <w:rPr>
          <w:noProof/>
        </w:rPr>
        <w:t>9</w:t>
      </w:r>
      <w:r>
        <w:fldChar w:fldCharType="end"/>
      </w:r>
      <w:r>
        <w:t xml:space="preserve"> with the inequality reversed) is true or not, or </w:t>
      </w:r>
    </w:p>
    <w:p w14:paraId="3AD4A2C5" w14:textId="77777777" w:rsidR="0085350B" w:rsidRDefault="0085350B">
      <w:pPr>
        <w:pStyle w:val="ListParagraph"/>
        <w:numPr>
          <w:ilvl w:val="2"/>
          <w:numId w:val="9"/>
        </w:numPr>
      </w:pPr>
      <w:r>
        <w:t xml:space="preserve">Decide that </w:t>
      </w:r>
      <w:r>
        <w:fldChar w:fldCharType="begin"/>
      </w:r>
      <w:r>
        <w:instrText xml:space="preserve"> REF _Ref147639186 \h </w:instrText>
      </w:r>
      <w:r>
        <w:fldChar w:fldCharType="separate"/>
      </w:r>
      <w:r>
        <w:t xml:space="preserve">Equation </w:t>
      </w:r>
      <w:r>
        <w:rPr>
          <w:noProof/>
        </w:rPr>
        <w:t>9</w:t>
      </w:r>
      <w:r>
        <w:fldChar w:fldCharType="end"/>
      </w:r>
      <w:r>
        <w:t xml:space="preserve"> is sufficiently close to an equality that the </w:t>
      </w:r>
      <w:r>
        <w:fldChar w:fldCharType="begin"/>
      </w:r>
      <w:r>
        <w:instrText xml:space="preserve"> REF _Ref147639186 \h </w:instrText>
      </w:r>
      <w:r>
        <w:fldChar w:fldCharType="separate"/>
      </w:r>
      <w:r>
        <w:t xml:space="preserve">Equation </w:t>
      </w:r>
      <w:r>
        <w:rPr>
          <w:noProof/>
        </w:rPr>
        <w:t>9</w:t>
      </w:r>
      <w:r>
        <w:fldChar w:fldCharType="end"/>
      </w:r>
      <w:r>
        <w:t xml:space="preserve"> is false. </w:t>
      </w:r>
    </w:p>
    <w:p w14:paraId="073643DB" w14:textId="5F1E27BF" w:rsidR="00CD55F1" w:rsidRPr="00663D9B" w:rsidRDefault="00663D9B" w:rsidP="00663D9B">
      <w:pPr>
        <w:pStyle w:val="ListParagraph"/>
      </w:pPr>
      <w:r>
        <w:t xml:space="preserve">These steps would be captured in the </w:t>
      </w:r>
      <w:r w:rsidR="00EC42E0">
        <w:t>Benefit-Risk</w:t>
      </w:r>
      <w:r>
        <w:t xml:space="preserve"> Analysis documentation.</w:t>
      </w:r>
      <w:bookmarkEnd w:id="50"/>
      <w:r w:rsidR="00CD55F1" w:rsidRPr="00663D9B">
        <w:rPr>
          <w:rFonts w:eastAsiaTheme="minorEastAsia" w:cs="Arial"/>
        </w:rPr>
        <w:t xml:space="preserve"> </w:t>
      </w:r>
    </w:p>
    <w:p w14:paraId="1A97F759" w14:textId="77777777" w:rsidR="0096155F" w:rsidRDefault="0096155F">
      <w:pPr>
        <w:rPr>
          <w:b/>
          <w:bCs/>
          <w:sz w:val="32"/>
          <w:szCs w:val="32"/>
          <w:u w:val="single"/>
        </w:rPr>
        <w:sectPr w:rsidR="0096155F" w:rsidSect="008F1C32">
          <w:pgSz w:w="12240" w:h="15840" w:code="1"/>
          <w:pgMar w:top="1296" w:right="1440" w:bottom="1296" w:left="1440" w:header="720" w:footer="720" w:gutter="0"/>
          <w:cols w:space="720"/>
          <w:docGrid w:linePitch="360"/>
        </w:sectPr>
      </w:pPr>
    </w:p>
    <w:p w14:paraId="676EB682" w14:textId="06696297" w:rsidR="00CD55F1" w:rsidRDefault="00AD69A2" w:rsidP="00CB3939">
      <w:pPr>
        <w:pStyle w:val="Heading1"/>
        <w:jc w:val="center"/>
        <w:rPr>
          <w:b/>
          <w:bCs/>
          <w:u w:val="single"/>
        </w:rPr>
      </w:pPr>
      <w:bookmarkStart w:id="86" w:name="_Toc156728656"/>
      <w:r w:rsidRPr="00B25A88">
        <w:rPr>
          <w:b/>
          <w:bCs/>
          <w:sz w:val="36"/>
          <w:szCs w:val="36"/>
          <w:u w:val="single"/>
        </w:rPr>
        <w:lastRenderedPageBreak/>
        <w:t xml:space="preserve">Attachment </w:t>
      </w:r>
      <w:r w:rsidR="00CD55F1" w:rsidRPr="00B25A88">
        <w:rPr>
          <w:b/>
          <w:bCs/>
          <w:sz w:val="36"/>
          <w:szCs w:val="36"/>
          <w:u w:val="single"/>
        </w:rPr>
        <w:t>B</w:t>
      </w:r>
      <w:r w:rsidR="00D05351">
        <w:rPr>
          <w:b/>
          <w:bCs/>
          <w:sz w:val="36"/>
          <w:szCs w:val="36"/>
          <w:u w:val="single"/>
        </w:rPr>
        <w:t xml:space="preserve"> </w:t>
      </w:r>
      <w:r w:rsidR="00CB3939">
        <w:rPr>
          <w:b/>
          <w:bCs/>
          <w:sz w:val="36"/>
          <w:szCs w:val="36"/>
          <w:u w:val="single"/>
        </w:rPr>
        <w:t>–</w:t>
      </w:r>
      <w:r w:rsidR="00D05351">
        <w:rPr>
          <w:b/>
          <w:bCs/>
          <w:sz w:val="36"/>
          <w:szCs w:val="36"/>
          <w:u w:val="single"/>
        </w:rPr>
        <w:t xml:space="preserve"> </w:t>
      </w:r>
      <w:r w:rsidR="00CB3939">
        <w:rPr>
          <w:b/>
          <w:bCs/>
          <w:sz w:val="36"/>
          <w:szCs w:val="36"/>
          <w:u w:val="single"/>
        </w:rPr>
        <w:t xml:space="preserve">Practical Examples </w:t>
      </w:r>
      <w:r w:rsidR="00F374C1">
        <w:rPr>
          <w:b/>
          <w:bCs/>
          <w:sz w:val="36"/>
          <w:szCs w:val="36"/>
          <w:u w:val="single"/>
        </w:rPr>
        <w:t xml:space="preserve">of </w:t>
      </w:r>
      <w:r w:rsidR="00A713DE" w:rsidRPr="00B25A88">
        <w:rPr>
          <w:b/>
          <w:bCs/>
          <w:sz w:val="36"/>
          <w:szCs w:val="36"/>
          <w:u w:val="single"/>
        </w:rPr>
        <w:t xml:space="preserve">Benefit </w:t>
      </w:r>
      <w:r w:rsidR="00F374C1">
        <w:rPr>
          <w:b/>
          <w:bCs/>
          <w:sz w:val="36"/>
          <w:szCs w:val="36"/>
          <w:u w:val="single"/>
        </w:rPr>
        <w:t>/</w:t>
      </w:r>
      <w:r w:rsidR="00A713DE" w:rsidRPr="00B25A88">
        <w:rPr>
          <w:b/>
          <w:bCs/>
          <w:sz w:val="36"/>
          <w:szCs w:val="36"/>
          <w:u w:val="single"/>
        </w:rPr>
        <w:t xml:space="preserve"> Ris</w:t>
      </w:r>
      <w:r w:rsidR="00F374C1">
        <w:rPr>
          <w:b/>
          <w:bCs/>
          <w:sz w:val="36"/>
          <w:szCs w:val="36"/>
          <w:u w:val="single"/>
        </w:rPr>
        <w:t>k Analysis</w:t>
      </w:r>
      <w:bookmarkEnd w:id="86"/>
    </w:p>
    <w:p w14:paraId="694C1799" w14:textId="77777777" w:rsidR="002B41E0" w:rsidRDefault="002B41E0" w:rsidP="004627E1"/>
    <w:p w14:paraId="2DB7078F" w14:textId="7E53CD09" w:rsidR="008804A4" w:rsidRDefault="008804A4" w:rsidP="00CB3939">
      <w:pPr>
        <w:pStyle w:val="Heading2"/>
      </w:pPr>
      <w:bookmarkStart w:id="87" w:name="_Toc156728657"/>
      <w:r>
        <w:rPr>
          <w:rFonts w:eastAsia="TimesNewRomanPSMT" w:cs="TimesNewRomanPSMT"/>
          <w:b/>
          <w:color w:val="000000"/>
          <w:u w:val="single"/>
        </w:rPr>
        <w:t>Overview</w:t>
      </w:r>
      <w:bookmarkEnd w:id="87"/>
    </w:p>
    <w:p w14:paraId="22F07998" w14:textId="76FEA098" w:rsidR="00E33E66" w:rsidRDefault="007325C7" w:rsidP="002B41E0">
      <w:r>
        <w:t xml:space="preserve">This attachment contains </w:t>
      </w:r>
      <w:r w:rsidR="00E33E66">
        <w:t>two examples of this paper’s method</w:t>
      </w:r>
      <w:r w:rsidR="008804A4">
        <w:t xml:space="preserve"> to determine whether a medical procedure’s benefit exceeds its risk</w:t>
      </w:r>
      <w:r w:rsidR="00E33E66">
        <w:t xml:space="preserve">:  </w:t>
      </w:r>
    </w:p>
    <w:p w14:paraId="76FEF54F" w14:textId="5F49AE8A" w:rsidR="00E33E66" w:rsidRDefault="00E33E66">
      <w:pPr>
        <w:pStyle w:val="ListParagraph"/>
        <w:numPr>
          <w:ilvl w:val="0"/>
          <w:numId w:val="29"/>
        </w:numPr>
      </w:pPr>
      <w:r>
        <w:t xml:space="preserve">In the first example, the paper’s method shows that the procedure’s benefit exceeds the risk for a patient population. </w:t>
      </w:r>
    </w:p>
    <w:p w14:paraId="6FFB2CFD" w14:textId="258A73F7" w:rsidR="00802CC8" w:rsidRDefault="00E33E66">
      <w:pPr>
        <w:pStyle w:val="ListParagraph"/>
        <w:numPr>
          <w:ilvl w:val="0"/>
          <w:numId w:val="29"/>
        </w:numPr>
      </w:pPr>
      <w:r>
        <w:t xml:space="preserve">In the second example, the paper’s method shows that the same procedure’s risk exceeds the benefit for a different patient population. </w:t>
      </w:r>
    </w:p>
    <w:p w14:paraId="0E377481" w14:textId="2F4B8BF0" w:rsidR="00E33E66" w:rsidRDefault="00E33E66" w:rsidP="00E33E66">
      <w:r>
        <w:t xml:space="preserve">In addition to demonstrating the method’s equal ability to determine both that ‘benefit exceeds risk’ and that ‘risk exceeds benefit’, these examples also highlight the importance of the patient population to the result of a </w:t>
      </w:r>
      <w:r w:rsidR="00EC42E0">
        <w:t>Benefit-Risk</w:t>
      </w:r>
      <w:r>
        <w:t xml:space="preserve"> analysis. </w:t>
      </w:r>
    </w:p>
    <w:p w14:paraId="0DE0DB4C" w14:textId="77777777" w:rsidR="008804A4" w:rsidRDefault="008804A4" w:rsidP="00AA2310">
      <w:pPr>
        <w:spacing w:after="0" w:line="240" w:lineRule="auto"/>
      </w:pPr>
    </w:p>
    <w:p w14:paraId="0A9B2456" w14:textId="6D708294" w:rsidR="008804A4" w:rsidRDefault="008804A4" w:rsidP="00CB3939">
      <w:pPr>
        <w:pStyle w:val="Heading2"/>
      </w:pPr>
      <w:bookmarkStart w:id="88" w:name="_Toc156728658"/>
      <w:r>
        <w:rPr>
          <w:rFonts w:eastAsia="TimesNewRomanPSMT" w:cs="TimesNewRomanPSMT"/>
          <w:b/>
          <w:color w:val="000000"/>
          <w:u w:val="single"/>
        </w:rPr>
        <w:t>Application Steps</w:t>
      </w:r>
      <w:bookmarkEnd w:id="88"/>
    </w:p>
    <w:p w14:paraId="66D19FE6" w14:textId="27FED04C" w:rsidR="008804A4" w:rsidRDefault="008804A4" w:rsidP="004627E1">
      <w:r>
        <w:t xml:space="preserve">To determine whether a medical treatment’s benefits </w:t>
      </w:r>
      <w:r w:rsidR="0004207C">
        <w:t>exceed</w:t>
      </w:r>
      <w:r>
        <w:t xml:space="preserve"> its risks: </w:t>
      </w:r>
    </w:p>
    <w:p w14:paraId="63EFCF22" w14:textId="020E31E2" w:rsidR="002B41E0" w:rsidRDefault="008804A4">
      <w:pPr>
        <w:pStyle w:val="ListParagraph"/>
        <w:numPr>
          <w:ilvl w:val="0"/>
          <w:numId w:val="13"/>
        </w:numPr>
      </w:pPr>
      <w:r>
        <w:t xml:space="preserve">Define the medical treatment and patient population. </w:t>
      </w:r>
    </w:p>
    <w:p w14:paraId="376F63BD" w14:textId="547A73D9" w:rsidR="00B13FD4" w:rsidRDefault="00B13FD4">
      <w:pPr>
        <w:pStyle w:val="ListParagraph"/>
        <w:numPr>
          <w:ilvl w:val="1"/>
          <w:numId w:val="13"/>
        </w:numPr>
      </w:pPr>
      <w:r>
        <w:t xml:space="preserve">Make sure the treatment options are broken down enough that there is only one </w:t>
      </w:r>
      <w:r w:rsidR="00EC42E0">
        <w:t>Benefit-Risk</w:t>
      </w:r>
      <w:r>
        <w:t xml:space="preserve"> decision being analyzed. </w:t>
      </w:r>
    </w:p>
    <w:p w14:paraId="0F90FC2A" w14:textId="08EDE73B" w:rsidR="00B13FD4" w:rsidRDefault="00B13FD4">
      <w:pPr>
        <w:pStyle w:val="ListParagraph"/>
        <w:numPr>
          <w:ilvl w:val="1"/>
          <w:numId w:val="13"/>
        </w:numPr>
        <w:spacing w:after="0"/>
        <w:contextualSpacing w:val="0"/>
      </w:pPr>
      <w:r>
        <w:t xml:space="preserve">Make sure the patient population is clear, as the risks vary significantly with the population. </w:t>
      </w:r>
    </w:p>
    <w:p w14:paraId="0D3DEA6A" w14:textId="400E271E" w:rsidR="008804A4" w:rsidRDefault="008804A4">
      <w:pPr>
        <w:pStyle w:val="ListParagraph"/>
        <w:numPr>
          <w:ilvl w:val="0"/>
          <w:numId w:val="13"/>
        </w:numPr>
        <w:spacing w:before="160" w:after="0"/>
        <w:contextualSpacing w:val="0"/>
      </w:pPr>
      <w:r>
        <w:t xml:space="preserve">Identify the cross-functional team that will perform the </w:t>
      </w:r>
      <w:r w:rsidR="00EC42E0">
        <w:t>Benefit-Risk</w:t>
      </w:r>
      <w:r w:rsidR="00B13FD4">
        <w:t xml:space="preserve"> </w:t>
      </w:r>
      <w:r>
        <w:t xml:space="preserve">analysis. </w:t>
      </w:r>
    </w:p>
    <w:p w14:paraId="33180426" w14:textId="427BC124" w:rsidR="00B13FD4" w:rsidRDefault="00B13FD4">
      <w:pPr>
        <w:pStyle w:val="ListParagraph"/>
        <w:numPr>
          <w:ilvl w:val="1"/>
          <w:numId w:val="13"/>
        </w:numPr>
        <w:spacing w:after="0"/>
        <w:contextualSpacing w:val="0"/>
      </w:pPr>
      <w:r>
        <w:t xml:space="preserve">The validity of the analysis is built on the depth and breadth of team members’ expertise.  Choose team members with the depth of knowledge necessary to understand the purpose and risks of applying the medical treatment to the patient population.  Choose the variety of team members to cover all of the risks because no one person will have the depth of knowledge needed for all risks. </w:t>
      </w:r>
    </w:p>
    <w:p w14:paraId="43834512" w14:textId="42ABAECB" w:rsidR="008804A4" w:rsidRPr="00B13FD4" w:rsidRDefault="008804A4">
      <w:pPr>
        <w:pStyle w:val="ListParagraph"/>
        <w:numPr>
          <w:ilvl w:val="0"/>
          <w:numId w:val="13"/>
        </w:numPr>
        <w:spacing w:before="160" w:after="0"/>
        <w:contextualSpacing w:val="0"/>
      </w:pPr>
      <w:r>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Pr>
          <w:rFonts w:eastAsiaTheme="minorEastAsia"/>
        </w:rPr>
        <w:t xml:space="preserve">. </w:t>
      </w:r>
    </w:p>
    <w:p w14:paraId="721B631C" w14:textId="51A0B581" w:rsidR="0004207C" w:rsidRPr="0004207C" w:rsidRDefault="0004207C">
      <w:pPr>
        <w:pStyle w:val="ListParagraph"/>
        <w:numPr>
          <w:ilvl w:val="1"/>
          <w:numId w:val="13"/>
        </w:numPr>
      </w:pPr>
      <w:r>
        <w:rPr>
          <w:rFonts w:eastAsiaTheme="minorEastAsia"/>
        </w:rPr>
        <w:t xml:space="preserve">This is the core of the method.  </w:t>
      </w:r>
      <w:r w:rsidR="00B13FD4">
        <w:rPr>
          <w:rFonts w:eastAsiaTheme="minorEastAsia"/>
        </w:rPr>
        <w:t>Use</w:t>
      </w:r>
      <w:r>
        <w:rPr>
          <w:rFonts w:eastAsiaTheme="minorEastAsia"/>
        </w:rPr>
        <w:t xml:space="preserve"> the: </w:t>
      </w:r>
    </w:p>
    <w:p w14:paraId="08FEB993" w14:textId="14CCB78B" w:rsidR="0004207C" w:rsidRPr="0004207C" w:rsidRDefault="0004207C">
      <w:pPr>
        <w:pStyle w:val="ListParagraph"/>
        <w:numPr>
          <w:ilvl w:val="2"/>
          <w:numId w:val="13"/>
        </w:numPr>
      </w:pPr>
      <w:r>
        <w:rPr>
          <w:rFonts w:eastAsiaTheme="minorEastAsia"/>
        </w:rPr>
        <w:t xml:space="preserve">definitions of </w:t>
      </w:r>
      <w:r>
        <w:t xml:space="preserve">in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Pr="00AB7CC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AB7CCA">
        <w:rPr>
          <w:rFonts w:eastAsiaTheme="minorEastAsia"/>
        </w:rPr>
        <w:t xml:space="preserve">, and </w:t>
      </w:r>
      <m:oMath>
        <m:r>
          <w:rPr>
            <w:rFonts w:ascii="Cambria Math" w:eastAsiaTheme="minorEastAsia" w:hAnsi="Cambria Math"/>
          </w:rPr>
          <m:t>R</m:t>
        </m:r>
      </m:oMath>
      <w:r>
        <w:rPr>
          <w:rFonts w:eastAsiaTheme="minorEastAsia"/>
        </w:rPr>
        <w:t xml:space="preserve"> (in footnotes </w:t>
      </w:r>
      <w:r>
        <w:rPr>
          <w:rFonts w:eastAsiaTheme="minorEastAsia"/>
        </w:rPr>
        <w:fldChar w:fldCharType="begin"/>
      </w:r>
      <w:r>
        <w:rPr>
          <w:rFonts w:eastAsiaTheme="minorEastAsia"/>
        </w:rPr>
        <w:instrText xml:space="preserve"> NOTEREF _Ref147412363 \h </w:instrText>
      </w:r>
      <w:r>
        <w:rPr>
          <w:rFonts w:eastAsiaTheme="minorEastAsia"/>
        </w:rPr>
      </w:r>
      <w:r>
        <w:rPr>
          <w:rFonts w:eastAsiaTheme="minorEastAsia"/>
        </w:rPr>
        <w:fldChar w:fldCharType="separate"/>
      </w:r>
      <w:r w:rsidR="001E41EA">
        <w:rPr>
          <w:rFonts w:eastAsiaTheme="minorEastAsia"/>
        </w:rPr>
        <w:t>20</w:t>
      </w:r>
      <w:r>
        <w:rPr>
          <w:rFonts w:eastAsiaTheme="minorEastAsia"/>
        </w:rPr>
        <w:fldChar w:fldCharType="end"/>
      </w:r>
      <w:r>
        <w:rPr>
          <w:rFonts w:eastAsiaTheme="minorEastAsia"/>
        </w:rPr>
        <w:t xml:space="preserve">, </w:t>
      </w:r>
      <w:r>
        <w:rPr>
          <w:rFonts w:eastAsiaTheme="minorEastAsia"/>
        </w:rPr>
        <w:fldChar w:fldCharType="begin"/>
      </w:r>
      <w:r>
        <w:rPr>
          <w:rFonts w:eastAsiaTheme="minorEastAsia"/>
        </w:rPr>
        <w:instrText xml:space="preserve"> NOTEREF _Ref147987696 \h </w:instrText>
      </w:r>
      <w:r>
        <w:rPr>
          <w:rFonts w:eastAsiaTheme="minorEastAsia"/>
        </w:rPr>
      </w:r>
      <w:r>
        <w:rPr>
          <w:rFonts w:eastAsiaTheme="minorEastAsia"/>
        </w:rPr>
        <w:fldChar w:fldCharType="separate"/>
      </w:r>
      <w:r w:rsidR="001E41EA">
        <w:rPr>
          <w:rFonts w:eastAsiaTheme="minorEastAsia"/>
        </w:rPr>
        <w:t>21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NOTEREF _Ref147987699 \h </w:instrText>
      </w:r>
      <w:r>
        <w:rPr>
          <w:rFonts w:eastAsiaTheme="minorEastAsia"/>
        </w:rPr>
      </w:r>
      <w:r>
        <w:rPr>
          <w:rFonts w:eastAsiaTheme="minorEastAsia"/>
        </w:rPr>
        <w:fldChar w:fldCharType="separate"/>
      </w:r>
      <w:r w:rsidR="001E41EA">
        <w:rPr>
          <w:rFonts w:eastAsiaTheme="minorEastAsia"/>
        </w:rPr>
        <w:t>22</w:t>
      </w:r>
      <w:r>
        <w:rPr>
          <w:rFonts w:eastAsiaTheme="minorEastAsia"/>
        </w:rPr>
        <w:fldChar w:fldCharType="end"/>
      </w:r>
      <w:r>
        <w:rPr>
          <w:rFonts w:eastAsiaTheme="minorEastAsia"/>
        </w:rPr>
        <w:t xml:space="preserve">, respectively), </w:t>
      </w:r>
    </w:p>
    <w:p w14:paraId="6FF277CF" w14:textId="77777777" w:rsidR="0004207C" w:rsidRPr="0004207C" w:rsidRDefault="00B13FD4">
      <w:pPr>
        <w:pStyle w:val="ListParagraph"/>
        <w:numPr>
          <w:ilvl w:val="2"/>
          <w:numId w:val="13"/>
        </w:numPr>
      </w:pPr>
      <w:r>
        <w:rPr>
          <w:rFonts w:eastAsiaTheme="minorEastAsia"/>
        </w:rPr>
        <w:t>team’s chosen risk metric</w:t>
      </w:r>
      <w:r w:rsidR="0004207C">
        <w:rPr>
          <w:rFonts w:eastAsiaTheme="minorEastAsia"/>
        </w:rPr>
        <w:t xml:space="preserve">, </w:t>
      </w:r>
    </w:p>
    <w:p w14:paraId="3312812A" w14:textId="77777777" w:rsidR="0004207C" w:rsidRPr="0004207C" w:rsidRDefault="0004207C">
      <w:pPr>
        <w:pStyle w:val="ListParagraph"/>
        <w:numPr>
          <w:ilvl w:val="2"/>
          <w:numId w:val="13"/>
        </w:numPr>
      </w:pPr>
      <w:r>
        <w:rPr>
          <w:rFonts w:eastAsiaTheme="minorEastAsia"/>
        </w:rPr>
        <w:t xml:space="preserve">team’s expertise to identify the risks in </w:t>
      </w:r>
      <w:r>
        <w:t xml:space="preserve">in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Pr="00AB7CC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AB7CCA">
        <w:rPr>
          <w:rFonts w:eastAsiaTheme="minorEastAsia"/>
        </w:rPr>
        <w:t xml:space="preserve">, and </w:t>
      </w:r>
      <m:oMath>
        <m:r>
          <w:rPr>
            <w:rFonts w:ascii="Cambria Math" w:eastAsiaTheme="minorEastAsia" w:hAnsi="Cambria Math"/>
          </w:rPr>
          <m:t>R</m:t>
        </m:r>
      </m:oMath>
      <w:r>
        <w:rPr>
          <w:rFonts w:eastAsiaTheme="minorEastAsia"/>
        </w:rPr>
        <w:t xml:space="preserve">, </w:t>
      </w:r>
    </w:p>
    <w:p w14:paraId="21B215E4" w14:textId="05E56D2B" w:rsidR="00B13FD4" w:rsidRPr="008804A4" w:rsidRDefault="0004207C" w:rsidP="00E639E0">
      <w:pPr>
        <w:pStyle w:val="ListParagraph"/>
        <w:spacing w:after="0"/>
        <w:contextualSpacing w:val="0"/>
      </w:pPr>
      <w:r>
        <w:rPr>
          <w:rFonts w:eastAsiaTheme="minorEastAsia"/>
        </w:rPr>
        <w:t xml:space="preserve">and populate the </w:t>
      </w:r>
      <w:r w:rsidR="00902DDE">
        <w:rPr>
          <w:rFonts w:eastAsiaTheme="minorEastAsia"/>
        </w:rPr>
        <w:t xml:space="preserve">three </w:t>
      </w:r>
      <w:r>
        <w:rPr>
          <w:rFonts w:eastAsiaTheme="minorEastAsia"/>
        </w:rPr>
        <w:t xml:space="preserve">tables with the identified risks. </w:t>
      </w:r>
    </w:p>
    <w:p w14:paraId="51C80ABD" w14:textId="4F1DAA44" w:rsidR="008804A4" w:rsidRPr="00902DDE" w:rsidRDefault="000E468E">
      <w:pPr>
        <w:pStyle w:val="ListParagraph"/>
        <w:numPr>
          <w:ilvl w:val="0"/>
          <w:numId w:val="13"/>
        </w:numPr>
        <w:spacing w:before="160" w:after="0"/>
        <w:contextualSpacing w:val="0"/>
      </w:pPr>
      <w:r>
        <w:rPr>
          <w:rFonts w:eastAsiaTheme="minorEastAsia"/>
        </w:rPr>
        <w:t>Use the tables</w:t>
      </w:r>
      <w:r w:rsidR="001922C8">
        <w:rPr>
          <w:rFonts w:eastAsiaTheme="minorEastAsia"/>
        </w:rPr>
        <w:t xml:space="preserve"> for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001922C8" w:rsidRPr="00AB7CCA">
        <w:rPr>
          <w:rFonts w:eastAsiaTheme="minorEastAsia"/>
        </w:rPr>
        <w:t xml:space="preserve"> and </w:t>
      </w:r>
      <m:oMath>
        <m:r>
          <w:rPr>
            <w:rFonts w:ascii="Cambria Math" w:eastAsiaTheme="minorEastAsia" w:hAnsi="Cambria Math"/>
          </w:rPr>
          <m:t>R</m:t>
        </m:r>
      </m:oMath>
      <w:r>
        <w:rPr>
          <w:rFonts w:eastAsiaTheme="minorEastAsia"/>
        </w:rPr>
        <w:t xml:space="preserve"> to c</w:t>
      </w:r>
      <w:r w:rsidR="008804A4" w:rsidRPr="00FF1816">
        <w:rPr>
          <w:rFonts w:eastAsiaTheme="minorEastAsia"/>
        </w:rPr>
        <w:t xml:space="preserve">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00B13FD4">
        <w:rPr>
          <w:rFonts w:eastAsiaTheme="minorEastAsia"/>
        </w:rPr>
        <w:t>,</w:t>
      </w:r>
      <w:r w:rsidR="008804A4">
        <w:rPr>
          <w:rFonts w:cstheme="minorHAnsi"/>
        </w:rPr>
        <w:t xml:space="preserve"> and</w:t>
      </w:r>
      <w:r w:rsidR="001922C8">
        <w:rPr>
          <w:rFonts w:cstheme="minorHAnsi"/>
        </w:rPr>
        <w:t xml:space="preserve"> use</w:t>
      </w:r>
      <w:r w:rsidR="008804A4">
        <w:rPr>
          <w:rFonts w:cstheme="minorHAnsi"/>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oMath>
      <w:r w:rsidR="001922C8" w:rsidRPr="00AB7CCA">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001922C8">
        <w:rPr>
          <w:rFonts w:eastAsiaTheme="minorEastAsia"/>
        </w:rPr>
        <w:t xml:space="preserve"> to </w:t>
      </w:r>
      <w:r w:rsidR="008804A4">
        <w:rPr>
          <w:rFonts w:cstheme="minorHAnsi"/>
        </w:rPr>
        <w:t xml:space="preserve">populate </w:t>
      </w:r>
      <w:r w:rsidR="008804A4">
        <w:rPr>
          <w:rFonts w:cstheme="minorHAnsi"/>
        </w:rPr>
        <w:fldChar w:fldCharType="begin"/>
      </w:r>
      <w:r w:rsidR="008804A4">
        <w:rPr>
          <w:rFonts w:cstheme="minorHAnsi"/>
        </w:rPr>
        <w:instrText xml:space="preserve"> REF _Ref147639186 \h </w:instrText>
      </w:r>
      <w:r w:rsidR="008804A4">
        <w:rPr>
          <w:rFonts w:cstheme="minorHAnsi"/>
        </w:rPr>
      </w:r>
      <w:r w:rsidR="008804A4">
        <w:rPr>
          <w:rFonts w:cstheme="minorHAnsi"/>
        </w:rPr>
        <w:fldChar w:fldCharType="separate"/>
      </w:r>
      <w:r w:rsidR="001E41EA">
        <w:t xml:space="preserve">Equation </w:t>
      </w:r>
      <w:r w:rsidR="001E41EA">
        <w:rPr>
          <w:noProof/>
        </w:rPr>
        <w:t>9</w:t>
      </w:r>
      <w:r w:rsidR="008804A4">
        <w:rPr>
          <w:rFonts w:cstheme="minorHAnsi"/>
        </w:rPr>
        <w:fldChar w:fldCharType="end"/>
      </w:r>
      <w:r w:rsidR="008804A4">
        <w:rPr>
          <w:rFonts w:cstheme="minorHAnsi"/>
        </w:rPr>
        <w:t xml:space="preserve">. </w:t>
      </w:r>
    </w:p>
    <w:p w14:paraId="52962A1E" w14:textId="1D2F3956" w:rsidR="008804A4" w:rsidRPr="000E468E" w:rsidRDefault="008804A4">
      <w:pPr>
        <w:pStyle w:val="ListParagraph"/>
        <w:numPr>
          <w:ilvl w:val="0"/>
          <w:numId w:val="13"/>
        </w:numPr>
        <w:spacing w:before="160" w:after="0"/>
        <w:contextualSpacing w:val="0"/>
      </w:pPr>
      <w:r>
        <w:lastRenderedPageBreak/>
        <w:t xml:space="preserve">Simplify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r>
        <w:rPr>
          <w:rFonts w:cstheme="minorHAnsi"/>
        </w:rPr>
        <w:fldChar w:fldCharType="end"/>
      </w:r>
      <w:r>
        <w:rPr>
          <w:rFonts w:cstheme="minorHAnsi"/>
        </w:rPr>
        <w:t xml:space="preserve"> until it is clear whether benefit exceeds risk. </w:t>
      </w:r>
    </w:p>
    <w:p w14:paraId="38EE0D04" w14:textId="03415FE8" w:rsidR="000E468E" w:rsidRPr="008804A4" w:rsidRDefault="000E468E">
      <w:pPr>
        <w:pStyle w:val="ListParagraph"/>
        <w:numPr>
          <w:ilvl w:val="1"/>
          <w:numId w:val="13"/>
        </w:numPr>
        <w:spacing w:after="0"/>
        <w:contextualSpacing w:val="0"/>
      </w:pPr>
      <w:r>
        <w:rPr>
          <w:rFonts w:cstheme="minorHAnsi"/>
        </w:rPr>
        <w:t>Use the ‘risk algebra’ described in Attachment A</w:t>
      </w:r>
      <w:r w:rsidR="000B13CB">
        <w:rPr>
          <w:rFonts w:cstheme="minorHAnsi"/>
        </w:rPr>
        <w:t xml:space="preserve">. </w:t>
      </w:r>
    </w:p>
    <w:p w14:paraId="043F9722" w14:textId="79CDD96B" w:rsidR="008804A4" w:rsidRPr="000E468E" w:rsidRDefault="008804A4">
      <w:pPr>
        <w:pStyle w:val="ListParagraph"/>
        <w:numPr>
          <w:ilvl w:val="0"/>
          <w:numId w:val="13"/>
        </w:numPr>
        <w:spacing w:before="160" w:after="0"/>
        <w:contextualSpacing w:val="0"/>
      </w:pPr>
      <w:r>
        <w:rPr>
          <w:rFonts w:cstheme="minorHAnsi"/>
        </w:rPr>
        <w:t xml:space="preserve">Document the cross-functional team’s concurrence with </w:t>
      </w:r>
      <w:r>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sidR="00021E55">
        <w:rPr>
          <w:rFonts w:eastAsiaTheme="minorEastAsia"/>
        </w:rPr>
        <w:t>,</w:t>
      </w:r>
      <w:r>
        <w:rPr>
          <w:rFonts w:eastAsiaTheme="minorEastAsia"/>
        </w:rPr>
        <w:t xml:space="preserve"> and the simplification of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r>
        <w:rPr>
          <w:rFonts w:cstheme="minorHAnsi"/>
        </w:rPr>
        <w:fldChar w:fldCharType="end"/>
      </w:r>
      <w:r>
        <w:rPr>
          <w:rFonts w:cstheme="minorHAnsi"/>
        </w:rPr>
        <w:t>.</w:t>
      </w:r>
      <w:r w:rsidR="000E468E">
        <w:rPr>
          <w:rFonts w:cstheme="minorHAnsi"/>
        </w:rPr>
        <w:t xml:space="preserve"> </w:t>
      </w:r>
    </w:p>
    <w:p w14:paraId="7F463F51" w14:textId="115CD048" w:rsidR="000E468E" w:rsidRDefault="000E468E">
      <w:pPr>
        <w:pStyle w:val="ListParagraph"/>
        <w:numPr>
          <w:ilvl w:val="1"/>
          <w:numId w:val="13"/>
        </w:numPr>
      </w:pPr>
      <w:r>
        <w:rPr>
          <w:rFonts w:cstheme="minorHAnsi"/>
        </w:rPr>
        <w:t xml:space="preserve">Capture the cross-functional team’s rationale for supporting for each step of the process. </w:t>
      </w:r>
      <w:r w:rsidR="00F174B1">
        <w:rPr>
          <w:rFonts w:cstheme="minorHAnsi"/>
        </w:rPr>
        <w:t xml:space="preserve"> </w:t>
      </w:r>
    </w:p>
    <w:p w14:paraId="5141D980" w14:textId="77777777" w:rsidR="008804A4" w:rsidRDefault="008804A4" w:rsidP="00AA2310">
      <w:pPr>
        <w:spacing w:after="0" w:line="240" w:lineRule="auto"/>
        <w:rPr>
          <w:rFonts w:eastAsia="TimesNewRomanPSMT" w:cs="TimesNewRomanPSMT"/>
          <w:b/>
          <w:color w:val="000000"/>
          <w:sz w:val="26"/>
          <w:szCs w:val="26"/>
          <w:u w:val="single"/>
        </w:rPr>
      </w:pPr>
    </w:p>
    <w:p w14:paraId="08006136" w14:textId="104E5550" w:rsidR="00B25A88" w:rsidRDefault="00B25A88" w:rsidP="00CB3939">
      <w:pPr>
        <w:pStyle w:val="Heading2"/>
      </w:pPr>
      <w:bookmarkStart w:id="89" w:name="_Toc156728659"/>
      <w:r>
        <w:rPr>
          <w:rFonts w:eastAsia="TimesNewRomanPSMT" w:cs="TimesNewRomanPSMT"/>
          <w:b/>
          <w:color w:val="000000"/>
          <w:u w:val="single"/>
        </w:rPr>
        <w:t>Example #1</w:t>
      </w:r>
      <w:bookmarkEnd w:id="89"/>
    </w:p>
    <w:p w14:paraId="30BAD09D" w14:textId="4ABED5D8" w:rsidR="002B41E0" w:rsidRPr="003B0D56" w:rsidRDefault="006357AE">
      <w:pPr>
        <w:pStyle w:val="ListParagraph"/>
        <w:numPr>
          <w:ilvl w:val="0"/>
          <w:numId w:val="30"/>
        </w:numPr>
        <w:outlineLvl w:val="2"/>
      </w:pPr>
      <w:bookmarkStart w:id="90" w:name="_Toc156728660"/>
      <w:r>
        <w:t>Define the medical treatment and patient population</w:t>
      </w:r>
      <w:bookmarkEnd w:id="90"/>
      <w:r w:rsidR="002B41E0">
        <w:t xml:space="preserve"> </w:t>
      </w:r>
    </w:p>
    <w:p w14:paraId="09E1D587" w14:textId="77777777" w:rsidR="002B41E0" w:rsidRPr="00315DE1" w:rsidRDefault="002B41E0" w:rsidP="002B41E0">
      <w:pPr>
        <w:pStyle w:val="ListParagraph"/>
        <w:ind w:left="1440"/>
        <w:rPr>
          <w:rFonts w:eastAsiaTheme="minorEastAsia"/>
        </w:rPr>
      </w:pPr>
    </w:p>
    <w:p w14:paraId="37C96240" w14:textId="5BB56C96" w:rsidR="002B41E0" w:rsidRPr="00AB7CCA" w:rsidRDefault="002B41E0">
      <w:pPr>
        <w:pStyle w:val="ListParagraph"/>
        <w:numPr>
          <w:ilvl w:val="1"/>
          <w:numId w:val="30"/>
        </w:numPr>
        <w:rPr>
          <w:rFonts w:eastAsiaTheme="minorEastAsia"/>
        </w:rPr>
      </w:pPr>
      <w:r>
        <w:t xml:space="preserve">Select the medical treatment and patient population on which you want to perform a </w:t>
      </w:r>
      <w:r w:rsidR="00EC42E0">
        <w:t>Benefit-Risk</w:t>
      </w:r>
      <w:r>
        <w:t xml:space="preserve"> analysis. </w:t>
      </w:r>
      <w:r w:rsidR="009E1265">
        <w:t xml:space="preserve"> </w:t>
      </w:r>
    </w:p>
    <w:p w14:paraId="43CB12A8" w14:textId="4DC81F12" w:rsidR="002B41E0" w:rsidRPr="00AA2310" w:rsidRDefault="002B41E0">
      <w:pPr>
        <w:pStyle w:val="ListParagraph"/>
        <w:numPr>
          <w:ilvl w:val="2"/>
          <w:numId w:val="30"/>
        </w:numPr>
        <w:rPr>
          <w:rFonts w:eastAsiaTheme="minorEastAsia"/>
        </w:rPr>
      </w:pPr>
      <w:r>
        <w:t xml:space="preserve">For this example, we </w:t>
      </w:r>
      <w:r w:rsidR="00F174B1">
        <w:t>will select</w:t>
      </w:r>
      <w:r>
        <w:t xml:space="preserve"> a blood transfusion for the medical treatment and </w:t>
      </w:r>
      <w:r w:rsidR="00892476">
        <w:t xml:space="preserve">the </w:t>
      </w:r>
      <w:r>
        <w:t xml:space="preserve">patients </w:t>
      </w:r>
      <w:r w:rsidR="00892476">
        <w:t xml:space="preserve">in the United States </w:t>
      </w:r>
      <w:r w:rsidR="00F174B1">
        <w:t>w</w:t>
      </w:r>
      <w:r w:rsidR="00892476">
        <w:t xml:space="preserve">ho have sufficient </w:t>
      </w:r>
      <w:r w:rsidR="009E1265">
        <w:t>upper GI bleeding</w:t>
      </w:r>
      <w:r w:rsidR="00892476">
        <w:t xml:space="preserve"> </w:t>
      </w:r>
      <w:r w:rsidR="00F174B1">
        <w:t xml:space="preserve">to </w:t>
      </w:r>
      <w:r w:rsidR="00892476">
        <w:t>meet the ER’s criteria for needing a transfusion</w:t>
      </w:r>
      <w:r w:rsidR="00F174B1">
        <w:t xml:space="preserve"> for the patient population.  </w:t>
      </w:r>
    </w:p>
    <w:p w14:paraId="326103E4" w14:textId="77777777" w:rsidR="002B41E0" w:rsidRPr="00AA2310" w:rsidRDefault="002B41E0" w:rsidP="00AA2310">
      <w:pPr>
        <w:spacing w:after="0" w:line="240" w:lineRule="auto"/>
        <w:rPr>
          <w:rFonts w:eastAsiaTheme="minorEastAsia"/>
        </w:rPr>
      </w:pPr>
    </w:p>
    <w:p w14:paraId="4EDF0F87" w14:textId="0EA80A9B" w:rsidR="002B41E0" w:rsidRPr="00D31706" w:rsidRDefault="002B41E0">
      <w:pPr>
        <w:pStyle w:val="ListParagraph"/>
        <w:numPr>
          <w:ilvl w:val="0"/>
          <w:numId w:val="30"/>
        </w:numPr>
        <w:outlineLvl w:val="2"/>
        <w:rPr>
          <w:rFonts w:eastAsiaTheme="minorEastAsia"/>
        </w:rPr>
      </w:pPr>
      <w:bookmarkStart w:id="91" w:name="_Toc156728661"/>
      <w:r>
        <w:t>Identify the members of the cross-functional tea</w:t>
      </w:r>
      <w:r w:rsidR="00CB3939">
        <w:t>m</w:t>
      </w:r>
      <w:bookmarkEnd w:id="91"/>
      <w:r>
        <w:t xml:space="preserve"> </w:t>
      </w:r>
    </w:p>
    <w:p w14:paraId="5E6395BE" w14:textId="77777777" w:rsidR="002B41E0" w:rsidRPr="00D31706" w:rsidRDefault="002B41E0">
      <w:pPr>
        <w:pStyle w:val="ListParagraph"/>
        <w:numPr>
          <w:ilvl w:val="1"/>
          <w:numId w:val="30"/>
        </w:numPr>
        <w:rPr>
          <w:rFonts w:eastAsiaTheme="minorEastAsia"/>
        </w:rPr>
      </w:pPr>
      <w:r>
        <w:t xml:space="preserve">A physician who has worked in an ‘emergency room’ for over 10 years; i.e., a physician specialist who is expert in the practice of blood transfusions.  </w:t>
      </w:r>
    </w:p>
    <w:p w14:paraId="2D7482D9" w14:textId="77777777" w:rsidR="002B41E0" w:rsidRPr="00D31706" w:rsidRDefault="002B41E0">
      <w:pPr>
        <w:pStyle w:val="ListParagraph"/>
        <w:numPr>
          <w:ilvl w:val="1"/>
          <w:numId w:val="30"/>
        </w:numPr>
        <w:rPr>
          <w:rFonts w:eastAsiaTheme="minorEastAsia"/>
        </w:rPr>
      </w:pPr>
      <w:r>
        <w:t xml:space="preserve">A risk management engineer who has worked on apheresis equipment for over 10 years; i.e., an engineering specialist who is expert in the medical devices for collecting and infusing blood.  </w:t>
      </w:r>
    </w:p>
    <w:p w14:paraId="69CC9D17" w14:textId="77777777" w:rsidR="002B41E0" w:rsidRPr="00315DE1" w:rsidRDefault="002B41E0" w:rsidP="006E314F">
      <w:pPr>
        <w:ind w:left="504"/>
        <w:rPr>
          <w:rFonts w:eastAsiaTheme="minorEastAsia"/>
        </w:rPr>
      </w:pPr>
      <w:r>
        <w:t xml:space="preserve">Normally, this list would include additional personnel (e.g., a representative from quality, production, post-market surveillance, etc., as the product’s risk analysis needs dictate); however, because this example is being created to illustrate ‘risk algebra’ and not to make regulatory decisions, the cross-functional team is limited to these two people. </w:t>
      </w:r>
    </w:p>
    <w:p w14:paraId="69B36886" w14:textId="77777777" w:rsidR="002B41E0" w:rsidRPr="00315DE1" w:rsidRDefault="002B41E0" w:rsidP="00AA2310">
      <w:pPr>
        <w:spacing w:after="0" w:line="240" w:lineRule="auto"/>
        <w:rPr>
          <w:rFonts w:eastAsiaTheme="minorEastAsia"/>
        </w:rPr>
      </w:pPr>
    </w:p>
    <w:p w14:paraId="22BDCF79" w14:textId="59E2DF97" w:rsidR="002B41E0" w:rsidRPr="00315DE1" w:rsidRDefault="006A2773">
      <w:pPr>
        <w:pStyle w:val="ListParagraph"/>
        <w:numPr>
          <w:ilvl w:val="0"/>
          <w:numId w:val="30"/>
        </w:numPr>
        <w:outlineLvl w:val="2"/>
        <w:rPr>
          <w:rFonts w:eastAsiaTheme="minorEastAsia"/>
        </w:rPr>
      </w:pPr>
      <w:bookmarkStart w:id="92" w:name="_Toc156728662"/>
      <w:r>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bookmarkEnd w:id="92"/>
    </w:p>
    <w:p w14:paraId="66CD12EC" w14:textId="77777777" w:rsidR="002B41E0" w:rsidRDefault="002B41E0" w:rsidP="002B41E0">
      <w:pPr>
        <w:pStyle w:val="ListParagraph"/>
        <w:ind w:left="1440"/>
        <w:rPr>
          <w:rFonts w:eastAsiaTheme="minorEastAsia"/>
        </w:rPr>
      </w:pPr>
    </w:p>
    <w:p w14:paraId="645BC9E3" w14:textId="77777777" w:rsidR="002B41E0" w:rsidRPr="00D31706" w:rsidRDefault="002B41E0">
      <w:pPr>
        <w:pStyle w:val="ListParagraph"/>
        <w:numPr>
          <w:ilvl w:val="1"/>
          <w:numId w:val="30"/>
        </w:numPr>
      </w:pPr>
      <w:r>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Pr>
          <w:rFonts w:eastAsiaTheme="minorEastAsia"/>
        </w:rPr>
        <w:t>:</w:t>
      </w:r>
      <w:r>
        <w:t xml:space="preserve">  </w:t>
      </w:r>
    </w:p>
    <w:p w14:paraId="305D07B8" w14:textId="77777777" w:rsidR="002B41E0" w:rsidRPr="003C22FC" w:rsidRDefault="002B41E0" w:rsidP="002B41E0">
      <w:pPr>
        <w:pStyle w:val="ListParagraph"/>
        <w:ind w:left="1440"/>
      </w:pPr>
    </w:p>
    <w:p w14:paraId="7BFDFA27" w14:textId="77777777" w:rsidR="002B41E0" w:rsidRDefault="002B41E0">
      <w:pPr>
        <w:pStyle w:val="ListParagraph"/>
        <w:numPr>
          <w:ilvl w:val="2"/>
          <w:numId w:val="30"/>
        </w:numPr>
      </w:pPr>
      <w:r>
        <w:t xml:space="preserve">Start generating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t xml:space="preserve"> by identifying the health conditions that might cause this patient population to receive this medical treatment; i.e., for this example, the health conditions that might cause a bleeding ulcer to lose enough blood that a transfusion might be indicated to treat the blood loss. </w:t>
      </w:r>
    </w:p>
    <w:p w14:paraId="5972A1FA" w14:textId="77777777" w:rsidR="002B41E0" w:rsidRDefault="002B41E0" w:rsidP="002B41E0">
      <w:pPr>
        <w:pStyle w:val="ListParagraph"/>
        <w:ind w:left="2160"/>
      </w:pPr>
    </w:p>
    <w:tbl>
      <w:tblPr>
        <w:tblStyle w:val="TableGrid"/>
        <w:tblW w:w="0" w:type="auto"/>
        <w:tblInd w:w="1327" w:type="dxa"/>
        <w:tblLook w:val="04A0" w:firstRow="1" w:lastRow="0" w:firstColumn="1" w:lastColumn="0" w:noHBand="0" w:noVBand="1"/>
      </w:tblPr>
      <w:tblGrid>
        <w:gridCol w:w="1728"/>
        <w:gridCol w:w="7740"/>
      </w:tblGrid>
      <w:tr w:rsidR="002B41E0" w:rsidRPr="000E3F5A" w14:paraId="07B51AA4" w14:textId="77777777" w:rsidTr="004767E1">
        <w:trPr>
          <w:cantSplit/>
          <w:tblHeader/>
        </w:trPr>
        <w:tc>
          <w:tcPr>
            <w:tcW w:w="1728" w:type="dxa"/>
          </w:tcPr>
          <w:p w14:paraId="1DBCDEBF" w14:textId="77777777" w:rsidR="002B41E0" w:rsidRPr="000E3F5A" w:rsidRDefault="002B41E0" w:rsidP="008D3D62">
            <w:pPr>
              <w:pStyle w:val="ListParagraph"/>
              <w:ind w:left="0"/>
              <w:contextualSpacing w:val="0"/>
              <w:rPr>
                <w:rFonts w:cstheme="minorHAnsi"/>
                <w:b/>
                <w:bCs/>
                <w:sz w:val="26"/>
                <w:szCs w:val="26"/>
              </w:rPr>
            </w:pPr>
            <w:r>
              <w:rPr>
                <w:rFonts w:cstheme="minorHAnsi"/>
                <w:b/>
                <w:bCs/>
                <w:sz w:val="26"/>
                <w:szCs w:val="26"/>
              </w:rPr>
              <w:lastRenderedPageBreak/>
              <w:t xml:space="preserve">Medical Description of the </w:t>
            </w:r>
            <w:r w:rsidRPr="000E3F5A">
              <w:rPr>
                <w:rFonts w:cstheme="minorHAnsi"/>
                <w:b/>
                <w:bCs/>
                <w:sz w:val="26"/>
                <w:szCs w:val="26"/>
              </w:rPr>
              <w:t>Health Condition</w:t>
            </w:r>
          </w:p>
        </w:tc>
        <w:tc>
          <w:tcPr>
            <w:tcW w:w="7740" w:type="dxa"/>
          </w:tcPr>
          <w:p w14:paraId="71BA0094" w14:textId="77777777" w:rsidR="002B41E0" w:rsidRPr="000E3F5A" w:rsidRDefault="002B41E0" w:rsidP="008D3D62">
            <w:pPr>
              <w:pStyle w:val="ListParagraph"/>
              <w:ind w:left="0"/>
              <w:contextualSpacing w:val="0"/>
              <w:rPr>
                <w:rFonts w:cstheme="minorHAnsi"/>
                <w:b/>
                <w:bCs/>
                <w:sz w:val="26"/>
                <w:szCs w:val="26"/>
              </w:rPr>
            </w:pPr>
            <w:r w:rsidRPr="000E3F5A">
              <w:rPr>
                <w:rFonts w:cstheme="minorHAnsi"/>
                <w:b/>
                <w:bCs/>
                <w:sz w:val="26"/>
                <w:szCs w:val="26"/>
              </w:rPr>
              <w:t>Non-Specialist Description</w:t>
            </w:r>
          </w:p>
        </w:tc>
      </w:tr>
      <w:tr w:rsidR="002B41E0" w:rsidRPr="000E3F5A" w14:paraId="27667706" w14:textId="77777777" w:rsidTr="004767E1">
        <w:trPr>
          <w:cantSplit/>
        </w:trPr>
        <w:tc>
          <w:tcPr>
            <w:tcW w:w="1728" w:type="dxa"/>
          </w:tcPr>
          <w:p w14:paraId="49CBB635" w14:textId="77777777" w:rsidR="002B41E0" w:rsidRPr="000E3F5A" w:rsidRDefault="002B41E0" w:rsidP="008D3D62">
            <w:pPr>
              <w:rPr>
                <w:rFonts w:cstheme="minorHAnsi"/>
              </w:rPr>
            </w:pPr>
            <w:r w:rsidRPr="000E3F5A">
              <w:rPr>
                <w:rFonts w:cstheme="minorHAnsi"/>
              </w:rPr>
              <w:t xml:space="preserve">Altered Mental State </w:t>
            </w:r>
          </w:p>
        </w:tc>
        <w:tc>
          <w:tcPr>
            <w:tcW w:w="7740" w:type="dxa"/>
          </w:tcPr>
          <w:p w14:paraId="2719E4AD" w14:textId="77777777" w:rsidR="002B41E0" w:rsidRPr="000E3F5A" w:rsidRDefault="002B41E0" w:rsidP="008D3D62">
            <w:pPr>
              <w:pStyle w:val="ListParagraph"/>
              <w:ind w:left="0"/>
              <w:contextualSpacing w:val="0"/>
              <w:rPr>
                <w:rFonts w:cstheme="minorHAnsi"/>
              </w:rPr>
            </w:pPr>
            <w:r w:rsidRPr="000E3F5A">
              <w:rPr>
                <w:rFonts w:cstheme="minorHAnsi"/>
              </w:rPr>
              <w:t xml:space="preserve">The patient becomes disoriented, more easily distracted, and less able to focus. </w:t>
            </w:r>
          </w:p>
        </w:tc>
      </w:tr>
      <w:tr w:rsidR="002B41E0" w:rsidRPr="000E3F5A" w14:paraId="6132A085" w14:textId="77777777" w:rsidTr="004767E1">
        <w:trPr>
          <w:cantSplit/>
        </w:trPr>
        <w:tc>
          <w:tcPr>
            <w:tcW w:w="1728" w:type="dxa"/>
          </w:tcPr>
          <w:p w14:paraId="20F0E12C" w14:textId="77777777" w:rsidR="002B41E0" w:rsidRPr="000E3F5A" w:rsidRDefault="002B41E0" w:rsidP="008D3D62">
            <w:pPr>
              <w:pStyle w:val="ListParagraph"/>
              <w:ind w:left="0"/>
              <w:contextualSpacing w:val="0"/>
              <w:rPr>
                <w:rFonts w:cstheme="minorHAnsi"/>
              </w:rPr>
            </w:pPr>
            <w:r w:rsidRPr="000E3F5A">
              <w:rPr>
                <w:rFonts w:cstheme="minorHAnsi"/>
              </w:rPr>
              <w:t>Circulatory Collapse</w:t>
            </w:r>
          </w:p>
        </w:tc>
        <w:tc>
          <w:tcPr>
            <w:tcW w:w="7740" w:type="dxa"/>
          </w:tcPr>
          <w:p w14:paraId="53FB0D1B" w14:textId="77777777" w:rsidR="002B41E0" w:rsidRPr="000E3F5A" w:rsidRDefault="002B41E0" w:rsidP="008D3D62">
            <w:pPr>
              <w:pStyle w:val="ListParagraph"/>
              <w:ind w:left="0"/>
              <w:contextualSpacing w:val="0"/>
              <w:rPr>
                <w:rFonts w:cstheme="minorHAnsi"/>
              </w:rPr>
            </w:pPr>
            <w:r w:rsidRPr="000E3F5A">
              <w:rPr>
                <w:rFonts w:cstheme="minorHAnsi"/>
              </w:rPr>
              <w:t xml:space="preserve">The patient has bled so much that the heart has too little blood volume to pump.  Standard of care directs that such a patient has an endoscopy after the transfusion to identify / correct the reason for such extensive bleeding. </w:t>
            </w:r>
          </w:p>
        </w:tc>
      </w:tr>
      <w:tr w:rsidR="002B41E0" w:rsidRPr="000E3F5A" w14:paraId="2561DA10" w14:textId="77777777" w:rsidTr="004767E1">
        <w:trPr>
          <w:cantSplit/>
        </w:trPr>
        <w:tc>
          <w:tcPr>
            <w:tcW w:w="1728" w:type="dxa"/>
          </w:tcPr>
          <w:p w14:paraId="6E44F4BE" w14:textId="77777777" w:rsidR="002B41E0" w:rsidRPr="000E3F5A" w:rsidRDefault="002B41E0" w:rsidP="008D3D62">
            <w:pPr>
              <w:pStyle w:val="ListParagraph"/>
              <w:ind w:left="0"/>
              <w:contextualSpacing w:val="0"/>
              <w:rPr>
                <w:rFonts w:cstheme="minorHAnsi"/>
              </w:rPr>
            </w:pPr>
            <w:r w:rsidRPr="000E3F5A">
              <w:rPr>
                <w:rFonts w:cstheme="minorHAnsi"/>
              </w:rPr>
              <w:t>Heart attack, stroke, Kidney injury</w:t>
            </w:r>
          </w:p>
        </w:tc>
        <w:tc>
          <w:tcPr>
            <w:tcW w:w="7740" w:type="dxa"/>
          </w:tcPr>
          <w:p w14:paraId="666E0279" w14:textId="77777777" w:rsidR="002B41E0" w:rsidRPr="000E3F5A" w:rsidRDefault="002B41E0" w:rsidP="008D3D62">
            <w:pPr>
              <w:pStyle w:val="ListParagraph"/>
              <w:ind w:left="0"/>
              <w:contextualSpacing w:val="0"/>
              <w:rPr>
                <w:rFonts w:cstheme="minorHAnsi"/>
              </w:rPr>
            </w:pPr>
            <w:r w:rsidRPr="000E3F5A">
              <w:rPr>
                <w:rFonts w:cstheme="minorHAnsi"/>
              </w:rPr>
              <w:t>The circulatory system can</w:t>
            </w:r>
            <w:r>
              <w:rPr>
                <w:rFonts w:cstheme="minorHAnsi"/>
              </w:rPr>
              <w:t>no</w:t>
            </w:r>
            <w:r w:rsidRPr="000E3F5A">
              <w:rPr>
                <w:rFonts w:cstheme="minorHAnsi"/>
              </w:rPr>
              <w:t xml:space="preserve">t transport sufficient oxygen to sustain the body’s organs. </w:t>
            </w:r>
          </w:p>
        </w:tc>
      </w:tr>
      <w:tr w:rsidR="002B41E0" w:rsidRPr="000E3F5A" w14:paraId="0A88CABA" w14:textId="77777777" w:rsidTr="004767E1">
        <w:trPr>
          <w:cantSplit/>
        </w:trPr>
        <w:tc>
          <w:tcPr>
            <w:tcW w:w="1728" w:type="dxa"/>
          </w:tcPr>
          <w:p w14:paraId="35F76630" w14:textId="77777777" w:rsidR="002B41E0" w:rsidRPr="000E3F5A" w:rsidRDefault="002B41E0" w:rsidP="008D3D62">
            <w:pPr>
              <w:pStyle w:val="ListParagraph"/>
              <w:ind w:left="0"/>
              <w:contextualSpacing w:val="0"/>
              <w:rPr>
                <w:rFonts w:cstheme="minorHAnsi"/>
              </w:rPr>
            </w:pPr>
            <w:r w:rsidRPr="000E3F5A">
              <w:rPr>
                <w:rFonts w:cstheme="minorHAnsi"/>
              </w:rPr>
              <w:t>Esophageal Varices</w:t>
            </w:r>
          </w:p>
        </w:tc>
        <w:tc>
          <w:tcPr>
            <w:tcW w:w="7740" w:type="dxa"/>
          </w:tcPr>
          <w:p w14:paraId="6F181920" w14:textId="3289D09C" w:rsidR="002B41E0" w:rsidRPr="000E3F5A" w:rsidRDefault="002B41E0" w:rsidP="008D3D62">
            <w:pPr>
              <w:pStyle w:val="ListParagraph"/>
              <w:ind w:left="0"/>
              <w:contextualSpacing w:val="0"/>
              <w:rPr>
                <w:rFonts w:cstheme="minorHAnsi"/>
              </w:rPr>
            </w:pPr>
            <w:r w:rsidRPr="000E3F5A">
              <w:rPr>
                <w:rFonts w:cstheme="minorHAnsi"/>
              </w:rPr>
              <w:t xml:space="preserve">A </w:t>
            </w:r>
            <w:r w:rsidR="009E1265">
              <w:rPr>
                <w:rFonts w:cstheme="minorHAnsi"/>
              </w:rPr>
              <w:t xml:space="preserve">pre-existing risk factor </w:t>
            </w:r>
            <w:r w:rsidRPr="000E3F5A">
              <w:rPr>
                <w:rFonts w:cstheme="minorHAnsi"/>
              </w:rPr>
              <w:t xml:space="preserve">that </w:t>
            </w:r>
            <w:r w:rsidR="009E1265">
              <w:rPr>
                <w:rFonts w:cstheme="minorHAnsi"/>
              </w:rPr>
              <w:t>can result in significant upper GI bleeding</w:t>
            </w:r>
            <w:r w:rsidRPr="000E3F5A">
              <w:rPr>
                <w:rFonts w:cstheme="minorHAnsi"/>
              </w:rPr>
              <w:t xml:space="preserve">.  Variceal bleeding accounts for 10–30% of all cases of upper gastrointestinal bleeding. </w:t>
            </w:r>
          </w:p>
        </w:tc>
      </w:tr>
    </w:tbl>
    <w:p w14:paraId="3CD5FCD7" w14:textId="77777777" w:rsidR="002B41E0" w:rsidRPr="006E333A" w:rsidRDefault="002B41E0" w:rsidP="002B41E0">
      <w:pPr>
        <w:pStyle w:val="ListParagraph"/>
        <w:ind w:left="1440"/>
        <w:contextualSpacing w:val="0"/>
      </w:pPr>
    </w:p>
    <w:p w14:paraId="78519194" w14:textId="59961031" w:rsidR="002B41E0" w:rsidRPr="00931D3A" w:rsidRDefault="002B41E0">
      <w:pPr>
        <w:pStyle w:val="ListParagraph"/>
        <w:numPr>
          <w:ilvl w:val="2"/>
          <w:numId w:val="30"/>
        </w:numPr>
        <w:contextualSpacing w:val="0"/>
      </w:pPr>
      <w:r w:rsidRPr="00931D3A">
        <w:rPr>
          <w:rFonts w:eastAsiaTheme="minorEastAsia" w:cstheme="minorHAnsi"/>
        </w:rPr>
        <w:t xml:space="preserve">Identify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w:t>
      </w:r>
      <w:r>
        <w:rPr>
          <w:rFonts w:eastAsiaTheme="minorEastAsia" w:cstheme="minorHAnsi"/>
        </w:rPr>
        <w:t xml:space="preserve">categories of </w:t>
      </w:r>
      <w:r w:rsidRPr="00931D3A">
        <w:rPr>
          <w:rFonts w:eastAsiaTheme="minorEastAsia" w:cstheme="minorHAnsi"/>
        </w:rPr>
        <w:t xml:space="preserve">severities of harm for each ‘Health Condition’ / Hazardous Situation, </w:t>
      </w:r>
      <w:r>
        <w:rPr>
          <w:rFonts w:eastAsiaTheme="minorEastAsia" w:cstheme="minorHAnsi"/>
        </w:rPr>
        <w:t xml:space="preserve">cite the reference used to </w:t>
      </w:r>
      <w:r w:rsidRPr="00931D3A">
        <w:rPr>
          <w:rFonts w:eastAsiaTheme="minorEastAsia" w:cstheme="minorHAnsi"/>
        </w:rPr>
        <w:t xml:space="preserve">determine </w:t>
      </w:r>
      <m:oMath>
        <m:r>
          <w:rPr>
            <w:rFonts w:ascii="Cambria Math" w:eastAsiaTheme="minorEastAsia" w:hAnsi="Cambria Math" w:cstheme="minorHAnsi"/>
          </w:rPr>
          <m:t>P</m:t>
        </m:r>
      </m:oMath>
      <w:r w:rsidRPr="00931D3A">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w:t>
      </w:r>
      <w:r>
        <w:rPr>
          <w:rFonts w:eastAsiaTheme="minorEastAsia" w:cstheme="minorHAnsi"/>
        </w:rPr>
        <w:t>, and enter the category of probability for each severity of harm</w:t>
      </w:r>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and</w:t>
      </w:r>
      <w:r w:rsidR="00757DAF">
        <w:rPr>
          <w:rFonts w:eastAsiaTheme="minorEastAsia" w:cstheme="minorHAnsi"/>
        </w:rPr>
        <w:t xml:space="preserve"> </w:t>
      </w:r>
      <w:r w:rsidR="00757DAF">
        <w:rPr>
          <w:rFonts w:eastAsiaTheme="minorEastAsia" w:cstheme="minorHAnsi"/>
        </w:rPr>
        <w:fldChar w:fldCharType="begin"/>
      </w:r>
      <w:r w:rsidR="00757DAF">
        <w:rPr>
          <w:rFonts w:eastAsiaTheme="minorEastAsia" w:cstheme="minorHAnsi"/>
        </w:rPr>
        <w:instrText xml:space="preserve"> REF _Ref146694551 \h </w:instrText>
      </w:r>
      <w:r w:rsidR="00757DAF">
        <w:rPr>
          <w:rFonts w:eastAsiaTheme="minorEastAsia" w:cstheme="minorHAnsi"/>
        </w:rPr>
      </w:r>
      <w:r w:rsidR="00757DAF">
        <w:rPr>
          <w:rFonts w:eastAsiaTheme="minorEastAsia" w:cstheme="minorHAnsi"/>
        </w:rPr>
        <w:fldChar w:fldCharType="separate"/>
      </w:r>
      <w:r w:rsidR="001E41EA">
        <w:t xml:space="preserve">Table </w:t>
      </w:r>
      <w:r w:rsidR="001E41EA">
        <w:rPr>
          <w:noProof/>
        </w:rPr>
        <w:t>4</w:t>
      </w:r>
      <w:r w:rsidR="00757DAF">
        <w:rPr>
          <w:rFonts w:eastAsiaTheme="minorEastAsia" w:cstheme="minorHAnsi"/>
        </w:rPr>
        <w:fldChar w:fldCharType="end"/>
      </w:r>
      <w:r>
        <w:rPr>
          <w:rFonts w:eastAsiaTheme="minorEastAsia" w:cstheme="minorHAnsi"/>
        </w:rPr>
        <w:t xml:space="preserve"> to assign probability and severity categories for the various scenarios associated with each Hazardous Situation. </w:t>
      </w:r>
    </w:p>
    <w:tbl>
      <w:tblPr>
        <w:tblStyle w:val="TableGrid"/>
        <w:tblW w:w="11268" w:type="dxa"/>
        <w:tblInd w:w="1327" w:type="dxa"/>
        <w:tblLook w:val="04A0" w:firstRow="1" w:lastRow="0" w:firstColumn="1" w:lastColumn="0" w:noHBand="0" w:noVBand="1"/>
      </w:tblPr>
      <w:tblGrid>
        <w:gridCol w:w="1349"/>
        <w:gridCol w:w="5244"/>
        <w:gridCol w:w="1096"/>
        <w:gridCol w:w="1097"/>
        <w:gridCol w:w="1097"/>
        <w:gridCol w:w="1385"/>
      </w:tblGrid>
      <w:tr w:rsidR="004767E1" w:rsidRPr="000E3F5A" w14:paraId="114C7639" w14:textId="77777777" w:rsidTr="004767E1">
        <w:trPr>
          <w:cantSplit/>
          <w:tblHeader/>
        </w:trPr>
        <w:tc>
          <w:tcPr>
            <w:tcW w:w="1349" w:type="dxa"/>
            <w:vAlign w:val="center"/>
          </w:tcPr>
          <w:p w14:paraId="6C4AD3EC" w14:textId="77777777" w:rsidR="002B41E0" w:rsidRPr="000E3F5A" w:rsidRDefault="002B41E0" w:rsidP="008D3D62">
            <w:pPr>
              <w:pStyle w:val="ListParagraph"/>
              <w:ind w:left="0"/>
              <w:contextualSpacing w:val="0"/>
              <w:rPr>
                <w:rFonts w:cstheme="minorHAnsi"/>
                <w:b/>
                <w:bCs/>
                <w:sz w:val="26"/>
                <w:szCs w:val="26"/>
              </w:rPr>
            </w:pPr>
            <w:r w:rsidRPr="000E3F5A">
              <w:rPr>
                <w:rFonts w:cstheme="minorHAnsi"/>
                <w:b/>
                <w:bCs/>
                <w:sz w:val="26"/>
                <w:szCs w:val="26"/>
              </w:rPr>
              <w:lastRenderedPageBreak/>
              <w:t xml:space="preserve">Hazardous Situation </w:t>
            </w:r>
          </w:p>
        </w:tc>
        <w:tc>
          <w:tcPr>
            <w:tcW w:w="3799" w:type="dxa"/>
            <w:vAlign w:val="center"/>
          </w:tcPr>
          <w:p w14:paraId="0DB0FA00" w14:textId="77777777" w:rsidR="002B41E0" w:rsidRPr="000E3F5A" w:rsidRDefault="002B41E0" w:rsidP="008D3D62">
            <w:pPr>
              <w:pStyle w:val="ListParagraph"/>
              <w:ind w:left="0"/>
              <w:contextualSpacing w:val="0"/>
              <w:rPr>
                <w:rFonts w:cstheme="minorHAnsi"/>
                <w:b/>
                <w:bCs/>
                <w:sz w:val="26"/>
                <w:szCs w:val="26"/>
              </w:rPr>
            </w:pPr>
            <w:r>
              <w:rPr>
                <w:rFonts w:cstheme="minorHAnsi"/>
                <w:b/>
                <w:bCs/>
                <w:sz w:val="26"/>
                <w:szCs w:val="26"/>
              </w:rPr>
              <w:t>Reference Information</w:t>
            </w:r>
          </w:p>
        </w:tc>
        <w:tc>
          <w:tcPr>
            <w:tcW w:w="2592" w:type="dxa"/>
            <w:vAlign w:val="center"/>
          </w:tcPr>
          <w:p w14:paraId="59738FD1" w14:textId="77777777" w:rsidR="002B41E0" w:rsidRPr="000E3F5A" w:rsidRDefault="00000000" w:rsidP="008D3D62">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2592" w:type="dxa"/>
            <w:vAlign w:val="center"/>
          </w:tcPr>
          <w:p w14:paraId="41611925" w14:textId="77777777" w:rsidR="002B41E0" w:rsidRPr="000E3F5A" w:rsidRDefault="00000000" w:rsidP="008D3D62">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2592" w:type="dxa"/>
            <w:vAlign w:val="center"/>
          </w:tcPr>
          <w:p w14:paraId="450E8093" w14:textId="16444687" w:rsidR="002B41E0" w:rsidRPr="000E3F5A" w:rsidRDefault="002B41E0" w:rsidP="008D3D62">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2592" w:type="dxa"/>
            <w:vAlign w:val="center"/>
          </w:tcPr>
          <w:p w14:paraId="586762F7" w14:textId="77777777" w:rsidR="002B41E0" w:rsidRPr="000E3F5A" w:rsidRDefault="002B41E0" w:rsidP="008D3D62">
            <w:pPr>
              <w:pStyle w:val="ListParagraph"/>
              <w:ind w:left="0"/>
              <w:contextualSpacing w:val="0"/>
              <w:rPr>
                <w:rFonts w:cstheme="minorHAnsi"/>
                <w:b/>
                <w:bCs/>
                <w:sz w:val="26"/>
                <w:szCs w:val="26"/>
              </w:rPr>
            </w:pPr>
            <w:r w:rsidRPr="000E3F5A">
              <w:rPr>
                <w:rFonts w:cstheme="minorHAnsi"/>
                <w:b/>
                <w:bCs/>
                <w:sz w:val="26"/>
                <w:szCs w:val="26"/>
              </w:rPr>
              <w:t>Severity</w:t>
            </w:r>
          </w:p>
        </w:tc>
      </w:tr>
      <w:tr w:rsidR="008753F7" w:rsidRPr="000E3F5A" w14:paraId="54C50668" w14:textId="77777777" w:rsidTr="004767E1">
        <w:trPr>
          <w:cantSplit/>
        </w:trPr>
        <w:tc>
          <w:tcPr>
            <w:tcW w:w="1349" w:type="dxa"/>
            <w:vAlign w:val="center"/>
          </w:tcPr>
          <w:p w14:paraId="3D60300A" w14:textId="77777777" w:rsidR="00841366" w:rsidRPr="000E3F5A" w:rsidRDefault="00841366" w:rsidP="00841366">
            <w:pPr>
              <w:rPr>
                <w:rFonts w:cstheme="minorHAnsi"/>
              </w:rPr>
            </w:pPr>
            <w:bookmarkStart w:id="93" w:name="_Hlk146949080"/>
            <w:r w:rsidRPr="000E3F5A">
              <w:rPr>
                <w:rFonts w:cstheme="minorHAnsi"/>
              </w:rPr>
              <w:t xml:space="preserve">Altered Mental State </w:t>
            </w:r>
          </w:p>
        </w:tc>
        <w:tc>
          <w:tcPr>
            <w:tcW w:w="3799" w:type="dxa"/>
            <w:vAlign w:val="center"/>
          </w:tcPr>
          <w:p w14:paraId="57D93DFF" w14:textId="77777777"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Probability: </w:t>
            </w:r>
            <w:r>
              <w:rPr>
                <w:rFonts w:eastAsiaTheme="minorEastAsia" w:cstheme="minorHAnsi"/>
                <w:sz w:val="21"/>
                <w:szCs w:val="21"/>
              </w:rPr>
              <w:t xml:space="preserve"> </w:t>
            </w:r>
          </w:p>
          <w:p w14:paraId="6E865BEC" w14:textId="2F975824" w:rsidR="00841366" w:rsidRPr="00695B2F" w:rsidRDefault="00841366">
            <w:pPr>
              <w:pStyle w:val="ListParagraph"/>
              <w:numPr>
                <w:ilvl w:val="0"/>
                <w:numId w:val="18"/>
              </w:numPr>
              <w:contextualSpacing w:val="0"/>
              <w:rPr>
                <w:rFonts w:eastAsiaTheme="minorEastAsia" w:cstheme="minorHAnsi"/>
                <w:sz w:val="21"/>
                <w:szCs w:val="21"/>
              </w:rPr>
            </w:pPr>
            <w:r>
              <w:rPr>
                <w:rFonts w:eastAsiaTheme="minorEastAsia" w:cstheme="minorHAnsi"/>
                <w:sz w:val="21"/>
                <w:szCs w:val="21"/>
              </w:rPr>
              <w:t xml:space="preserve">Per </w:t>
            </w:r>
            <w:r w:rsidRPr="00695B2F">
              <w:rPr>
                <w:rFonts w:eastAsiaTheme="minorEastAsia" w:cstheme="minorHAnsi"/>
                <w:sz w:val="21"/>
                <w:szCs w:val="21"/>
              </w:rPr>
              <w:t xml:space="preserve">Hemorrhagic shock: </w:t>
            </w:r>
            <w:r w:rsidR="004767E1">
              <w:rPr>
                <w:rFonts w:eastAsiaTheme="minorEastAsia" w:cstheme="minorHAnsi"/>
                <w:sz w:val="21"/>
                <w:szCs w:val="21"/>
              </w:rPr>
              <w:br/>
            </w:r>
            <w:r w:rsidR="004767E1" w:rsidRPr="004767E1">
              <w:rPr>
                <w:rFonts w:eastAsiaTheme="minorEastAsia" w:cstheme="minorHAnsi"/>
                <w:sz w:val="21"/>
                <w:szCs w:val="21"/>
              </w:rPr>
              <w:t>https://www.ncbi.nlm.nih.gov/books/NBK470382/</w:t>
            </w:r>
            <w:r>
              <w:rPr>
                <w:rFonts w:eastAsiaTheme="minorEastAsia" w:cstheme="minorHAnsi"/>
                <w:sz w:val="21"/>
                <w:szCs w:val="21"/>
              </w:rPr>
              <w:br/>
            </w:r>
            <w:r w:rsidRPr="00695B2F">
              <w:rPr>
                <w:rFonts w:eastAsiaTheme="minorEastAsia" w:cstheme="minorHAnsi"/>
                <w:sz w:val="21"/>
                <w:szCs w:val="21"/>
              </w:rPr>
              <w:t>"Class 3: Volume loss from 30% to 40% of total blood volume, from 1500 mL to 2000 mL. A significant drop in blood pressure and changes in mental status occurs.  Heart rate and respiratory rate are significantly elevated (more than 120 BPM). Urine output declines. Capillary refill is delayed."</w:t>
            </w:r>
          </w:p>
          <w:p w14:paraId="2E1FC67A" w14:textId="161F770A" w:rsidR="00841366" w:rsidRPr="00D31706" w:rsidRDefault="00841366">
            <w:pPr>
              <w:pStyle w:val="ListParagraph"/>
              <w:numPr>
                <w:ilvl w:val="0"/>
                <w:numId w:val="18"/>
              </w:numPr>
              <w:contextualSpacing w:val="0"/>
              <w:rPr>
                <w:rFonts w:cstheme="minorHAnsi"/>
                <w:sz w:val="21"/>
                <w:szCs w:val="21"/>
              </w:rPr>
            </w:pPr>
            <w:r>
              <w:rPr>
                <w:rFonts w:eastAsiaTheme="minorEastAsia" w:cstheme="minorHAnsi"/>
                <w:sz w:val="21"/>
                <w:szCs w:val="21"/>
              </w:rPr>
              <w:t>Per board-certified Emergency Room physician for over 10 years.</w:t>
            </w:r>
          </w:p>
          <w:p w14:paraId="140DFDCE" w14:textId="77777777" w:rsidR="00841366" w:rsidRPr="00D31706" w:rsidRDefault="00841366" w:rsidP="00841366">
            <w:pPr>
              <w:pStyle w:val="ListParagraph"/>
              <w:ind w:left="0"/>
              <w:contextualSpacing w:val="0"/>
              <w:rPr>
                <w:rFonts w:cstheme="minorHAnsi"/>
                <w:sz w:val="21"/>
                <w:szCs w:val="21"/>
              </w:rPr>
            </w:pPr>
          </w:p>
          <w:p w14:paraId="32DD79BA" w14:textId="6FC21E2A"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Per board-certified Emergency Room physician for over 10 years.</w:t>
            </w:r>
          </w:p>
          <w:p w14:paraId="7593AF4E" w14:textId="77777777" w:rsidR="00841366" w:rsidRDefault="00841366" w:rsidP="00841366">
            <w:pPr>
              <w:pStyle w:val="ListParagraph"/>
              <w:ind w:left="0"/>
              <w:contextualSpacing w:val="0"/>
              <w:rPr>
                <w:rFonts w:eastAsiaTheme="minorEastAsia" w:cstheme="minorHAnsi"/>
                <w:sz w:val="21"/>
                <w:szCs w:val="21"/>
              </w:rPr>
            </w:pPr>
          </w:p>
          <w:p w14:paraId="77CE8640" w14:textId="29BDA1C8" w:rsidR="00841366" w:rsidRPr="00D31706" w:rsidRDefault="00841366" w:rsidP="00841366">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→P=Often</m:t>
              </m:r>
            </m:oMath>
          </w:p>
        </w:tc>
        <w:tc>
          <w:tcPr>
            <w:tcW w:w="2592" w:type="dxa"/>
            <w:tcBorders>
              <w:top w:val="nil"/>
              <w:left w:val="nil"/>
              <w:bottom w:val="single" w:sz="8" w:space="0" w:color="auto"/>
              <w:right w:val="single" w:sz="8" w:space="0" w:color="auto"/>
            </w:tcBorders>
            <w:vAlign w:val="center"/>
          </w:tcPr>
          <w:p w14:paraId="49012ADA" w14:textId="3B24C138" w:rsidR="00841366" w:rsidRPr="000E3F5A" w:rsidRDefault="00841366" w:rsidP="00776103">
            <w:pPr>
              <w:pStyle w:val="ListParagraph"/>
              <w:ind w:left="0"/>
              <w:contextualSpacing w:val="0"/>
              <w:jc w:val="center"/>
              <w:rPr>
                <w:rFonts w:cstheme="minorHAnsi"/>
              </w:rPr>
            </w:pPr>
            <w:r>
              <w:rPr>
                <w:rFonts w:eastAsia="Times New Roman"/>
              </w:rPr>
              <w:t>Often</w:t>
            </w:r>
          </w:p>
        </w:tc>
        <w:tc>
          <w:tcPr>
            <w:tcW w:w="2592" w:type="dxa"/>
            <w:tcBorders>
              <w:top w:val="nil"/>
              <w:left w:val="nil"/>
              <w:bottom w:val="single" w:sz="8" w:space="0" w:color="auto"/>
              <w:right w:val="single" w:sz="8" w:space="0" w:color="auto"/>
            </w:tcBorders>
            <w:vAlign w:val="center"/>
          </w:tcPr>
          <w:p w14:paraId="4CD5D2B9" w14:textId="0C155ABD"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vAlign w:val="center"/>
          </w:tcPr>
          <w:p w14:paraId="4201E1C4" w14:textId="364BE2E6" w:rsidR="00841366" w:rsidRPr="000E3F5A" w:rsidRDefault="00776103" w:rsidP="00776103">
            <w:pPr>
              <w:pStyle w:val="ListParagraph"/>
              <w:ind w:left="0"/>
              <w:contextualSpacing w:val="0"/>
              <w:jc w:val="center"/>
              <w:rPr>
                <w:rFonts w:cstheme="minorHAnsi"/>
              </w:rPr>
            </w:pPr>
            <w:r>
              <w:rPr>
                <w:rFonts w:cstheme="minorHAnsi"/>
              </w:rPr>
              <w:t>Often</w:t>
            </w:r>
          </w:p>
        </w:tc>
        <w:tc>
          <w:tcPr>
            <w:tcW w:w="2592" w:type="dxa"/>
            <w:vAlign w:val="center"/>
          </w:tcPr>
          <w:p w14:paraId="5D3EFEE2" w14:textId="77777777" w:rsidR="00841366" w:rsidRPr="000E3F5A" w:rsidRDefault="00841366" w:rsidP="00776103">
            <w:pPr>
              <w:pStyle w:val="ListParagraph"/>
              <w:ind w:left="0"/>
              <w:contextualSpacing w:val="0"/>
              <w:jc w:val="center"/>
              <w:rPr>
                <w:rFonts w:cstheme="minorHAnsi"/>
              </w:rPr>
            </w:pPr>
            <w:r w:rsidRPr="00345B5B">
              <w:rPr>
                <w:rFonts w:cstheme="minorHAnsi"/>
              </w:rPr>
              <w:t>Negligible</w:t>
            </w:r>
          </w:p>
        </w:tc>
      </w:tr>
      <w:tr w:rsidR="008753F7" w:rsidRPr="000E3F5A" w14:paraId="6435AD12" w14:textId="77777777" w:rsidTr="004767E1">
        <w:trPr>
          <w:cantSplit/>
          <w:trHeight w:val="1565"/>
        </w:trPr>
        <w:tc>
          <w:tcPr>
            <w:tcW w:w="1349" w:type="dxa"/>
            <w:vMerge w:val="restart"/>
            <w:vAlign w:val="center"/>
          </w:tcPr>
          <w:p w14:paraId="2593A99C" w14:textId="77777777" w:rsidR="00841366" w:rsidRPr="000E3F5A" w:rsidRDefault="00841366" w:rsidP="00841366">
            <w:pPr>
              <w:pStyle w:val="ListParagraph"/>
              <w:ind w:left="0"/>
              <w:contextualSpacing w:val="0"/>
              <w:rPr>
                <w:rFonts w:cstheme="minorHAnsi"/>
              </w:rPr>
            </w:pPr>
            <w:r w:rsidRPr="000E3F5A">
              <w:rPr>
                <w:rFonts w:cstheme="minorHAnsi"/>
              </w:rPr>
              <w:t>Circulatory Collapse</w:t>
            </w:r>
          </w:p>
        </w:tc>
        <w:tc>
          <w:tcPr>
            <w:tcW w:w="3799" w:type="dxa"/>
            <w:vMerge w:val="restart"/>
            <w:vAlign w:val="center"/>
          </w:tcPr>
          <w:p w14:paraId="3F218FA9" w14:textId="77777777" w:rsidR="00841366" w:rsidRPr="0083668E" w:rsidRDefault="00841366" w:rsidP="00841366">
            <w:pPr>
              <w:pStyle w:val="ListParagraph"/>
              <w:keepNext/>
              <w:ind w:left="0"/>
              <w:contextualSpacing w:val="0"/>
              <w:rPr>
                <w:rFonts w:eastAsiaTheme="minorEastAsia" w:cstheme="minorHAnsi"/>
                <w:color w:val="000000" w:themeColor="text1"/>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sidRPr="0083668E">
              <w:rPr>
                <w:rFonts w:eastAsiaTheme="minorEastAsia" w:cstheme="minorHAnsi"/>
                <w:color w:val="000000" w:themeColor="text1"/>
                <w:sz w:val="21"/>
                <w:szCs w:val="21"/>
              </w:rPr>
              <w:t xml:space="preserve">Probability:  </w:t>
            </w:r>
          </w:p>
          <w:p w14:paraId="3206A2A8" w14:textId="03D0E8DB" w:rsidR="00841366" w:rsidRPr="0083668E" w:rsidRDefault="00841366">
            <w:pPr>
              <w:pStyle w:val="ListParagraph"/>
              <w:keepNext/>
              <w:numPr>
                <w:ilvl w:val="0"/>
                <w:numId w:val="17"/>
              </w:numPr>
              <w:contextualSpacing w:val="0"/>
              <w:rPr>
                <w:rFonts w:eastAsiaTheme="minorEastAsia" w:cstheme="minorHAnsi"/>
                <w:color w:val="000000" w:themeColor="text1"/>
                <w:sz w:val="21"/>
                <w:szCs w:val="21"/>
              </w:rPr>
            </w:pPr>
            <w:r w:rsidRPr="0083668E">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83668E">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72BCE038" w14:textId="444C4B3D" w:rsidR="00841366" w:rsidRPr="00D31706" w:rsidRDefault="00841366">
            <w:pPr>
              <w:pStyle w:val="ListParagraph"/>
              <w:numPr>
                <w:ilvl w:val="0"/>
                <w:numId w:val="17"/>
              </w:numPr>
              <w:contextualSpacing w:val="0"/>
              <w:rPr>
                <w:rFonts w:cstheme="minorHAnsi"/>
                <w:sz w:val="21"/>
                <w:szCs w:val="21"/>
              </w:rPr>
            </w:pPr>
            <w:r>
              <w:rPr>
                <w:rFonts w:eastAsiaTheme="minorEastAsia" w:cstheme="minorHAnsi"/>
                <w:color w:val="000000" w:themeColor="text1"/>
                <w:sz w:val="21"/>
                <w:szCs w:val="21"/>
              </w:rPr>
              <w:t xml:space="preserve">Per </w:t>
            </w:r>
            <w:r w:rsidRPr="0083668E">
              <w:rPr>
                <w:rFonts w:eastAsiaTheme="minorEastAsia" w:cstheme="minorHAnsi"/>
                <w:color w:val="000000" w:themeColor="text1"/>
                <w:sz w:val="21"/>
                <w:szCs w:val="21"/>
              </w:rPr>
              <w:t>board-</w:t>
            </w:r>
            <w:r>
              <w:rPr>
                <w:rFonts w:eastAsiaTheme="minorEastAsia" w:cstheme="minorHAnsi"/>
                <w:sz w:val="21"/>
                <w:szCs w:val="21"/>
              </w:rPr>
              <w:t xml:space="preserve">certified Emergency Room physician for over 10 years. </w:t>
            </w:r>
          </w:p>
          <w:p w14:paraId="601277DB" w14:textId="77777777" w:rsidR="00841366" w:rsidRDefault="00841366" w:rsidP="00841366">
            <w:pPr>
              <w:pStyle w:val="ListParagraph"/>
              <w:ind w:left="0"/>
              <w:contextualSpacing w:val="0"/>
              <w:rPr>
                <w:rFonts w:cstheme="minorHAnsi"/>
                <w:sz w:val="21"/>
                <w:szCs w:val="21"/>
              </w:rPr>
            </w:pPr>
          </w:p>
          <w:p w14:paraId="52EDCF9D" w14:textId="77777777"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and board-certified Emergency Room physician for over 10 years.</w:t>
            </w:r>
          </w:p>
          <w:p w14:paraId="0842A5B6" w14:textId="77777777" w:rsidR="00841366" w:rsidRDefault="00841366" w:rsidP="00841366">
            <w:pPr>
              <w:pStyle w:val="ListParagraph"/>
              <w:ind w:left="0"/>
              <w:contextualSpacing w:val="0"/>
              <w:rPr>
                <w:rFonts w:eastAsiaTheme="minorEastAsia" w:cstheme="minorHAnsi"/>
                <w:sz w:val="21"/>
                <w:szCs w:val="21"/>
              </w:rPr>
            </w:pPr>
          </w:p>
          <w:p w14:paraId="52F2A826" w14:textId="40B35A58" w:rsidR="00841366" w:rsidRPr="0083668E"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vMerge w:val="restart"/>
            <w:tcBorders>
              <w:top w:val="nil"/>
              <w:left w:val="nil"/>
              <w:bottom w:val="single" w:sz="8" w:space="0" w:color="auto"/>
              <w:right w:val="single" w:sz="8" w:space="0" w:color="auto"/>
            </w:tcBorders>
            <w:vAlign w:val="center"/>
          </w:tcPr>
          <w:p w14:paraId="4229918C" w14:textId="74555C6E" w:rsidR="00841366" w:rsidRPr="000E3F5A" w:rsidRDefault="00841366" w:rsidP="00776103">
            <w:pPr>
              <w:pStyle w:val="ListParagraph"/>
              <w:ind w:left="0"/>
              <w:contextualSpacing w:val="0"/>
              <w:jc w:val="center"/>
              <w:rPr>
                <w:rFonts w:cstheme="minorHAnsi"/>
              </w:rPr>
            </w:pPr>
            <w:r>
              <w:rPr>
                <w:rFonts w:eastAsia="Times New Roman"/>
              </w:rPr>
              <w:lastRenderedPageBreak/>
              <w:t>Expected</w:t>
            </w:r>
          </w:p>
        </w:tc>
        <w:tc>
          <w:tcPr>
            <w:tcW w:w="2592" w:type="dxa"/>
            <w:vMerge w:val="restart"/>
            <w:tcBorders>
              <w:top w:val="nil"/>
              <w:left w:val="nil"/>
              <w:bottom w:val="single" w:sz="8" w:space="0" w:color="auto"/>
              <w:right w:val="single" w:sz="8" w:space="0" w:color="auto"/>
            </w:tcBorders>
            <w:vAlign w:val="center"/>
          </w:tcPr>
          <w:p w14:paraId="4FC1763C" w14:textId="530E9D01"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vAlign w:val="center"/>
          </w:tcPr>
          <w:p w14:paraId="4BE1B57C" w14:textId="2B189E72" w:rsidR="00841366" w:rsidRPr="000E3F5A" w:rsidRDefault="00776103" w:rsidP="00776103">
            <w:pPr>
              <w:pStyle w:val="ListParagraph"/>
              <w:ind w:left="0"/>
              <w:contextualSpacing w:val="0"/>
              <w:jc w:val="center"/>
              <w:rPr>
                <w:rFonts w:cstheme="minorHAnsi"/>
              </w:rPr>
            </w:pPr>
            <w:r>
              <w:rPr>
                <w:rFonts w:eastAsia="Times New Roman"/>
              </w:rPr>
              <w:t>Expected</w:t>
            </w:r>
          </w:p>
        </w:tc>
        <w:tc>
          <w:tcPr>
            <w:tcW w:w="2592" w:type="dxa"/>
            <w:vAlign w:val="center"/>
          </w:tcPr>
          <w:p w14:paraId="2CFC4026" w14:textId="77777777" w:rsidR="00841366" w:rsidRPr="000E3F5A" w:rsidRDefault="00841366" w:rsidP="00776103">
            <w:pPr>
              <w:pStyle w:val="ListParagraph"/>
              <w:ind w:left="0"/>
              <w:contextualSpacing w:val="0"/>
              <w:jc w:val="center"/>
              <w:rPr>
                <w:rFonts w:cstheme="minorHAnsi"/>
              </w:rPr>
            </w:pPr>
            <w:r w:rsidRPr="00345B5B">
              <w:rPr>
                <w:rFonts w:cstheme="minorHAnsi"/>
              </w:rPr>
              <w:t>Minor</w:t>
            </w:r>
          </w:p>
        </w:tc>
      </w:tr>
      <w:tr w:rsidR="008753F7" w:rsidRPr="000E3F5A" w14:paraId="51570BD5" w14:textId="77777777" w:rsidTr="004767E1">
        <w:trPr>
          <w:cantSplit/>
        </w:trPr>
        <w:tc>
          <w:tcPr>
            <w:tcW w:w="1349" w:type="dxa"/>
            <w:vMerge/>
            <w:vAlign w:val="center"/>
          </w:tcPr>
          <w:p w14:paraId="7A3D7F60" w14:textId="77777777" w:rsidR="00841366" w:rsidRPr="000E3F5A" w:rsidRDefault="00841366" w:rsidP="00841366">
            <w:pPr>
              <w:pStyle w:val="ListParagraph"/>
              <w:ind w:left="0"/>
              <w:contextualSpacing w:val="0"/>
              <w:rPr>
                <w:rFonts w:cstheme="minorHAnsi"/>
              </w:rPr>
            </w:pPr>
          </w:p>
        </w:tc>
        <w:tc>
          <w:tcPr>
            <w:tcW w:w="3799" w:type="dxa"/>
            <w:vMerge/>
            <w:vAlign w:val="center"/>
          </w:tcPr>
          <w:p w14:paraId="244C7F09" w14:textId="77777777" w:rsidR="00841366" w:rsidRPr="00D31706" w:rsidRDefault="00841366" w:rsidP="00841366">
            <w:pPr>
              <w:pStyle w:val="ListParagraph"/>
              <w:ind w:left="0"/>
              <w:contextualSpacing w:val="0"/>
              <w:rPr>
                <w:rFonts w:cstheme="minorHAnsi"/>
                <w:sz w:val="21"/>
                <w:szCs w:val="21"/>
              </w:rPr>
            </w:pPr>
          </w:p>
        </w:tc>
        <w:tc>
          <w:tcPr>
            <w:tcW w:w="2592" w:type="dxa"/>
            <w:vMerge/>
            <w:tcBorders>
              <w:top w:val="nil"/>
              <w:left w:val="nil"/>
              <w:bottom w:val="single" w:sz="8" w:space="0" w:color="auto"/>
              <w:right w:val="single" w:sz="8" w:space="0" w:color="auto"/>
            </w:tcBorders>
            <w:vAlign w:val="center"/>
          </w:tcPr>
          <w:p w14:paraId="25B24B2C" w14:textId="6D95DB4B" w:rsidR="00841366" w:rsidRPr="000E3F5A" w:rsidRDefault="00841366" w:rsidP="00776103">
            <w:pPr>
              <w:pStyle w:val="ListParagraph"/>
              <w:ind w:left="0"/>
              <w:contextualSpacing w:val="0"/>
              <w:jc w:val="center"/>
              <w:rPr>
                <w:rFonts w:cstheme="minorHAnsi"/>
              </w:rPr>
            </w:pPr>
          </w:p>
        </w:tc>
        <w:tc>
          <w:tcPr>
            <w:tcW w:w="2592" w:type="dxa"/>
            <w:vMerge/>
            <w:tcBorders>
              <w:top w:val="nil"/>
              <w:left w:val="nil"/>
              <w:bottom w:val="single" w:sz="8" w:space="0" w:color="auto"/>
              <w:right w:val="single" w:sz="8" w:space="0" w:color="auto"/>
            </w:tcBorders>
            <w:vAlign w:val="center"/>
          </w:tcPr>
          <w:p w14:paraId="43FA94BA" w14:textId="193E11D3" w:rsidR="00841366" w:rsidRPr="000E3F5A" w:rsidRDefault="00841366" w:rsidP="00776103">
            <w:pPr>
              <w:pStyle w:val="ListParagraph"/>
              <w:ind w:left="0"/>
              <w:contextualSpacing w:val="0"/>
              <w:jc w:val="center"/>
              <w:rPr>
                <w:rFonts w:cstheme="minorHAnsi"/>
              </w:rPr>
            </w:pPr>
          </w:p>
        </w:tc>
        <w:tc>
          <w:tcPr>
            <w:tcW w:w="2592" w:type="dxa"/>
            <w:vAlign w:val="center"/>
          </w:tcPr>
          <w:p w14:paraId="7F2870D1" w14:textId="6A833E2C" w:rsidR="00841366" w:rsidRPr="000E3F5A" w:rsidRDefault="00776103" w:rsidP="00776103">
            <w:pPr>
              <w:pStyle w:val="ListParagraph"/>
              <w:ind w:left="0"/>
              <w:contextualSpacing w:val="0"/>
              <w:jc w:val="center"/>
              <w:rPr>
                <w:rFonts w:cstheme="minorHAnsi"/>
              </w:rPr>
            </w:pPr>
            <w:r>
              <w:rPr>
                <w:rFonts w:eastAsia="Times New Roman"/>
              </w:rPr>
              <w:t>Expected</w:t>
            </w:r>
          </w:p>
        </w:tc>
        <w:tc>
          <w:tcPr>
            <w:tcW w:w="2592" w:type="dxa"/>
            <w:vAlign w:val="center"/>
          </w:tcPr>
          <w:p w14:paraId="4D7D0C8B" w14:textId="77777777" w:rsidR="00841366" w:rsidRPr="000E3F5A" w:rsidRDefault="00841366" w:rsidP="00776103">
            <w:pPr>
              <w:pStyle w:val="ListParagraph"/>
              <w:ind w:left="0"/>
              <w:contextualSpacing w:val="0"/>
              <w:jc w:val="center"/>
              <w:rPr>
                <w:rFonts w:cstheme="minorHAnsi"/>
              </w:rPr>
            </w:pPr>
            <w:r w:rsidRPr="00345B5B">
              <w:rPr>
                <w:rFonts w:cstheme="minorHAnsi"/>
              </w:rPr>
              <w:t>Serious / Major</w:t>
            </w:r>
          </w:p>
        </w:tc>
      </w:tr>
      <w:tr w:rsidR="008753F7" w:rsidRPr="000E3F5A" w14:paraId="391F6A2D" w14:textId="77777777" w:rsidTr="004767E1">
        <w:trPr>
          <w:cantSplit/>
          <w:trHeight w:val="576"/>
        </w:trPr>
        <w:tc>
          <w:tcPr>
            <w:tcW w:w="1349" w:type="dxa"/>
            <w:vMerge w:val="restart"/>
            <w:vAlign w:val="center"/>
          </w:tcPr>
          <w:p w14:paraId="136DD455" w14:textId="0FE304D5" w:rsidR="00841366" w:rsidRPr="000E3F5A" w:rsidRDefault="00841366" w:rsidP="00841366">
            <w:pPr>
              <w:pStyle w:val="ListParagraph"/>
              <w:ind w:left="0"/>
              <w:contextualSpacing w:val="0"/>
              <w:rPr>
                <w:rFonts w:cstheme="minorHAnsi"/>
              </w:rPr>
            </w:pPr>
            <w:r w:rsidRPr="000E3F5A">
              <w:rPr>
                <w:rFonts w:cstheme="minorHAnsi"/>
              </w:rPr>
              <w:t xml:space="preserve">Heart attack, </w:t>
            </w:r>
            <w:r>
              <w:rPr>
                <w:rFonts w:cstheme="minorHAnsi"/>
              </w:rPr>
              <w:t>S</w:t>
            </w:r>
            <w:r w:rsidRPr="000E3F5A">
              <w:rPr>
                <w:rFonts w:cstheme="minorHAnsi"/>
              </w:rPr>
              <w:t>troke, Kidney injury</w:t>
            </w:r>
          </w:p>
        </w:tc>
        <w:tc>
          <w:tcPr>
            <w:tcW w:w="3799" w:type="dxa"/>
            <w:vMerge w:val="restart"/>
            <w:vAlign w:val="center"/>
          </w:tcPr>
          <w:p w14:paraId="77776E35" w14:textId="37E639B6" w:rsidR="00841366" w:rsidRPr="00D31706" w:rsidRDefault="00841366" w:rsidP="00841366">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Per board-certified Emergency Room physician for over 10 years.</w:t>
            </w:r>
          </w:p>
          <w:p w14:paraId="3BCBE356" w14:textId="77777777" w:rsidR="00841366" w:rsidRPr="00D31706" w:rsidRDefault="00841366" w:rsidP="00841366">
            <w:pPr>
              <w:pStyle w:val="ListParagraph"/>
              <w:ind w:left="0"/>
              <w:contextualSpacing w:val="0"/>
              <w:rPr>
                <w:rFonts w:cstheme="minorHAnsi"/>
                <w:sz w:val="21"/>
                <w:szCs w:val="21"/>
              </w:rPr>
            </w:pPr>
          </w:p>
          <w:p w14:paraId="5DDC66E7" w14:textId="22243655"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6B649A36" w14:textId="77777777" w:rsidR="00841366" w:rsidRDefault="00841366" w:rsidP="00841366">
            <w:pPr>
              <w:pStyle w:val="ListParagraph"/>
              <w:ind w:left="0"/>
              <w:contextualSpacing w:val="0"/>
              <w:rPr>
                <w:rFonts w:eastAsiaTheme="minorEastAsia" w:cstheme="minorHAnsi"/>
                <w:sz w:val="21"/>
                <w:szCs w:val="21"/>
              </w:rPr>
            </w:pPr>
          </w:p>
          <w:p w14:paraId="452348FB" w14:textId="77777777" w:rsidR="00776103" w:rsidRDefault="00841366" w:rsidP="00776103">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→P=Frequent</m:t>
              </m:r>
            </m:oMath>
          </w:p>
          <w:p w14:paraId="0789739D" w14:textId="24E1C53C" w:rsidR="00776103" w:rsidRDefault="00776103" w:rsidP="00776103">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→P=Often</m:t>
              </m:r>
            </m:oMath>
          </w:p>
          <w:p w14:paraId="17DD2C4B" w14:textId="7654B1AE" w:rsidR="00841366" w:rsidRPr="00D31706" w:rsidRDefault="00776103" w:rsidP="00776103">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tcBorders>
              <w:top w:val="nil"/>
              <w:left w:val="nil"/>
              <w:right w:val="single" w:sz="8" w:space="0" w:color="auto"/>
            </w:tcBorders>
            <w:vAlign w:val="center"/>
          </w:tcPr>
          <w:p w14:paraId="1AF8E8C1" w14:textId="72AA11D1" w:rsidR="00841366" w:rsidRPr="000E3F5A" w:rsidRDefault="00841366" w:rsidP="00776103">
            <w:pPr>
              <w:pStyle w:val="ListParagraph"/>
              <w:ind w:left="0"/>
              <w:contextualSpacing w:val="0"/>
              <w:jc w:val="center"/>
              <w:rPr>
                <w:rFonts w:cstheme="minorHAnsi"/>
              </w:rPr>
            </w:pPr>
            <w:r>
              <w:rPr>
                <w:rFonts w:eastAsia="Times New Roman"/>
              </w:rPr>
              <w:t>Often</w:t>
            </w:r>
          </w:p>
        </w:tc>
        <w:tc>
          <w:tcPr>
            <w:tcW w:w="2592" w:type="dxa"/>
            <w:tcBorders>
              <w:top w:val="nil"/>
              <w:left w:val="nil"/>
              <w:bottom w:val="single" w:sz="8" w:space="0" w:color="auto"/>
              <w:right w:val="single" w:sz="8" w:space="0" w:color="auto"/>
            </w:tcBorders>
            <w:vAlign w:val="center"/>
          </w:tcPr>
          <w:p w14:paraId="5A05EDBB" w14:textId="017A72B2" w:rsidR="00841366" w:rsidRPr="000E3F5A" w:rsidRDefault="00841366" w:rsidP="00776103">
            <w:pPr>
              <w:pStyle w:val="ListParagraph"/>
              <w:ind w:left="0"/>
              <w:contextualSpacing w:val="0"/>
              <w:jc w:val="center"/>
              <w:rPr>
                <w:rFonts w:cstheme="minorHAnsi"/>
              </w:rPr>
            </w:pPr>
            <w:r>
              <w:rPr>
                <w:rFonts w:eastAsia="Times New Roman"/>
              </w:rPr>
              <w:t>Often</w:t>
            </w:r>
          </w:p>
        </w:tc>
        <w:tc>
          <w:tcPr>
            <w:tcW w:w="2592" w:type="dxa"/>
            <w:vAlign w:val="center"/>
          </w:tcPr>
          <w:p w14:paraId="307E12ED" w14:textId="64A0BF7F" w:rsidR="00841366" w:rsidRPr="000E3F5A" w:rsidRDefault="00776103" w:rsidP="00776103">
            <w:pPr>
              <w:pStyle w:val="ListParagraph"/>
              <w:ind w:left="0"/>
              <w:contextualSpacing w:val="0"/>
              <w:jc w:val="center"/>
              <w:rPr>
                <w:rFonts w:cstheme="minorHAnsi"/>
              </w:rPr>
            </w:pPr>
            <w:r>
              <w:rPr>
                <w:rFonts w:cstheme="minorHAnsi"/>
              </w:rPr>
              <w:t>Frequent</w:t>
            </w:r>
          </w:p>
        </w:tc>
        <w:tc>
          <w:tcPr>
            <w:tcW w:w="2592" w:type="dxa"/>
            <w:vAlign w:val="center"/>
          </w:tcPr>
          <w:p w14:paraId="6FA8C877" w14:textId="77777777" w:rsidR="00841366" w:rsidRPr="000E3F5A" w:rsidRDefault="00841366" w:rsidP="00776103">
            <w:pPr>
              <w:pStyle w:val="ListParagraph"/>
              <w:ind w:left="0"/>
              <w:contextualSpacing w:val="0"/>
              <w:jc w:val="center"/>
              <w:rPr>
                <w:rFonts w:cstheme="minorHAnsi"/>
              </w:rPr>
            </w:pPr>
            <w:r w:rsidRPr="001B1A9A">
              <w:rPr>
                <w:rFonts w:cstheme="minorHAnsi"/>
              </w:rPr>
              <w:t>Catastrophic / Fatal</w:t>
            </w:r>
          </w:p>
        </w:tc>
      </w:tr>
      <w:tr w:rsidR="008753F7" w:rsidRPr="000E3F5A" w14:paraId="5E73EFC9" w14:textId="77777777" w:rsidTr="004767E1">
        <w:trPr>
          <w:cantSplit/>
          <w:trHeight w:val="576"/>
        </w:trPr>
        <w:tc>
          <w:tcPr>
            <w:tcW w:w="1349" w:type="dxa"/>
            <w:vMerge/>
            <w:vAlign w:val="center"/>
          </w:tcPr>
          <w:p w14:paraId="05391E63" w14:textId="77777777" w:rsidR="00841366" w:rsidRPr="000E3F5A" w:rsidRDefault="00841366" w:rsidP="00841366">
            <w:pPr>
              <w:pStyle w:val="ListParagraph"/>
              <w:ind w:left="0"/>
              <w:contextualSpacing w:val="0"/>
              <w:rPr>
                <w:rFonts w:cstheme="minorHAnsi"/>
              </w:rPr>
            </w:pPr>
          </w:p>
        </w:tc>
        <w:tc>
          <w:tcPr>
            <w:tcW w:w="3799" w:type="dxa"/>
            <w:vMerge/>
            <w:vAlign w:val="center"/>
          </w:tcPr>
          <w:p w14:paraId="7B4F6DDD" w14:textId="77777777" w:rsidR="00841366" w:rsidRPr="00D31706" w:rsidRDefault="00841366" w:rsidP="00841366">
            <w:pPr>
              <w:pStyle w:val="ListParagraph"/>
              <w:ind w:left="0"/>
              <w:contextualSpacing w:val="0"/>
              <w:rPr>
                <w:rFonts w:cstheme="minorHAnsi"/>
                <w:sz w:val="21"/>
                <w:szCs w:val="21"/>
              </w:rPr>
            </w:pPr>
          </w:p>
        </w:tc>
        <w:tc>
          <w:tcPr>
            <w:tcW w:w="2592" w:type="dxa"/>
            <w:tcBorders>
              <w:left w:val="nil"/>
              <w:right w:val="single" w:sz="8" w:space="0" w:color="auto"/>
            </w:tcBorders>
            <w:vAlign w:val="center"/>
          </w:tcPr>
          <w:p w14:paraId="3136B671" w14:textId="518EBC34" w:rsidR="00841366" w:rsidRPr="000E3F5A" w:rsidRDefault="00841366" w:rsidP="00776103">
            <w:pPr>
              <w:pStyle w:val="ListParagraph"/>
              <w:ind w:left="0"/>
              <w:contextualSpacing w:val="0"/>
              <w:jc w:val="center"/>
              <w:rPr>
                <w:rFonts w:cstheme="minorHAnsi"/>
              </w:rPr>
            </w:pPr>
            <w:r>
              <w:rPr>
                <w:rFonts w:eastAsia="Times New Roman"/>
              </w:rPr>
              <w:t>Often</w:t>
            </w:r>
          </w:p>
        </w:tc>
        <w:tc>
          <w:tcPr>
            <w:tcW w:w="2592" w:type="dxa"/>
            <w:tcBorders>
              <w:top w:val="nil"/>
              <w:left w:val="nil"/>
              <w:bottom w:val="single" w:sz="8" w:space="0" w:color="auto"/>
              <w:right w:val="single" w:sz="8" w:space="0" w:color="auto"/>
            </w:tcBorders>
            <w:vAlign w:val="center"/>
          </w:tcPr>
          <w:p w14:paraId="1B01C9F8" w14:textId="6BD6F0CE"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vAlign w:val="center"/>
          </w:tcPr>
          <w:p w14:paraId="2EADFC6C" w14:textId="4FB68623" w:rsidR="00841366" w:rsidRPr="000E3F5A" w:rsidRDefault="00776103" w:rsidP="00776103">
            <w:pPr>
              <w:pStyle w:val="ListParagraph"/>
              <w:ind w:left="0"/>
              <w:contextualSpacing w:val="0"/>
              <w:jc w:val="center"/>
              <w:rPr>
                <w:rFonts w:cstheme="minorHAnsi"/>
              </w:rPr>
            </w:pPr>
            <w:r>
              <w:rPr>
                <w:rFonts w:eastAsia="Times New Roman"/>
              </w:rPr>
              <w:t>Often</w:t>
            </w:r>
          </w:p>
        </w:tc>
        <w:tc>
          <w:tcPr>
            <w:tcW w:w="2592" w:type="dxa"/>
            <w:vAlign w:val="center"/>
          </w:tcPr>
          <w:p w14:paraId="63B98017" w14:textId="77777777" w:rsidR="00841366" w:rsidRPr="000E3F5A" w:rsidRDefault="00841366" w:rsidP="00776103">
            <w:pPr>
              <w:pStyle w:val="ListParagraph"/>
              <w:ind w:left="0"/>
              <w:contextualSpacing w:val="0"/>
              <w:jc w:val="center"/>
              <w:rPr>
                <w:rFonts w:cstheme="minorHAnsi"/>
              </w:rPr>
            </w:pPr>
            <w:r w:rsidRPr="001B1A9A">
              <w:rPr>
                <w:rFonts w:cstheme="minorHAnsi"/>
              </w:rPr>
              <w:t>Critical</w:t>
            </w:r>
          </w:p>
        </w:tc>
      </w:tr>
      <w:tr w:rsidR="008753F7" w:rsidRPr="000E3F5A" w14:paraId="39DB45ED" w14:textId="77777777" w:rsidTr="004767E1">
        <w:trPr>
          <w:cantSplit/>
          <w:trHeight w:val="576"/>
        </w:trPr>
        <w:tc>
          <w:tcPr>
            <w:tcW w:w="1349" w:type="dxa"/>
            <w:vMerge/>
            <w:vAlign w:val="center"/>
          </w:tcPr>
          <w:p w14:paraId="20C2CE69" w14:textId="77777777" w:rsidR="00841366" w:rsidRPr="000E3F5A" w:rsidRDefault="00841366" w:rsidP="00841366">
            <w:pPr>
              <w:pStyle w:val="ListParagraph"/>
              <w:ind w:left="0"/>
              <w:contextualSpacing w:val="0"/>
              <w:rPr>
                <w:rFonts w:cstheme="minorHAnsi"/>
              </w:rPr>
            </w:pPr>
          </w:p>
        </w:tc>
        <w:tc>
          <w:tcPr>
            <w:tcW w:w="3799" w:type="dxa"/>
            <w:vMerge/>
            <w:vAlign w:val="center"/>
          </w:tcPr>
          <w:p w14:paraId="6C754432" w14:textId="77777777" w:rsidR="00841366" w:rsidRPr="00D31706" w:rsidRDefault="00841366" w:rsidP="00841366">
            <w:pPr>
              <w:pStyle w:val="ListParagraph"/>
              <w:ind w:left="0"/>
              <w:contextualSpacing w:val="0"/>
              <w:rPr>
                <w:rFonts w:cstheme="minorHAnsi"/>
                <w:sz w:val="21"/>
                <w:szCs w:val="21"/>
              </w:rPr>
            </w:pPr>
          </w:p>
        </w:tc>
        <w:tc>
          <w:tcPr>
            <w:tcW w:w="2592" w:type="dxa"/>
            <w:tcBorders>
              <w:left w:val="nil"/>
              <w:bottom w:val="single" w:sz="8" w:space="0" w:color="auto"/>
              <w:right w:val="single" w:sz="8" w:space="0" w:color="auto"/>
            </w:tcBorders>
            <w:vAlign w:val="center"/>
          </w:tcPr>
          <w:p w14:paraId="69C618E3" w14:textId="2FE0F2F1"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tcBorders>
              <w:top w:val="nil"/>
              <w:left w:val="nil"/>
              <w:bottom w:val="single" w:sz="8" w:space="0" w:color="auto"/>
              <w:right w:val="single" w:sz="8" w:space="0" w:color="auto"/>
            </w:tcBorders>
            <w:vAlign w:val="center"/>
          </w:tcPr>
          <w:p w14:paraId="6FB5BDDD" w14:textId="63D4D4CD"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vAlign w:val="center"/>
          </w:tcPr>
          <w:p w14:paraId="2A41BBBA" w14:textId="583D07ED" w:rsidR="00841366" w:rsidRPr="000E3F5A" w:rsidRDefault="00776103" w:rsidP="00776103">
            <w:pPr>
              <w:pStyle w:val="ListParagraph"/>
              <w:ind w:left="0"/>
              <w:contextualSpacing w:val="0"/>
              <w:jc w:val="center"/>
              <w:rPr>
                <w:rFonts w:cstheme="minorHAnsi"/>
              </w:rPr>
            </w:pPr>
            <w:r>
              <w:rPr>
                <w:rFonts w:eastAsia="Times New Roman"/>
              </w:rPr>
              <w:t>Expected</w:t>
            </w:r>
          </w:p>
        </w:tc>
        <w:tc>
          <w:tcPr>
            <w:tcW w:w="2592" w:type="dxa"/>
            <w:vAlign w:val="center"/>
          </w:tcPr>
          <w:p w14:paraId="36CB8C89" w14:textId="77777777" w:rsidR="00841366" w:rsidRPr="000E3F5A" w:rsidRDefault="00841366" w:rsidP="00776103">
            <w:pPr>
              <w:pStyle w:val="ListParagraph"/>
              <w:ind w:left="0"/>
              <w:contextualSpacing w:val="0"/>
              <w:jc w:val="center"/>
              <w:rPr>
                <w:rFonts w:cstheme="minorHAnsi"/>
              </w:rPr>
            </w:pPr>
            <w:r w:rsidRPr="001B1A9A">
              <w:rPr>
                <w:rFonts w:cstheme="minorHAnsi"/>
              </w:rPr>
              <w:t>Serious / Major</w:t>
            </w:r>
          </w:p>
        </w:tc>
      </w:tr>
      <w:tr w:rsidR="008753F7" w:rsidRPr="000E3F5A" w14:paraId="0627F587" w14:textId="77777777" w:rsidTr="004767E1">
        <w:trPr>
          <w:cantSplit/>
        </w:trPr>
        <w:tc>
          <w:tcPr>
            <w:tcW w:w="1349" w:type="dxa"/>
            <w:vAlign w:val="center"/>
          </w:tcPr>
          <w:p w14:paraId="2C166CFD" w14:textId="77777777" w:rsidR="00841366" w:rsidRPr="000E3F5A" w:rsidRDefault="00841366" w:rsidP="00841366">
            <w:pPr>
              <w:pStyle w:val="ListParagraph"/>
              <w:ind w:left="0"/>
              <w:contextualSpacing w:val="0"/>
              <w:rPr>
                <w:rFonts w:cstheme="minorHAnsi"/>
              </w:rPr>
            </w:pPr>
            <w:r w:rsidRPr="000E3F5A">
              <w:rPr>
                <w:rFonts w:cstheme="minorHAnsi"/>
              </w:rPr>
              <w:lastRenderedPageBreak/>
              <w:t>Esophageal Varices</w:t>
            </w:r>
          </w:p>
        </w:tc>
        <w:tc>
          <w:tcPr>
            <w:tcW w:w="3799" w:type="dxa"/>
            <w:vAlign w:val="center"/>
          </w:tcPr>
          <w:p w14:paraId="6850A731" w14:textId="4A782BFD"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Pr>
                <w:rFonts w:eastAsiaTheme="minorEastAsia" w:cstheme="minorHAnsi"/>
                <w:sz w:val="21"/>
                <w:szCs w:val="21"/>
              </w:rPr>
              <w:t xml:space="preserve"> Per references f</w:t>
            </w:r>
            <w:r w:rsidR="00793F39">
              <w:rPr>
                <w:rFonts w:eastAsiaTheme="minorEastAsia" w:cstheme="minorHAnsi"/>
                <w:sz w:val="21"/>
                <w:szCs w:val="21"/>
              </w:rPr>
              <w:t>rom a</w:t>
            </w:r>
            <w:r>
              <w:rPr>
                <w:rFonts w:eastAsiaTheme="minorEastAsia" w:cstheme="minorHAnsi"/>
                <w:sz w:val="21"/>
                <w:szCs w:val="21"/>
              </w:rPr>
              <w:t xml:space="preserve"> board-certified Emergency Room physician for over 10 years: </w:t>
            </w:r>
          </w:p>
          <w:p w14:paraId="792AE075" w14:textId="77777777" w:rsidR="00841366" w:rsidRDefault="00841366" w:rsidP="00841366">
            <w:pPr>
              <w:pStyle w:val="ListParagraph"/>
              <w:ind w:left="0"/>
              <w:contextualSpacing w:val="0"/>
              <w:rPr>
                <w:rFonts w:eastAsiaTheme="minorEastAsia" w:cstheme="minorHAnsi"/>
                <w:sz w:val="21"/>
                <w:szCs w:val="21"/>
              </w:rPr>
            </w:pPr>
            <w:r>
              <w:rPr>
                <w:rFonts w:eastAsiaTheme="minorEastAsia" w:cstheme="minorHAnsi"/>
                <w:sz w:val="21"/>
                <w:szCs w:val="21"/>
              </w:rPr>
              <w:t xml:space="preserve">Between 1966 and 2013, there have been 50 cases of Esophageal Varices triggered by transfusions. </w:t>
            </w:r>
          </w:p>
          <w:p w14:paraId="7CF1EAA7" w14:textId="77777777" w:rsidR="00841366" w:rsidRDefault="00841366" w:rsidP="00841366">
            <w:pPr>
              <w:pStyle w:val="ListParagraph"/>
              <w:ind w:left="0"/>
              <w:contextualSpacing w:val="0"/>
              <w:rPr>
                <w:rFonts w:eastAsiaTheme="minorEastAsia" w:cstheme="minorHAnsi"/>
                <w:sz w:val="21"/>
                <w:szCs w:val="21"/>
              </w:rPr>
            </w:pPr>
            <w:r>
              <w:rPr>
                <w:rFonts w:eastAsiaTheme="minorEastAsia" w:cstheme="minorHAnsi"/>
                <w:sz w:val="21"/>
                <w:szCs w:val="21"/>
              </w:rPr>
              <w:t>Per the Red Cross, there are 29,000 transfusions per day, or 10,585,000 transfusions per year.</w:t>
            </w:r>
          </w:p>
          <w:p w14:paraId="67C3F623" w14:textId="77777777" w:rsidR="00841366" w:rsidRPr="00D31706" w:rsidRDefault="00841366" w:rsidP="00841366">
            <w:pPr>
              <w:pStyle w:val="ListParagraph"/>
              <w:ind w:left="0"/>
              <w:contextualSpacing w:val="0"/>
              <w:rPr>
                <w:rFonts w:cstheme="minorHAnsi"/>
                <w:sz w:val="21"/>
                <w:szCs w:val="21"/>
              </w:rPr>
            </w:pPr>
            <w:r>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Pr>
                <w:rFonts w:eastAsiaTheme="minorEastAsia" w:cstheme="minorHAnsi"/>
                <w:sz w:val="21"/>
                <w:szCs w:val="21"/>
              </w:rPr>
              <w:t xml:space="preserve"> = Improbable</w:t>
            </w:r>
          </w:p>
          <w:p w14:paraId="63C68517" w14:textId="77777777" w:rsidR="00841366" w:rsidRPr="00D31706" w:rsidRDefault="00841366" w:rsidP="00841366">
            <w:pPr>
              <w:pStyle w:val="ListParagraph"/>
              <w:ind w:left="0"/>
              <w:contextualSpacing w:val="0"/>
              <w:rPr>
                <w:rFonts w:cstheme="minorHAnsi"/>
                <w:sz w:val="21"/>
                <w:szCs w:val="21"/>
              </w:rPr>
            </w:pPr>
          </w:p>
          <w:p w14:paraId="51EC9E2B" w14:textId="77777777" w:rsidR="00841366" w:rsidRDefault="00841366" w:rsidP="0084136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w:t>
            </w:r>
            <w:r>
              <w:rPr>
                <w:rFonts w:eastAsiaTheme="minorEastAsia" w:cstheme="minorHAnsi"/>
                <w:sz w:val="21"/>
                <w:szCs w:val="21"/>
              </w:rPr>
              <w:t xml:space="preserve">  Per board-certified Emergency Room physician for over 10 years. </w:t>
            </w:r>
            <w:r w:rsidRPr="00DD7103">
              <w:rPr>
                <w:rFonts w:eastAsiaTheme="minorEastAsia" w:cstheme="minorHAnsi"/>
                <w:sz w:val="21"/>
                <w:szCs w:val="21"/>
              </w:rPr>
              <w:t xml:space="preserve"> </w:t>
            </w:r>
          </w:p>
          <w:p w14:paraId="7D7CB727" w14:textId="77777777" w:rsidR="00841366" w:rsidRDefault="00841366" w:rsidP="00841366">
            <w:pPr>
              <w:pStyle w:val="ListParagraph"/>
              <w:ind w:left="0"/>
              <w:contextualSpacing w:val="0"/>
              <w:rPr>
                <w:rFonts w:eastAsiaTheme="minorEastAsia" w:cstheme="minorHAnsi"/>
                <w:sz w:val="21"/>
                <w:szCs w:val="21"/>
              </w:rPr>
            </w:pPr>
          </w:p>
          <w:p w14:paraId="1358C118" w14:textId="607BB9FA" w:rsidR="00841366" w:rsidRPr="00D31706" w:rsidRDefault="00841366" w:rsidP="00841366">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→P=Expected</m:t>
              </m:r>
            </m:oMath>
          </w:p>
        </w:tc>
        <w:tc>
          <w:tcPr>
            <w:tcW w:w="2592" w:type="dxa"/>
            <w:tcBorders>
              <w:top w:val="nil"/>
              <w:left w:val="nil"/>
              <w:bottom w:val="single" w:sz="8" w:space="0" w:color="auto"/>
              <w:right w:val="single" w:sz="8" w:space="0" w:color="auto"/>
            </w:tcBorders>
            <w:vAlign w:val="center"/>
          </w:tcPr>
          <w:p w14:paraId="4EF470E9" w14:textId="76F4A0B9"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tcBorders>
              <w:top w:val="nil"/>
              <w:left w:val="nil"/>
              <w:bottom w:val="single" w:sz="8" w:space="0" w:color="auto"/>
              <w:right w:val="single" w:sz="8" w:space="0" w:color="auto"/>
            </w:tcBorders>
            <w:vAlign w:val="center"/>
          </w:tcPr>
          <w:p w14:paraId="129C8785" w14:textId="21C6DAC3" w:rsidR="00841366" w:rsidRPr="000E3F5A" w:rsidRDefault="00841366" w:rsidP="00776103">
            <w:pPr>
              <w:pStyle w:val="ListParagraph"/>
              <w:ind w:left="0"/>
              <w:contextualSpacing w:val="0"/>
              <w:jc w:val="center"/>
              <w:rPr>
                <w:rFonts w:cstheme="minorHAnsi"/>
              </w:rPr>
            </w:pPr>
            <w:r>
              <w:rPr>
                <w:rFonts w:eastAsia="Times New Roman"/>
              </w:rPr>
              <w:t>Expected</w:t>
            </w:r>
          </w:p>
        </w:tc>
        <w:tc>
          <w:tcPr>
            <w:tcW w:w="2592" w:type="dxa"/>
            <w:vAlign w:val="center"/>
          </w:tcPr>
          <w:p w14:paraId="1A07A9DF" w14:textId="58941E71" w:rsidR="00841366" w:rsidRPr="000E3F5A" w:rsidRDefault="001E33A8" w:rsidP="00776103">
            <w:pPr>
              <w:pStyle w:val="ListParagraph"/>
              <w:ind w:left="0"/>
              <w:contextualSpacing w:val="0"/>
              <w:jc w:val="center"/>
              <w:rPr>
                <w:rFonts w:cstheme="minorHAnsi"/>
              </w:rPr>
            </w:pPr>
            <w:r>
              <w:rPr>
                <w:rFonts w:eastAsia="Times New Roman"/>
              </w:rPr>
              <w:t>Expected</w:t>
            </w:r>
          </w:p>
        </w:tc>
        <w:tc>
          <w:tcPr>
            <w:tcW w:w="2592" w:type="dxa"/>
            <w:vAlign w:val="center"/>
          </w:tcPr>
          <w:p w14:paraId="330C9E76" w14:textId="3DF1F0A4" w:rsidR="00841366" w:rsidRPr="000E3F5A" w:rsidRDefault="00841366" w:rsidP="00776103">
            <w:pPr>
              <w:pStyle w:val="ListParagraph"/>
              <w:ind w:left="0"/>
              <w:contextualSpacing w:val="0"/>
              <w:jc w:val="center"/>
              <w:rPr>
                <w:rFonts w:cstheme="minorHAnsi"/>
              </w:rPr>
            </w:pPr>
            <w:r>
              <w:rPr>
                <w:rFonts w:cstheme="minorHAnsi"/>
              </w:rPr>
              <w:t>Catastrophic / Fatal</w:t>
            </w:r>
          </w:p>
        </w:tc>
      </w:tr>
      <w:bookmarkEnd w:id="93"/>
    </w:tbl>
    <w:p w14:paraId="4602FBA8" w14:textId="77777777" w:rsidR="002B41E0" w:rsidRPr="001734B9" w:rsidRDefault="002B41E0" w:rsidP="002B41E0">
      <w:pPr>
        <w:pStyle w:val="ListParagraph"/>
        <w:contextualSpacing w:val="0"/>
        <w:rPr>
          <w:rFonts w:cstheme="minorHAnsi"/>
        </w:rPr>
      </w:pPr>
    </w:p>
    <w:p w14:paraId="10AA0282" w14:textId="77777777" w:rsidR="006A2773" w:rsidRPr="006A2773" w:rsidRDefault="002B41E0">
      <w:pPr>
        <w:pStyle w:val="ListParagraph"/>
        <w:numPr>
          <w:ilvl w:val="2"/>
          <w:numId w:val="30"/>
        </w:numPr>
        <w:rPr>
          <w:rFonts w:cstheme="minorHAnsi"/>
        </w:rPr>
      </w:pPr>
      <w:r>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006A2773">
        <w:rPr>
          <w:rFonts w:eastAsiaTheme="minorEastAsia" w:cstheme="minorHAnsi"/>
        </w:rPr>
        <w:t>:</w:t>
      </w:r>
    </w:p>
    <w:p w14:paraId="7B7D3E09" w14:textId="57148B5C" w:rsidR="002B41E0" w:rsidRPr="00C45E04" w:rsidRDefault="006A2773">
      <w:pPr>
        <w:pStyle w:val="ListParagraph"/>
        <w:numPr>
          <w:ilvl w:val="3"/>
          <w:numId w:val="30"/>
        </w:numPr>
        <w:rPr>
          <w:rFonts w:cstheme="minorHAnsi"/>
        </w:rPr>
      </w:pPr>
      <w:r>
        <w:rPr>
          <w:rFonts w:eastAsiaTheme="minorEastAsia" w:cstheme="minorHAnsi"/>
        </w:rPr>
        <w:t>N</w:t>
      </w:r>
      <w:r w:rsidR="002B41E0">
        <w:rPr>
          <w:rFonts w:eastAsiaTheme="minorEastAsia" w:cstheme="minorHAnsi"/>
        </w:rPr>
        <w:t xml:space="preserve">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F60A9B" w14:paraId="0BC2DBC6" w14:textId="77777777" w:rsidTr="005E359C">
        <w:trPr>
          <w:cantSplit/>
          <w:tblHeader/>
          <w:jc w:val="center"/>
        </w:trPr>
        <w:tc>
          <w:tcPr>
            <w:tcW w:w="0" w:type="auto"/>
            <w:tcBorders>
              <w:top w:val="nil"/>
              <w:left w:val="nil"/>
              <w:bottom w:val="single" w:sz="4" w:space="0" w:color="auto"/>
            </w:tcBorders>
          </w:tcPr>
          <w:p w14:paraId="0EC1CF97" w14:textId="77777777" w:rsidR="002B41E0" w:rsidRPr="00F60A9B" w:rsidRDefault="00000000" w:rsidP="008D3D62">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3C45921F" w14:textId="77777777" w:rsidR="002B41E0" w:rsidRPr="005B7BEE" w:rsidRDefault="002B41E0" w:rsidP="008D3D62">
            <w:pPr>
              <w:jc w:val="center"/>
              <w:rPr>
                <w:sz w:val="14"/>
                <w:szCs w:val="14"/>
              </w:rPr>
            </w:pPr>
            <w:r w:rsidRPr="005B7BEE">
              <w:rPr>
                <w:sz w:val="14"/>
                <w:szCs w:val="14"/>
              </w:rPr>
              <w:t>Negligible</w:t>
            </w:r>
          </w:p>
          <w:p w14:paraId="540386ED" w14:textId="77777777" w:rsidR="002B41E0" w:rsidRPr="005B7BEE" w:rsidRDefault="002B41E0" w:rsidP="008D3D62">
            <w:pPr>
              <w:jc w:val="center"/>
              <w:rPr>
                <w:sz w:val="14"/>
                <w:szCs w:val="14"/>
              </w:rPr>
            </w:pPr>
          </w:p>
        </w:tc>
        <w:tc>
          <w:tcPr>
            <w:tcW w:w="0" w:type="auto"/>
            <w:tcBorders>
              <w:top w:val="single" w:sz="4" w:space="0" w:color="auto"/>
              <w:bottom w:val="single" w:sz="12" w:space="0" w:color="auto"/>
            </w:tcBorders>
            <w:vAlign w:val="center"/>
          </w:tcPr>
          <w:p w14:paraId="265C1FDF" w14:textId="77777777" w:rsidR="002B41E0" w:rsidRPr="005B7BEE" w:rsidRDefault="002B41E0" w:rsidP="008D3D62">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373F6576" w14:textId="77777777" w:rsidR="002B41E0" w:rsidRPr="005B7BEE" w:rsidRDefault="002B41E0" w:rsidP="008D3D62">
            <w:pPr>
              <w:jc w:val="center"/>
              <w:rPr>
                <w:sz w:val="14"/>
                <w:szCs w:val="14"/>
              </w:rPr>
            </w:pPr>
            <w:r w:rsidRPr="005B7BEE">
              <w:rPr>
                <w:sz w:val="14"/>
                <w:szCs w:val="14"/>
              </w:rPr>
              <w:t xml:space="preserve">Serious / </w:t>
            </w:r>
          </w:p>
          <w:p w14:paraId="1624233B" w14:textId="77777777" w:rsidR="002B41E0" w:rsidRPr="005B7BEE" w:rsidRDefault="002B41E0" w:rsidP="008D3D62">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03684D3A" w14:textId="77777777" w:rsidR="002B41E0" w:rsidRPr="005B7BEE" w:rsidRDefault="002B41E0" w:rsidP="008D3D62">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36765CA" w14:textId="77777777" w:rsidR="002B41E0" w:rsidRPr="005B7BEE" w:rsidRDefault="002B41E0" w:rsidP="008D3D62">
            <w:pPr>
              <w:jc w:val="center"/>
              <w:rPr>
                <w:sz w:val="14"/>
                <w:szCs w:val="14"/>
              </w:rPr>
            </w:pPr>
            <w:r w:rsidRPr="005B7BEE">
              <w:rPr>
                <w:sz w:val="14"/>
                <w:szCs w:val="14"/>
              </w:rPr>
              <w:t xml:space="preserve">Catastrophic </w:t>
            </w:r>
          </w:p>
          <w:p w14:paraId="40B8C74E" w14:textId="77777777" w:rsidR="002B41E0" w:rsidRPr="005B7BEE" w:rsidRDefault="002B41E0" w:rsidP="008D3D62">
            <w:pPr>
              <w:jc w:val="center"/>
              <w:rPr>
                <w:sz w:val="14"/>
                <w:szCs w:val="14"/>
              </w:rPr>
            </w:pPr>
            <w:r w:rsidRPr="005B7BEE">
              <w:rPr>
                <w:sz w:val="14"/>
                <w:szCs w:val="14"/>
              </w:rPr>
              <w:t>/ Fatal</w:t>
            </w:r>
          </w:p>
        </w:tc>
      </w:tr>
      <w:tr w:rsidR="001734D9" w:rsidRPr="00F60A9B" w14:paraId="0997FE55" w14:textId="77777777" w:rsidTr="005C22D5">
        <w:trPr>
          <w:cantSplit/>
          <w:jc w:val="center"/>
        </w:trPr>
        <w:tc>
          <w:tcPr>
            <w:tcW w:w="0" w:type="auto"/>
            <w:tcBorders>
              <w:top w:val="single" w:sz="4" w:space="0" w:color="auto"/>
              <w:right w:val="single" w:sz="12" w:space="0" w:color="auto"/>
            </w:tcBorders>
          </w:tcPr>
          <w:p w14:paraId="4D75E5A3" w14:textId="77777777" w:rsidR="001734D9" w:rsidRPr="005B7BEE" w:rsidRDefault="001734D9" w:rsidP="001734D9">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EF78C96" w14:textId="22CF2023" w:rsidR="001734D9" w:rsidRPr="00F60A9B"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9D91F53" w14:textId="3DD2E4C9" w:rsidR="001734D9" w:rsidRPr="00210DD1" w:rsidRDefault="001734D9" w:rsidP="001734D9">
            <w:pPr>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59937BE8" w14:textId="34B957A1" w:rsidR="001734D9" w:rsidRPr="00210DD1" w:rsidRDefault="001734D9" w:rsidP="001734D9">
            <w:pPr>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0A055B6F" w14:textId="14DDF1CC"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A91773C" w14:textId="766A6692" w:rsidR="001734D9" w:rsidRPr="00F60A9B" w:rsidRDefault="001734D9" w:rsidP="001734D9">
            <w:pPr>
              <w:jc w:val="center"/>
            </w:pPr>
            <w:r>
              <w:rPr>
                <w:rFonts w:ascii="Calibri" w:hAnsi="Calibri" w:cs="Calibri"/>
                <w:color w:val="000000"/>
              </w:rPr>
              <w:t>1</w:t>
            </w:r>
          </w:p>
        </w:tc>
      </w:tr>
      <w:tr w:rsidR="001734D9" w:rsidRPr="00F60A9B" w14:paraId="0B5E43D2" w14:textId="77777777" w:rsidTr="005C22D5">
        <w:trPr>
          <w:cantSplit/>
          <w:jc w:val="center"/>
        </w:trPr>
        <w:tc>
          <w:tcPr>
            <w:tcW w:w="0" w:type="auto"/>
            <w:tcBorders>
              <w:right w:val="single" w:sz="12" w:space="0" w:color="auto"/>
            </w:tcBorders>
          </w:tcPr>
          <w:p w14:paraId="2704CBF0" w14:textId="77777777" w:rsidR="001734D9" w:rsidRPr="005B7BEE" w:rsidRDefault="001734D9" w:rsidP="001734D9">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E106D7B" w14:textId="41E0D339" w:rsidR="001734D9"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74509D5" w14:textId="413F8934"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971DDA" w14:textId="5C5878FC"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660F622" w14:textId="59BE29EE" w:rsidR="001734D9" w:rsidRPr="00210DD1"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60CF4A32" w14:textId="213F7C82" w:rsidR="001734D9" w:rsidRDefault="001734D9" w:rsidP="001734D9">
            <w:pPr>
              <w:jc w:val="center"/>
            </w:pPr>
            <w:r>
              <w:rPr>
                <w:rFonts w:ascii="Calibri" w:hAnsi="Calibri" w:cs="Calibri"/>
                <w:color w:val="000000"/>
              </w:rPr>
              <w:t>0</w:t>
            </w:r>
          </w:p>
        </w:tc>
      </w:tr>
      <w:tr w:rsidR="001734D9" w:rsidRPr="00F60A9B" w14:paraId="6F16BB69" w14:textId="77777777" w:rsidTr="005C22D5">
        <w:trPr>
          <w:cantSplit/>
          <w:jc w:val="center"/>
        </w:trPr>
        <w:tc>
          <w:tcPr>
            <w:tcW w:w="0" w:type="auto"/>
            <w:tcBorders>
              <w:top w:val="single" w:sz="4" w:space="0" w:color="auto"/>
              <w:right w:val="single" w:sz="12" w:space="0" w:color="auto"/>
            </w:tcBorders>
          </w:tcPr>
          <w:p w14:paraId="3A5C9918" w14:textId="77777777" w:rsidR="001734D9" w:rsidRPr="005B7BEE" w:rsidRDefault="001734D9" w:rsidP="001734D9">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D6A0457" w14:textId="3D413856" w:rsidR="001734D9"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735302F" w14:textId="4907FAB4"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8645DB" w14:textId="2030B714"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32A0AC" w14:textId="0AEE6056"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4AD694" w14:textId="72E0B595" w:rsidR="001734D9" w:rsidRDefault="001734D9" w:rsidP="001734D9">
            <w:pPr>
              <w:jc w:val="center"/>
            </w:pPr>
            <w:r>
              <w:rPr>
                <w:rFonts w:ascii="Calibri" w:hAnsi="Calibri" w:cs="Calibri"/>
                <w:color w:val="000000"/>
              </w:rPr>
              <w:t>1</w:t>
            </w:r>
          </w:p>
        </w:tc>
      </w:tr>
      <w:tr w:rsidR="001734D9" w:rsidRPr="00F60A9B" w14:paraId="4EC1E064" w14:textId="77777777" w:rsidTr="005C22D5">
        <w:trPr>
          <w:cantSplit/>
          <w:jc w:val="center"/>
        </w:trPr>
        <w:tc>
          <w:tcPr>
            <w:tcW w:w="0" w:type="auto"/>
            <w:tcBorders>
              <w:right w:val="single" w:sz="12" w:space="0" w:color="auto"/>
            </w:tcBorders>
          </w:tcPr>
          <w:p w14:paraId="5620AE91" w14:textId="77777777" w:rsidR="001734D9" w:rsidRPr="005B7BEE" w:rsidRDefault="001734D9" w:rsidP="001734D9">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ED5E198" w14:textId="54266149"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3C53CB" w14:textId="43E42A4A"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6768D6" w14:textId="17039BFF"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2DCEA2" w14:textId="6AF7860F"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D5CDE1D" w14:textId="657B71F5" w:rsidR="001734D9" w:rsidRPr="00F60A9B" w:rsidRDefault="001734D9" w:rsidP="001734D9">
            <w:pPr>
              <w:jc w:val="center"/>
            </w:pPr>
            <w:r>
              <w:rPr>
                <w:rFonts w:ascii="Calibri" w:hAnsi="Calibri" w:cs="Calibri"/>
                <w:color w:val="000000"/>
              </w:rPr>
              <w:t>0</w:t>
            </w:r>
          </w:p>
        </w:tc>
      </w:tr>
      <w:tr w:rsidR="001734D9" w:rsidRPr="00F60A9B" w14:paraId="112CB3ED" w14:textId="77777777" w:rsidTr="005C22D5">
        <w:trPr>
          <w:cantSplit/>
          <w:jc w:val="center"/>
        </w:trPr>
        <w:tc>
          <w:tcPr>
            <w:tcW w:w="0" w:type="auto"/>
            <w:tcBorders>
              <w:right w:val="single" w:sz="12" w:space="0" w:color="auto"/>
            </w:tcBorders>
          </w:tcPr>
          <w:p w14:paraId="7ECA3EB5" w14:textId="77777777" w:rsidR="001734D9" w:rsidRPr="005B7BEE" w:rsidRDefault="001734D9" w:rsidP="001734D9">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FD4928D" w14:textId="799BF9F8"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06FB2D" w14:textId="586B91D6"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DE998E" w14:textId="2A206614"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5B5BCDE" w14:textId="61FD9188"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1B7A39" w14:textId="3AF9E8EF" w:rsidR="001734D9" w:rsidRPr="00F60A9B" w:rsidRDefault="001734D9" w:rsidP="001734D9">
            <w:pPr>
              <w:jc w:val="center"/>
            </w:pPr>
            <w:r>
              <w:rPr>
                <w:rFonts w:ascii="Calibri" w:hAnsi="Calibri" w:cs="Calibri"/>
                <w:color w:val="000000"/>
              </w:rPr>
              <w:t>0</w:t>
            </w:r>
          </w:p>
        </w:tc>
      </w:tr>
      <w:tr w:rsidR="001734D9" w:rsidRPr="00F60A9B" w14:paraId="0B104532" w14:textId="77777777" w:rsidTr="005C22D5">
        <w:trPr>
          <w:cantSplit/>
          <w:jc w:val="center"/>
        </w:trPr>
        <w:tc>
          <w:tcPr>
            <w:tcW w:w="0" w:type="auto"/>
            <w:tcBorders>
              <w:right w:val="single" w:sz="12" w:space="0" w:color="auto"/>
            </w:tcBorders>
          </w:tcPr>
          <w:p w14:paraId="7AFF4F0E" w14:textId="77777777" w:rsidR="001734D9" w:rsidRPr="002F2749" w:rsidRDefault="001734D9" w:rsidP="001734D9">
            <w:pPr>
              <w:rPr>
                <w:sz w:val="14"/>
                <w:szCs w:val="14"/>
              </w:rPr>
            </w:pPr>
            <w:r w:rsidRPr="002F2749">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F88C2A0" w14:textId="1BE5718D"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C9F3564" w14:textId="1AE32F02"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2CFF8D2" w14:textId="432E4B95"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8972AC" w14:textId="0F59CF0C"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00F6FE" w14:textId="647EB7F2" w:rsidR="001734D9" w:rsidRPr="00F60A9B" w:rsidRDefault="001734D9" w:rsidP="001734D9">
            <w:pPr>
              <w:jc w:val="center"/>
            </w:pPr>
            <w:r>
              <w:rPr>
                <w:rFonts w:ascii="Calibri" w:hAnsi="Calibri" w:cs="Calibri"/>
                <w:color w:val="000000"/>
              </w:rPr>
              <w:t>0</w:t>
            </w:r>
          </w:p>
        </w:tc>
      </w:tr>
      <w:tr w:rsidR="001734D9" w:rsidRPr="00F60A9B" w14:paraId="0CA692A8" w14:textId="77777777" w:rsidTr="005C22D5">
        <w:trPr>
          <w:cantSplit/>
          <w:jc w:val="center"/>
        </w:trPr>
        <w:tc>
          <w:tcPr>
            <w:tcW w:w="0" w:type="auto"/>
            <w:tcBorders>
              <w:right w:val="single" w:sz="12" w:space="0" w:color="auto"/>
            </w:tcBorders>
          </w:tcPr>
          <w:p w14:paraId="0A3B3741" w14:textId="77777777" w:rsidR="001734D9" w:rsidRPr="002F2749" w:rsidRDefault="001734D9" w:rsidP="001734D9">
            <w:pPr>
              <w:rPr>
                <w:sz w:val="14"/>
                <w:szCs w:val="14"/>
              </w:rPr>
            </w:pPr>
            <w:r w:rsidRPr="002F2749">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1CC372E9" w14:textId="44CDEB70" w:rsidR="001734D9" w:rsidRPr="00F60A9B"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11C1443" w14:textId="3E67CF55" w:rsidR="001734D9" w:rsidRPr="00210DD1"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D4209FB" w14:textId="5479A49A" w:rsidR="001734D9" w:rsidRPr="00210DD1"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985D280" w14:textId="4971D3E6" w:rsidR="001734D9" w:rsidRPr="00210DD1"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4DE95D21" w14:textId="224CC2CC" w:rsidR="001734D9" w:rsidRPr="00F60A9B" w:rsidRDefault="001734D9" w:rsidP="001734D9">
            <w:pPr>
              <w:jc w:val="center"/>
            </w:pPr>
            <w:r>
              <w:rPr>
                <w:rFonts w:ascii="Calibri" w:hAnsi="Calibri" w:cs="Calibri"/>
                <w:color w:val="000000"/>
              </w:rPr>
              <w:t>0</w:t>
            </w:r>
          </w:p>
        </w:tc>
      </w:tr>
    </w:tbl>
    <w:p w14:paraId="6D54FE6F" w14:textId="3DC44AFF" w:rsidR="002B41E0" w:rsidRPr="001734B9" w:rsidRDefault="002B41E0" w:rsidP="002B41E0">
      <w:pPr>
        <w:pStyle w:val="Caption"/>
        <w:keepNext/>
        <w:spacing w:before="120"/>
        <w:jc w:val="center"/>
        <w:rPr>
          <w:rFonts w:cstheme="minorHAnsi"/>
        </w:rPr>
      </w:pPr>
      <w:r>
        <w:t xml:space="preserve">Table </w:t>
      </w:r>
      <w:r>
        <w:fldChar w:fldCharType="begin"/>
      </w:r>
      <w:r>
        <w:instrText xml:space="preserve"> SEQ Table \* ARABIC </w:instrText>
      </w:r>
      <w:r>
        <w:fldChar w:fldCharType="separate"/>
      </w:r>
      <w:r w:rsidR="001E41EA">
        <w:rPr>
          <w:noProof/>
        </w:rPr>
        <w:t>10</w:t>
      </w:r>
      <w:r>
        <w:rPr>
          <w:noProof/>
        </w:rPr>
        <w:fldChar w:fldCharType="end"/>
      </w:r>
      <w:r>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B</m:t>
                </m:r>
              </m:sub>
            </m:sSub>
          </m:sub>
        </m:sSub>
      </m:oMath>
      <w:r>
        <w:rPr>
          <w:rFonts w:eastAsiaTheme="minorEastAsia"/>
        </w:rPr>
        <w:t xml:space="preserve"> for the example in Attachment A</w:t>
      </w:r>
    </w:p>
    <w:p w14:paraId="70B1EC7F" w14:textId="77777777" w:rsidR="002B41E0" w:rsidRPr="00315DE1" w:rsidRDefault="002B41E0">
      <w:pPr>
        <w:pStyle w:val="ListParagraph"/>
        <w:numPr>
          <w:ilvl w:val="1"/>
          <w:numId w:val="30"/>
        </w:numPr>
      </w:pPr>
      <w:r>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Pr>
          <w:rFonts w:eastAsiaTheme="minorEastAsia"/>
        </w:rPr>
        <w:t xml:space="preserve">:  </w:t>
      </w:r>
    </w:p>
    <w:p w14:paraId="74CAADDC" w14:textId="77777777" w:rsidR="002B41E0" w:rsidRPr="003C22FC" w:rsidRDefault="002B41E0" w:rsidP="002B41E0">
      <w:pPr>
        <w:pStyle w:val="ListParagraph"/>
        <w:ind w:left="1440"/>
      </w:pPr>
    </w:p>
    <w:p w14:paraId="1E7CB627" w14:textId="77777777" w:rsidR="002B41E0" w:rsidRPr="002F2749" w:rsidRDefault="002B41E0">
      <w:pPr>
        <w:pStyle w:val="ListParagraph"/>
        <w:numPr>
          <w:ilvl w:val="2"/>
          <w:numId w:val="30"/>
        </w:numPr>
      </w:pPr>
      <w:r>
        <w:rPr>
          <w:rFonts w:eastAsiaTheme="minorEastAsia"/>
        </w:rPr>
        <w:lastRenderedPageBreak/>
        <w:t>Generate</w:t>
      </w:r>
      <w:r w:rsidRPr="002F2749">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2F2749">
        <w:rPr>
          <w:rFonts w:eastAsiaTheme="minorEastAsia"/>
        </w:rPr>
        <w:t xml:space="preserve"> </w:t>
      </w:r>
      <w:r>
        <w:rPr>
          <w:rFonts w:eastAsiaTheme="minorEastAsia"/>
        </w:rPr>
        <w:t xml:space="preserve">by </w:t>
      </w:r>
      <w:r>
        <w:t>identifying the health conditions in this patient population that might remain after receiving the medical treatment</w:t>
      </w:r>
      <w:r>
        <w:rPr>
          <w:rFonts w:eastAsiaTheme="minorEastAsia"/>
        </w:rPr>
        <w:t xml:space="preserve">.  </w:t>
      </w:r>
    </w:p>
    <w:p w14:paraId="3164B8EE" w14:textId="77777777" w:rsidR="002B41E0" w:rsidRDefault="002B41E0">
      <w:pPr>
        <w:pStyle w:val="ListParagraph"/>
        <w:numPr>
          <w:ilvl w:val="3"/>
          <w:numId w:val="30"/>
        </w:numPr>
      </w:pPr>
      <w:r>
        <w:rPr>
          <w:rFonts w:eastAsiaTheme="minorEastAsia"/>
        </w:rPr>
        <w:t xml:space="preserve">Since we are using </w:t>
      </w:r>
      <m:oMath>
        <m: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Pr>
          <w:rFonts w:eastAsiaTheme="minorEastAsia"/>
        </w:rPr>
        <w:t xml:space="preserve"> will normally contain </w:t>
      </w:r>
      <w:r w:rsidRPr="002F2749">
        <w:rPr>
          <w:rFonts w:eastAsiaTheme="minorEastAsia"/>
        </w:rPr>
        <w:t xml:space="preserve">the same </w:t>
      </w:r>
      <w:r>
        <w:t xml:space="preserve">health conditions as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Pr>
          <w:rFonts w:eastAsiaTheme="minorEastAsia"/>
        </w:rPr>
        <w:t xml:space="preserve"> – particularly since </w:t>
      </w:r>
      <m:oMath>
        <m:sSub>
          <m:sSubPr>
            <m:ctrlPr>
              <w:rPr>
                <w:rFonts w:ascii="Cambria Math" w:hAnsi="Cambria Math"/>
                <w:i/>
              </w:rPr>
            </m:ctrlPr>
          </m:sSubPr>
          <m:e>
            <m:r>
              <w:rPr>
                <w:rFonts w:ascii="Cambria Math" w:hAnsi="Cambria Math"/>
              </w:rPr>
              <m:t>Table</m:t>
            </m:r>
          </m:e>
          <m:sub>
            <m:r>
              <w:rPr>
                <w:rFonts w:ascii="Cambria Math" w:hAnsi="Cambria Math"/>
              </w:rPr>
              <m:t>R</m:t>
            </m:r>
          </m:sub>
        </m:sSub>
      </m:oMath>
      <w:r>
        <w:t xml:space="preserve"> contains any health risks that were created by the medical treatment.  </w:t>
      </w:r>
    </w:p>
    <w:p w14:paraId="0017563C" w14:textId="00F73BDE" w:rsidR="002B41E0" w:rsidRDefault="002B41E0">
      <w:pPr>
        <w:pStyle w:val="ListParagraph"/>
        <w:numPr>
          <w:ilvl w:val="3"/>
          <w:numId w:val="30"/>
        </w:numPr>
      </w:pPr>
      <w:r>
        <w:t xml:space="preserve">Per </w:t>
      </w:r>
      <w:r w:rsidR="007D09CE">
        <w:t xml:space="preserve">the </w:t>
      </w:r>
      <w:r w:rsidR="007D09CE">
        <w:rPr>
          <w:rFonts w:eastAsiaTheme="minorEastAsia" w:cstheme="minorHAnsi"/>
          <w:sz w:val="21"/>
          <w:szCs w:val="21"/>
        </w:rPr>
        <w:t>board-certified Emergency Room physician for over 10 years</w:t>
      </w:r>
      <w:r>
        <w:t xml:space="preserve"> for this example,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t xml:space="preserve"> are the same as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2F2749">
        <w:rPr>
          <w:rFonts w:eastAsiaTheme="minorEastAsia"/>
        </w:rPr>
        <w:t xml:space="preserve">.  </w:t>
      </w:r>
      <w:r>
        <w:t xml:space="preserve"> </w:t>
      </w:r>
    </w:p>
    <w:p w14:paraId="1A53F21F" w14:textId="77777777" w:rsidR="002B41E0" w:rsidRPr="006E333A" w:rsidRDefault="002B41E0" w:rsidP="002B41E0">
      <w:pPr>
        <w:pStyle w:val="ListParagraph"/>
        <w:ind w:left="1440"/>
        <w:contextualSpacing w:val="0"/>
      </w:pPr>
    </w:p>
    <w:p w14:paraId="217C5D31" w14:textId="21DE92C2" w:rsidR="002B41E0" w:rsidRPr="004767E1" w:rsidRDefault="002B41E0">
      <w:pPr>
        <w:pStyle w:val="ListParagraph"/>
        <w:numPr>
          <w:ilvl w:val="2"/>
          <w:numId w:val="30"/>
        </w:numPr>
      </w:pPr>
      <w:r w:rsidRPr="00931D3A">
        <w:rPr>
          <w:rFonts w:eastAsiaTheme="minorEastAsia" w:cstheme="minorHAnsi"/>
        </w:rPr>
        <w:t xml:space="preserve">Identify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severities of harm for each ‘Health Condition’ / Hazardous Situation, and determine </w:t>
      </w:r>
      <m:oMath>
        <m:r>
          <w:rPr>
            <w:rFonts w:ascii="Cambria Math" w:eastAsiaTheme="minorEastAsia" w:hAnsi="Cambria Math" w:cstheme="minorHAnsi"/>
          </w:rPr>
          <m:t>P</m:t>
        </m:r>
      </m:oMath>
      <w:r w:rsidRPr="00931D3A">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and </w:t>
      </w:r>
      <w:r w:rsidR="00757DAF">
        <w:rPr>
          <w:rFonts w:eastAsiaTheme="minorEastAsia" w:cstheme="minorHAnsi"/>
        </w:rPr>
        <w:fldChar w:fldCharType="begin"/>
      </w:r>
      <w:r w:rsidR="00757DAF">
        <w:rPr>
          <w:rFonts w:eastAsiaTheme="minorEastAsia" w:cstheme="minorHAnsi"/>
        </w:rPr>
        <w:instrText xml:space="preserve"> REF _Ref146694551 \h </w:instrText>
      </w:r>
      <w:r w:rsidR="00757DAF">
        <w:rPr>
          <w:rFonts w:eastAsiaTheme="minorEastAsia" w:cstheme="minorHAnsi"/>
        </w:rPr>
      </w:r>
      <w:r w:rsidR="00757DAF">
        <w:rPr>
          <w:rFonts w:eastAsiaTheme="minorEastAsia" w:cstheme="minorHAnsi"/>
        </w:rPr>
        <w:fldChar w:fldCharType="separate"/>
      </w:r>
      <w:r w:rsidR="001E41EA">
        <w:t xml:space="preserve">Table </w:t>
      </w:r>
      <w:r w:rsidR="001E41EA">
        <w:rPr>
          <w:noProof/>
        </w:rPr>
        <w:t>4</w:t>
      </w:r>
      <w:r w:rsidR="00757DAF">
        <w:rPr>
          <w:rFonts w:eastAsiaTheme="minorEastAsia" w:cstheme="minorHAnsi"/>
        </w:rPr>
        <w:fldChar w:fldCharType="end"/>
      </w:r>
      <w:r>
        <w:rPr>
          <w:rFonts w:eastAsiaTheme="minorEastAsia" w:cstheme="minorHAnsi"/>
        </w:rPr>
        <w:t xml:space="preserve">to assign probability and severity levels for the various scenarios with each Hazardous Situation. </w:t>
      </w:r>
    </w:p>
    <w:p w14:paraId="73A13906" w14:textId="77777777" w:rsidR="004767E1" w:rsidRDefault="004767E1" w:rsidP="004767E1">
      <w:pPr>
        <w:pStyle w:val="ListParagraph"/>
        <w:ind w:left="1152"/>
      </w:pPr>
    </w:p>
    <w:tbl>
      <w:tblPr>
        <w:tblStyle w:val="TableGrid"/>
        <w:tblW w:w="0" w:type="auto"/>
        <w:tblInd w:w="1152" w:type="dxa"/>
        <w:tblLayout w:type="fixed"/>
        <w:tblLook w:val="04A0" w:firstRow="1" w:lastRow="0" w:firstColumn="1" w:lastColumn="0" w:noHBand="0" w:noVBand="1"/>
      </w:tblPr>
      <w:tblGrid>
        <w:gridCol w:w="1426"/>
        <w:gridCol w:w="5328"/>
        <w:gridCol w:w="1138"/>
        <w:gridCol w:w="1138"/>
        <w:gridCol w:w="1138"/>
        <w:gridCol w:w="1498"/>
      </w:tblGrid>
      <w:tr w:rsidR="00DE10F6" w14:paraId="3CE92906" w14:textId="77777777" w:rsidTr="00024DD9">
        <w:trPr>
          <w:cantSplit/>
          <w:tblHeader/>
        </w:trPr>
        <w:tc>
          <w:tcPr>
            <w:tcW w:w="1426" w:type="dxa"/>
            <w:vAlign w:val="center"/>
          </w:tcPr>
          <w:p w14:paraId="3161DC4C" w14:textId="77777777" w:rsidR="00DE10F6" w:rsidRDefault="00DE10F6" w:rsidP="00024DD9">
            <w:pPr>
              <w:pStyle w:val="ListParagraph"/>
              <w:ind w:left="0"/>
            </w:pPr>
            <w:r w:rsidRPr="000E3F5A">
              <w:rPr>
                <w:rFonts w:cstheme="minorHAnsi"/>
                <w:b/>
                <w:bCs/>
                <w:sz w:val="26"/>
                <w:szCs w:val="26"/>
              </w:rPr>
              <w:t xml:space="preserve">Hazardous Situation </w:t>
            </w:r>
          </w:p>
        </w:tc>
        <w:tc>
          <w:tcPr>
            <w:tcW w:w="5328" w:type="dxa"/>
            <w:vAlign w:val="center"/>
          </w:tcPr>
          <w:p w14:paraId="124D19CB" w14:textId="77777777" w:rsidR="00DE10F6" w:rsidRDefault="00DE10F6" w:rsidP="00024DD9">
            <w:pPr>
              <w:pStyle w:val="ListParagraph"/>
              <w:ind w:left="0"/>
            </w:pPr>
            <w:r>
              <w:rPr>
                <w:rFonts w:cstheme="minorHAnsi"/>
                <w:b/>
                <w:bCs/>
                <w:sz w:val="26"/>
                <w:szCs w:val="26"/>
              </w:rPr>
              <w:t>Reference Information</w:t>
            </w:r>
          </w:p>
        </w:tc>
        <w:tc>
          <w:tcPr>
            <w:tcW w:w="1138" w:type="dxa"/>
            <w:vAlign w:val="center"/>
          </w:tcPr>
          <w:p w14:paraId="32E32D7B" w14:textId="77777777" w:rsidR="00DE10F6"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50548C04" w14:textId="77777777" w:rsidR="00DE10F6"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138" w:type="dxa"/>
            <w:vAlign w:val="center"/>
          </w:tcPr>
          <w:p w14:paraId="568C6878" w14:textId="77777777" w:rsidR="00DE10F6" w:rsidRDefault="00DE10F6" w:rsidP="00024DD9">
            <w:pPr>
              <w:pStyle w:val="ListParagraph"/>
              <w:ind w:left="0"/>
            </w:pPr>
            <m:oMathPara>
              <m:oMath>
                <m:r>
                  <m:rPr>
                    <m:sty m:val="bi"/>
                  </m:rPr>
                  <w:rPr>
                    <w:rFonts w:ascii="Cambria Math" w:hAnsi="Cambria Math" w:cstheme="minorHAnsi"/>
                    <w:sz w:val="26"/>
                    <w:szCs w:val="26"/>
                  </w:rPr>
                  <m:t>P</m:t>
                </m:r>
              </m:oMath>
            </m:oMathPara>
          </w:p>
        </w:tc>
        <w:tc>
          <w:tcPr>
            <w:tcW w:w="1498" w:type="dxa"/>
            <w:vAlign w:val="center"/>
          </w:tcPr>
          <w:p w14:paraId="63909676" w14:textId="77777777" w:rsidR="00DE10F6" w:rsidRDefault="00DE10F6" w:rsidP="00024DD9">
            <w:pPr>
              <w:pStyle w:val="ListParagraph"/>
              <w:ind w:left="0"/>
            </w:pPr>
            <w:r w:rsidRPr="000E3F5A">
              <w:rPr>
                <w:rFonts w:cstheme="minorHAnsi"/>
                <w:b/>
                <w:bCs/>
                <w:sz w:val="26"/>
                <w:szCs w:val="26"/>
              </w:rPr>
              <w:t>Severity</w:t>
            </w:r>
          </w:p>
        </w:tc>
      </w:tr>
      <w:tr w:rsidR="00DE10F6" w14:paraId="2C008A2E" w14:textId="77777777" w:rsidTr="00024DD9">
        <w:trPr>
          <w:cantSplit/>
        </w:trPr>
        <w:tc>
          <w:tcPr>
            <w:tcW w:w="1426" w:type="dxa"/>
            <w:vAlign w:val="center"/>
          </w:tcPr>
          <w:p w14:paraId="57D7A432" w14:textId="34A41C52" w:rsidR="00DE10F6" w:rsidRDefault="00DE10F6" w:rsidP="00DE10F6">
            <w:pPr>
              <w:pStyle w:val="ListParagraph"/>
              <w:ind w:left="0"/>
            </w:pPr>
            <w:r w:rsidRPr="000E3F5A">
              <w:rPr>
                <w:rFonts w:cstheme="minorHAnsi"/>
              </w:rPr>
              <w:t xml:space="preserve">Altered Mental State </w:t>
            </w:r>
          </w:p>
        </w:tc>
        <w:tc>
          <w:tcPr>
            <w:tcW w:w="5328" w:type="dxa"/>
            <w:vAlign w:val="center"/>
          </w:tcPr>
          <w:p w14:paraId="16DF4CA2" w14:textId="77777777" w:rsidR="00DE10F6" w:rsidRDefault="00DE10F6" w:rsidP="00DE10F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Probability: </w:t>
            </w:r>
            <w:r>
              <w:rPr>
                <w:rFonts w:eastAsiaTheme="minorEastAsia" w:cstheme="minorHAnsi"/>
                <w:sz w:val="21"/>
                <w:szCs w:val="21"/>
              </w:rPr>
              <w:t xml:space="preserve"> </w:t>
            </w:r>
          </w:p>
          <w:p w14:paraId="0F8BAA56" w14:textId="3990CD67" w:rsidR="00DE10F6" w:rsidRPr="00695B2F" w:rsidRDefault="00DE10F6">
            <w:pPr>
              <w:pStyle w:val="ListParagraph"/>
              <w:numPr>
                <w:ilvl w:val="0"/>
                <w:numId w:val="18"/>
              </w:numPr>
              <w:contextualSpacing w:val="0"/>
              <w:rPr>
                <w:rFonts w:eastAsiaTheme="minorEastAsia" w:cstheme="minorHAnsi"/>
                <w:sz w:val="21"/>
                <w:szCs w:val="21"/>
              </w:rPr>
            </w:pPr>
            <w:r>
              <w:rPr>
                <w:rFonts w:eastAsiaTheme="minorEastAsia" w:cstheme="minorHAnsi"/>
                <w:sz w:val="21"/>
                <w:szCs w:val="21"/>
              </w:rPr>
              <w:t xml:space="preserve">Per </w:t>
            </w:r>
            <w:r w:rsidRPr="00695B2F">
              <w:rPr>
                <w:rFonts w:eastAsiaTheme="minorEastAsia" w:cstheme="minorHAnsi"/>
                <w:sz w:val="21"/>
                <w:szCs w:val="21"/>
              </w:rPr>
              <w:t xml:space="preserve">Hemorrhagic shock: </w:t>
            </w:r>
            <w:hyperlink r:id="rId16" w:history="1">
              <w:r w:rsidRPr="00695B2F">
                <w:rPr>
                  <w:rStyle w:val="Hyperlink"/>
                  <w:rFonts w:eastAsiaTheme="minorEastAsia" w:cstheme="minorHAnsi"/>
                  <w:sz w:val="21"/>
                  <w:szCs w:val="21"/>
                </w:rPr>
                <w:t>https://www.ncbi.nlm.nih.gov/books/NBK470382/</w:t>
              </w:r>
            </w:hyperlink>
            <w:r w:rsidRPr="00695B2F">
              <w:rPr>
                <w:rFonts w:eastAsiaTheme="minorEastAsia" w:cstheme="minorHAnsi"/>
                <w:sz w:val="21"/>
                <w:szCs w:val="21"/>
              </w:rPr>
              <w:t xml:space="preserve"> </w:t>
            </w:r>
            <w:r>
              <w:rPr>
                <w:rFonts w:eastAsiaTheme="minorEastAsia" w:cstheme="minorHAnsi"/>
                <w:sz w:val="21"/>
                <w:szCs w:val="21"/>
              </w:rPr>
              <w:br/>
            </w:r>
            <w:r w:rsidRPr="00695B2F">
              <w:rPr>
                <w:rFonts w:eastAsiaTheme="minorEastAsia" w:cstheme="minorHAnsi"/>
                <w:sz w:val="21"/>
                <w:szCs w:val="21"/>
              </w:rPr>
              <w:t>"Class 3: Volume loss from 30% to 40% of total blood volume, from 1500 mL to 2000 mL.</w:t>
            </w:r>
            <w:r>
              <w:rPr>
                <w:rFonts w:eastAsiaTheme="minorEastAsia" w:cstheme="minorHAnsi"/>
                <w:sz w:val="21"/>
                <w:szCs w:val="21"/>
              </w:rPr>
              <w:t xml:space="preserve"> </w:t>
            </w:r>
            <w:r w:rsidRPr="00695B2F">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688609A2" w14:textId="3E901C0C" w:rsidR="00DE10F6" w:rsidRPr="00DE10F6" w:rsidRDefault="00DE10F6">
            <w:pPr>
              <w:pStyle w:val="ListParagraph"/>
              <w:numPr>
                <w:ilvl w:val="0"/>
                <w:numId w:val="18"/>
              </w:numPr>
              <w:contextualSpacing w:val="0"/>
              <w:rPr>
                <w:rFonts w:cstheme="minorHAnsi"/>
                <w:sz w:val="21"/>
                <w:szCs w:val="21"/>
              </w:rPr>
            </w:pPr>
            <w:r>
              <w:rPr>
                <w:rFonts w:eastAsiaTheme="minorEastAsia" w:cstheme="minorHAnsi"/>
                <w:sz w:val="21"/>
                <w:szCs w:val="21"/>
              </w:rPr>
              <w:t>Per board-certified Emergency Room physician for over 10 years.</w:t>
            </w:r>
          </w:p>
          <w:p w14:paraId="390674CC" w14:textId="33BE27C0" w:rsidR="00DE10F6" w:rsidRDefault="00DE10F6" w:rsidP="00DE10F6">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Per board-certified Emergency Room physician for over 10 years.</w:t>
            </w:r>
          </w:p>
          <w:p w14:paraId="33AD23DE" w14:textId="47BB98F1" w:rsidR="00DE10F6" w:rsidRDefault="00DE10F6" w:rsidP="00DE10F6">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1445BC2A" w14:textId="02E71F6F" w:rsidR="00DE10F6" w:rsidRDefault="00DE10F6" w:rsidP="00DE10F6">
            <w:pPr>
              <w:pStyle w:val="ListParagraph"/>
              <w:ind w:left="0"/>
            </w:pPr>
            <w:r>
              <w:rPr>
                <w:rFonts w:cstheme="minorHAnsi"/>
              </w:rPr>
              <w:t>Expected</w:t>
            </w:r>
          </w:p>
        </w:tc>
        <w:tc>
          <w:tcPr>
            <w:tcW w:w="1138" w:type="dxa"/>
            <w:vAlign w:val="center"/>
          </w:tcPr>
          <w:p w14:paraId="525059CB" w14:textId="77AD9C8B" w:rsidR="00DE10F6" w:rsidRDefault="00DE10F6" w:rsidP="00DE10F6">
            <w:pPr>
              <w:pStyle w:val="ListParagraph"/>
              <w:ind w:left="0"/>
            </w:pPr>
            <w:r w:rsidRPr="00345B5B">
              <w:rPr>
                <w:rFonts w:cstheme="minorHAnsi"/>
              </w:rPr>
              <w:t>Expected</w:t>
            </w:r>
          </w:p>
        </w:tc>
        <w:tc>
          <w:tcPr>
            <w:tcW w:w="1138" w:type="dxa"/>
            <w:vAlign w:val="center"/>
          </w:tcPr>
          <w:p w14:paraId="6F91A5F9" w14:textId="5A5B7BAE" w:rsidR="00DE10F6" w:rsidRDefault="00DE10F6" w:rsidP="00DE10F6">
            <w:pPr>
              <w:pStyle w:val="ListParagraph"/>
              <w:ind w:left="0"/>
            </w:pPr>
            <w:r>
              <w:rPr>
                <w:rFonts w:cstheme="minorHAnsi"/>
              </w:rPr>
              <w:t>Expected</w:t>
            </w:r>
          </w:p>
        </w:tc>
        <w:tc>
          <w:tcPr>
            <w:tcW w:w="1498" w:type="dxa"/>
            <w:vAlign w:val="center"/>
          </w:tcPr>
          <w:p w14:paraId="41992A82" w14:textId="02A4A472" w:rsidR="00DE10F6" w:rsidRDefault="00DE10F6" w:rsidP="00DE10F6">
            <w:pPr>
              <w:pStyle w:val="ListParagraph"/>
              <w:ind w:left="0"/>
            </w:pPr>
            <w:r w:rsidRPr="00345B5B">
              <w:rPr>
                <w:rFonts w:cstheme="minorHAnsi"/>
              </w:rPr>
              <w:t>Negligible</w:t>
            </w:r>
          </w:p>
        </w:tc>
      </w:tr>
      <w:tr w:rsidR="00B52D55" w14:paraId="7B52F094" w14:textId="77777777" w:rsidTr="00DE10F6">
        <w:trPr>
          <w:cantSplit/>
          <w:trHeight w:val="2880"/>
        </w:trPr>
        <w:tc>
          <w:tcPr>
            <w:tcW w:w="1426" w:type="dxa"/>
            <w:vMerge w:val="restart"/>
            <w:vAlign w:val="center"/>
          </w:tcPr>
          <w:p w14:paraId="7261C276" w14:textId="3E259830" w:rsidR="00B52D55" w:rsidRDefault="00B52D55" w:rsidP="00B52D55">
            <w:pPr>
              <w:pStyle w:val="ListParagraph"/>
              <w:ind w:left="0"/>
            </w:pPr>
            <w:r w:rsidRPr="000E3F5A">
              <w:rPr>
                <w:rFonts w:cstheme="minorHAnsi"/>
              </w:rPr>
              <w:lastRenderedPageBreak/>
              <w:t>Circulatory Collapse</w:t>
            </w:r>
          </w:p>
        </w:tc>
        <w:tc>
          <w:tcPr>
            <w:tcW w:w="5328" w:type="dxa"/>
            <w:vMerge w:val="restart"/>
            <w:vAlign w:val="center"/>
          </w:tcPr>
          <w:p w14:paraId="614A7A9E" w14:textId="77777777" w:rsidR="00B52D55" w:rsidRPr="001F2F48" w:rsidRDefault="00B52D55" w:rsidP="00B52D55">
            <w:pPr>
              <w:pStyle w:val="ListParagraph"/>
              <w:ind w:left="0"/>
              <w:contextualSpacing w:val="0"/>
              <w:rPr>
                <w:rFonts w:eastAsiaTheme="minorEastAsia" w:cstheme="minorHAnsi"/>
                <w:color w:val="000000" w:themeColor="text1"/>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sidRPr="001F2F48">
              <w:rPr>
                <w:rFonts w:eastAsiaTheme="minorEastAsia" w:cstheme="minorHAnsi"/>
                <w:color w:val="000000" w:themeColor="text1"/>
                <w:sz w:val="21"/>
                <w:szCs w:val="21"/>
              </w:rPr>
              <w:t xml:space="preserve">Probability:  </w:t>
            </w:r>
          </w:p>
          <w:p w14:paraId="014EDF89" w14:textId="77777777" w:rsidR="00B52D55" w:rsidRPr="001F2F48" w:rsidRDefault="00B52D55">
            <w:pPr>
              <w:pStyle w:val="ListParagraph"/>
              <w:numPr>
                <w:ilvl w:val="0"/>
                <w:numId w:val="28"/>
              </w:numPr>
              <w:contextualSpacing w:val="0"/>
              <w:rPr>
                <w:rFonts w:eastAsiaTheme="minorEastAsia" w:cstheme="minorHAnsi"/>
                <w:color w:val="000000" w:themeColor="text1"/>
                <w:sz w:val="21"/>
                <w:szCs w:val="21"/>
              </w:rPr>
            </w:pPr>
            <w:r w:rsidRPr="001F2F48">
              <w:rPr>
                <w:rFonts w:eastAsiaTheme="minorEastAsia" w:cstheme="minorHAnsi"/>
                <w:color w:val="000000" w:themeColor="text1"/>
                <w:sz w:val="21"/>
                <w:szCs w:val="21"/>
              </w:rPr>
              <w:t>Risk of circulatory collapse/altered mental status from GI bleeding - I would put this in the occasional category - difficult to fully assess. This imperfect study had &gt;50,000 patients but could only classify by the above means in a little over 5,000 of those patients. 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49E23FF8" w14:textId="77777777" w:rsidR="00B52D55" w:rsidRPr="001F2F48" w:rsidRDefault="00B52D55">
            <w:pPr>
              <w:pStyle w:val="ListParagraph"/>
              <w:numPr>
                <w:ilvl w:val="0"/>
                <w:numId w:val="28"/>
              </w:numPr>
              <w:contextualSpacing w:val="0"/>
              <w:rPr>
                <w:rFonts w:cstheme="minorHAnsi"/>
                <w:color w:val="000000" w:themeColor="text1"/>
                <w:sz w:val="21"/>
                <w:szCs w:val="21"/>
              </w:rPr>
            </w:pPr>
            <w:r w:rsidRPr="001F2F48">
              <w:rPr>
                <w:rFonts w:eastAsiaTheme="minorEastAsia" w:cstheme="minorHAnsi"/>
                <w:color w:val="000000" w:themeColor="text1"/>
                <w:sz w:val="21"/>
                <w:szCs w:val="21"/>
              </w:rPr>
              <w:t>Per board-certified Emergency Room physician for over 10 years.</w:t>
            </w:r>
          </w:p>
          <w:p w14:paraId="07BCE597" w14:textId="77777777" w:rsidR="00B52D55" w:rsidRPr="001F2F48" w:rsidRDefault="00B52D55" w:rsidP="00B52D55">
            <w:pPr>
              <w:pStyle w:val="ListParagraph"/>
              <w:ind w:left="0"/>
              <w:contextualSpacing w:val="0"/>
              <w:rPr>
                <w:rFonts w:cstheme="minorHAnsi"/>
                <w:color w:val="000000" w:themeColor="text1"/>
                <w:sz w:val="21"/>
                <w:szCs w:val="21"/>
              </w:rPr>
            </w:pPr>
          </w:p>
          <w:p w14:paraId="74C07E49" w14:textId="77777777" w:rsidR="00B52D55" w:rsidRPr="001F2F48" w:rsidRDefault="00B52D55" w:rsidP="00B52D55">
            <w:pPr>
              <w:pStyle w:val="ListParagraph"/>
              <w:ind w:left="0"/>
              <w:contextualSpacing w:val="0"/>
              <w:rPr>
                <w:rFonts w:eastAsiaTheme="minorEastAsia" w:cstheme="minorHAnsi"/>
                <w:color w:val="000000" w:themeColor="text1"/>
                <w:sz w:val="21"/>
                <w:szCs w:val="21"/>
              </w:rPr>
            </w:pPr>
            <w:r w:rsidRPr="001F2F48">
              <w:rPr>
                <w:rFonts w:cstheme="minorHAnsi"/>
                <w:color w:val="000000" w:themeColor="text1"/>
                <w:sz w:val="21"/>
                <w:szCs w:val="21"/>
              </w:rPr>
              <w:t>For</w:t>
            </w:r>
            <w:r w:rsidRPr="001F2F48">
              <w:rPr>
                <w:rFonts w:eastAsiaTheme="minorEastAsia" w:cstheme="minorHAnsi"/>
                <w:color w:val="000000" w:themeColor="text1"/>
                <w:sz w:val="21"/>
                <w:szCs w:val="21"/>
              </w:rPr>
              <w:t xml:space="preserve"> </w:t>
            </w:r>
            <m:oMath>
              <m:sSub>
                <m:sSubPr>
                  <m:ctrlPr>
                    <w:rPr>
                      <w:rFonts w:ascii="Cambria Math" w:hAnsi="Cambria Math" w:cstheme="minorHAnsi"/>
                      <w:i/>
                      <w:color w:val="000000" w:themeColor="text1"/>
                      <w:sz w:val="21"/>
                      <w:szCs w:val="21"/>
                    </w:rPr>
                  </m:ctrlPr>
                </m:sSubPr>
                <m:e>
                  <m:r>
                    <w:rPr>
                      <w:rFonts w:ascii="Cambria Math" w:hAnsi="Cambria Math" w:cstheme="minorHAnsi"/>
                      <w:color w:val="000000" w:themeColor="text1"/>
                      <w:sz w:val="21"/>
                      <w:szCs w:val="21"/>
                    </w:rPr>
                    <m:t>P</m:t>
                  </m:r>
                </m:e>
                <m:sub>
                  <m:r>
                    <w:rPr>
                      <w:rFonts w:ascii="Cambria Math" w:hAnsi="Cambria Math" w:cstheme="minorHAnsi"/>
                      <w:color w:val="000000" w:themeColor="text1"/>
                      <w:sz w:val="21"/>
                      <w:szCs w:val="21"/>
                    </w:rPr>
                    <m:t>2</m:t>
                  </m:r>
                </m:sub>
              </m:sSub>
            </m:oMath>
            <w:r w:rsidRPr="001F2F48">
              <w:rPr>
                <w:rFonts w:eastAsiaTheme="minorEastAsia" w:cstheme="minorHAnsi"/>
                <w:color w:val="000000" w:themeColor="text1"/>
                <w:sz w:val="21"/>
                <w:szCs w:val="21"/>
              </w:rPr>
              <w:t>: Probability and Severity:  Book and board-certified Emergency Room physician for over 10 years.</w:t>
            </w:r>
          </w:p>
          <w:p w14:paraId="17B9ABB6" w14:textId="77777777" w:rsidR="00B52D55" w:rsidRDefault="00B52D55" w:rsidP="00B52D55">
            <w:pPr>
              <w:pStyle w:val="ListParagraph"/>
              <w:ind w:left="0"/>
              <w:contextualSpacing w:val="0"/>
              <w:rPr>
                <w:rFonts w:eastAsiaTheme="minorEastAsia" w:cstheme="minorHAnsi"/>
                <w:sz w:val="21"/>
                <w:szCs w:val="21"/>
              </w:rPr>
            </w:pPr>
          </w:p>
          <w:p w14:paraId="2B6E1750" w14:textId="48FD1BE4" w:rsidR="00B52D55" w:rsidRDefault="00B52D55" w:rsidP="00B52D55">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 Improbable</m:t>
              </m:r>
            </m:oMath>
          </w:p>
        </w:tc>
        <w:tc>
          <w:tcPr>
            <w:tcW w:w="1138" w:type="dxa"/>
            <w:vMerge w:val="restart"/>
            <w:vAlign w:val="center"/>
          </w:tcPr>
          <w:p w14:paraId="39812803" w14:textId="45374768" w:rsidR="00B52D55" w:rsidRDefault="00B52D55" w:rsidP="00B52D55">
            <w:pPr>
              <w:pStyle w:val="ListParagraph"/>
              <w:ind w:left="0"/>
            </w:pPr>
            <w:r>
              <w:rPr>
                <w:rFonts w:cstheme="minorHAnsi"/>
              </w:rPr>
              <w:t>Improbable</w:t>
            </w:r>
          </w:p>
        </w:tc>
        <w:tc>
          <w:tcPr>
            <w:tcW w:w="1138" w:type="dxa"/>
            <w:vMerge w:val="restart"/>
            <w:vAlign w:val="center"/>
          </w:tcPr>
          <w:p w14:paraId="2AE8CDAA" w14:textId="4E7F8F07" w:rsidR="00B52D55" w:rsidRDefault="00B52D55" w:rsidP="00B52D55">
            <w:pPr>
              <w:pStyle w:val="ListParagraph"/>
              <w:ind w:left="0"/>
            </w:pPr>
            <w:r w:rsidRPr="00345B5B">
              <w:rPr>
                <w:rFonts w:cstheme="minorHAnsi"/>
              </w:rPr>
              <w:t>Expected</w:t>
            </w:r>
          </w:p>
        </w:tc>
        <w:tc>
          <w:tcPr>
            <w:tcW w:w="1138" w:type="dxa"/>
            <w:vMerge w:val="restart"/>
            <w:vAlign w:val="center"/>
          </w:tcPr>
          <w:p w14:paraId="4026ACAD" w14:textId="7F11D5C1" w:rsidR="00B52D55" w:rsidRDefault="00B52D55" w:rsidP="00B52D55">
            <w:pPr>
              <w:pStyle w:val="ListParagraph"/>
              <w:ind w:left="0"/>
            </w:pPr>
            <w:r>
              <w:rPr>
                <w:rFonts w:cstheme="minorHAnsi"/>
              </w:rPr>
              <w:t>Improbable</w:t>
            </w:r>
          </w:p>
        </w:tc>
        <w:tc>
          <w:tcPr>
            <w:tcW w:w="1498" w:type="dxa"/>
            <w:vAlign w:val="center"/>
          </w:tcPr>
          <w:p w14:paraId="26BB5259" w14:textId="0A134B67" w:rsidR="00B52D55" w:rsidRDefault="00B52D55" w:rsidP="00B52D55">
            <w:pPr>
              <w:pStyle w:val="ListParagraph"/>
              <w:ind w:left="0"/>
            </w:pPr>
            <w:r w:rsidRPr="00345B5B">
              <w:rPr>
                <w:rFonts w:cstheme="minorHAnsi"/>
              </w:rPr>
              <w:t>Minor</w:t>
            </w:r>
          </w:p>
        </w:tc>
      </w:tr>
      <w:tr w:rsidR="00B52D55" w14:paraId="3DE856AC" w14:textId="77777777" w:rsidTr="00024DD9">
        <w:trPr>
          <w:cantSplit/>
        </w:trPr>
        <w:tc>
          <w:tcPr>
            <w:tcW w:w="1426" w:type="dxa"/>
            <w:vMerge/>
            <w:vAlign w:val="center"/>
          </w:tcPr>
          <w:p w14:paraId="37E44C36" w14:textId="77777777" w:rsidR="00B52D55" w:rsidRDefault="00B52D55" w:rsidP="00B52D55">
            <w:pPr>
              <w:pStyle w:val="ListParagraph"/>
              <w:ind w:left="0"/>
            </w:pPr>
          </w:p>
        </w:tc>
        <w:tc>
          <w:tcPr>
            <w:tcW w:w="5328" w:type="dxa"/>
            <w:vMerge/>
            <w:vAlign w:val="center"/>
          </w:tcPr>
          <w:p w14:paraId="4C4C8391" w14:textId="77777777" w:rsidR="00B52D55" w:rsidRDefault="00B52D55" w:rsidP="00B52D55">
            <w:pPr>
              <w:pStyle w:val="ListParagraph"/>
              <w:ind w:left="0"/>
            </w:pPr>
          </w:p>
        </w:tc>
        <w:tc>
          <w:tcPr>
            <w:tcW w:w="1138" w:type="dxa"/>
            <w:vMerge/>
            <w:vAlign w:val="center"/>
          </w:tcPr>
          <w:p w14:paraId="2E602440" w14:textId="77777777" w:rsidR="00B52D55" w:rsidRDefault="00B52D55" w:rsidP="00B52D55">
            <w:pPr>
              <w:pStyle w:val="ListParagraph"/>
              <w:ind w:left="0"/>
            </w:pPr>
          </w:p>
        </w:tc>
        <w:tc>
          <w:tcPr>
            <w:tcW w:w="1138" w:type="dxa"/>
            <w:vMerge/>
            <w:vAlign w:val="center"/>
          </w:tcPr>
          <w:p w14:paraId="395B652C" w14:textId="77777777" w:rsidR="00B52D55" w:rsidRDefault="00B52D55" w:rsidP="00B52D55">
            <w:pPr>
              <w:pStyle w:val="ListParagraph"/>
              <w:ind w:left="0"/>
            </w:pPr>
          </w:p>
        </w:tc>
        <w:tc>
          <w:tcPr>
            <w:tcW w:w="1138" w:type="dxa"/>
            <w:vMerge/>
            <w:vAlign w:val="center"/>
          </w:tcPr>
          <w:p w14:paraId="02450C20" w14:textId="027EB107" w:rsidR="00B52D55" w:rsidRDefault="00B52D55" w:rsidP="00B52D55">
            <w:pPr>
              <w:pStyle w:val="ListParagraph"/>
              <w:ind w:left="0"/>
            </w:pPr>
          </w:p>
        </w:tc>
        <w:tc>
          <w:tcPr>
            <w:tcW w:w="1498" w:type="dxa"/>
            <w:vAlign w:val="center"/>
          </w:tcPr>
          <w:p w14:paraId="2DEED183" w14:textId="408AA23F" w:rsidR="00B52D55" w:rsidRDefault="00B52D55" w:rsidP="00B52D55">
            <w:pPr>
              <w:pStyle w:val="ListParagraph"/>
              <w:ind w:left="0"/>
            </w:pPr>
            <w:r w:rsidRPr="00345B5B">
              <w:rPr>
                <w:rFonts w:cstheme="minorHAnsi"/>
              </w:rPr>
              <w:t>Serious / Major</w:t>
            </w:r>
          </w:p>
        </w:tc>
      </w:tr>
      <w:tr w:rsidR="00B52D55" w14:paraId="48429441" w14:textId="77777777" w:rsidTr="00024DD9">
        <w:trPr>
          <w:cantSplit/>
        </w:trPr>
        <w:tc>
          <w:tcPr>
            <w:tcW w:w="1426" w:type="dxa"/>
            <w:vAlign w:val="center"/>
          </w:tcPr>
          <w:p w14:paraId="1551EB4A" w14:textId="17100899" w:rsidR="00B52D55" w:rsidRDefault="00B52D55" w:rsidP="00B52D55">
            <w:pPr>
              <w:pStyle w:val="ListParagraph"/>
              <w:ind w:left="0"/>
            </w:pPr>
            <w:r w:rsidRPr="000E3F5A">
              <w:rPr>
                <w:rFonts w:cstheme="minorHAnsi"/>
              </w:rPr>
              <w:t>Heart attack, stroke, Kidney injury</w:t>
            </w:r>
          </w:p>
        </w:tc>
        <w:tc>
          <w:tcPr>
            <w:tcW w:w="5328" w:type="dxa"/>
            <w:vAlign w:val="center"/>
          </w:tcPr>
          <w:p w14:paraId="2D9F40F1" w14:textId="77777777" w:rsidR="00B52D55" w:rsidRPr="00D31706" w:rsidRDefault="00B52D55" w:rsidP="00B52D55">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Per board-certified Emergency Room physician for over 10 years.</w:t>
            </w:r>
          </w:p>
          <w:p w14:paraId="518B282E" w14:textId="77777777" w:rsidR="00B52D55" w:rsidRPr="00D31706" w:rsidRDefault="00B52D55" w:rsidP="00B52D55">
            <w:pPr>
              <w:pStyle w:val="ListParagraph"/>
              <w:ind w:left="0"/>
              <w:contextualSpacing w:val="0"/>
              <w:rPr>
                <w:rFonts w:cstheme="minorHAnsi"/>
                <w:sz w:val="21"/>
                <w:szCs w:val="21"/>
              </w:rPr>
            </w:pPr>
          </w:p>
          <w:p w14:paraId="62914340" w14:textId="77777777" w:rsidR="00B52D55" w:rsidRDefault="00B52D55" w:rsidP="00B52D5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79CDE695" w14:textId="77777777" w:rsidR="00B52D55" w:rsidRDefault="00B52D55" w:rsidP="00B52D55">
            <w:pPr>
              <w:pStyle w:val="ListParagraph"/>
              <w:ind w:left="0"/>
              <w:contextualSpacing w:val="0"/>
              <w:rPr>
                <w:rFonts w:eastAsiaTheme="minorEastAsia" w:cstheme="minorHAnsi"/>
                <w:sz w:val="21"/>
                <w:szCs w:val="21"/>
              </w:rPr>
            </w:pPr>
          </w:p>
          <w:p w14:paraId="02BC3174" w14:textId="6B13D764" w:rsidR="00B52D55" w:rsidRDefault="00B52D55" w:rsidP="00B52D55">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8C1F221" w14:textId="38CF7E86" w:rsidR="00B52D55" w:rsidRDefault="00B52D55" w:rsidP="00B52D55">
            <w:pPr>
              <w:pStyle w:val="ListParagraph"/>
              <w:ind w:left="0"/>
            </w:pPr>
            <w:r>
              <w:rPr>
                <w:rFonts w:cstheme="minorHAnsi"/>
              </w:rPr>
              <w:t>Improbable</w:t>
            </w:r>
          </w:p>
        </w:tc>
        <w:tc>
          <w:tcPr>
            <w:tcW w:w="1138" w:type="dxa"/>
            <w:vAlign w:val="center"/>
          </w:tcPr>
          <w:p w14:paraId="13729E4E" w14:textId="229B0F2F" w:rsidR="00B52D55" w:rsidRDefault="00B52D55" w:rsidP="00B52D55">
            <w:pPr>
              <w:pStyle w:val="ListParagraph"/>
              <w:ind w:left="0"/>
            </w:pPr>
            <w:r>
              <w:rPr>
                <w:rFonts w:cstheme="minorHAnsi"/>
              </w:rPr>
              <w:t>Expected</w:t>
            </w:r>
          </w:p>
        </w:tc>
        <w:tc>
          <w:tcPr>
            <w:tcW w:w="1138" w:type="dxa"/>
            <w:vAlign w:val="center"/>
          </w:tcPr>
          <w:p w14:paraId="2F2FD74A" w14:textId="3B500679" w:rsidR="00B52D55" w:rsidRDefault="00B52D55" w:rsidP="00B52D55">
            <w:pPr>
              <w:pStyle w:val="ListParagraph"/>
              <w:ind w:left="0"/>
            </w:pPr>
            <w:r>
              <w:rPr>
                <w:rFonts w:cstheme="minorHAnsi"/>
              </w:rPr>
              <w:t>Improbable</w:t>
            </w:r>
          </w:p>
        </w:tc>
        <w:tc>
          <w:tcPr>
            <w:tcW w:w="1498" w:type="dxa"/>
            <w:vAlign w:val="center"/>
          </w:tcPr>
          <w:p w14:paraId="59630EFB" w14:textId="30A07562" w:rsidR="00B52D55" w:rsidRDefault="00B52D55" w:rsidP="00B52D55">
            <w:pPr>
              <w:pStyle w:val="ListParagraph"/>
              <w:ind w:left="0"/>
            </w:pPr>
            <w:r>
              <w:rPr>
                <w:rFonts w:cstheme="minorHAnsi"/>
              </w:rPr>
              <w:t>Minor</w:t>
            </w:r>
          </w:p>
        </w:tc>
      </w:tr>
      <w:tr w:rsidR="00B52D55" w14:paraId="637AF8B8" w14:textId="77777777" w:rsidTr="00024DD9">
        <w:trPr>
          <w:cantSplit/>
        </w:trPr>
        <w:tc>
          <w:tcPr>
            <w:tcW w:w="1426" w:type="dxa"/>
            <w:vAlign w:val="center"/>
          </w:tcPr>
          <w:p w14:paraId="649D758A" w14:textId="099EEDBC" w:rsidR="00B52D55" w:rsidRDefault="00B52D55" w:rsidP="00B52D55">
            <w:pPr>
              <w:pStyle w:val="ListParagraph"/>
              <w:ind w:left="0"/>
            </w:pPr>
            <w:r w:rsidRPr="000E3F5A">
              <w:rPr>
                <w:rFonts w:cstheme="minorHAnsi"/>
              </w:rPr>
              <w:lastRenderedPageBreak/>
              <w:t>Esophageal Varices</w:t>
            </w:r>
          </w:p>
        </w:tc>
        <w:tc>
          <w:tcPr>
            <w:tcW w:w="5328" w:type="dxa"/>
            <w:vAlign w:val="center"/>
          </w:tcPr>
          <w:p w14:paraId="40F28930" w14:textId="77777777" w:rsidR="00B52D55" w:rsidRDefault="00B52D55" w:rsidP="00B52D5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Pr>
                <w:rFonts w:eastAsiaTheme="minorEastAsia" w:cstheme="minorHAnsi"/>
                <w:sz w:val="21"/>
                <w:szCs w:val="21"/>
              </w:rPr>
              <w:t xml:space="preserve"> Per references from the board-certified Emergency Room physician for over 10 years: </w:t>
            </w:r>
          </w:p>
          <w:p w14:paraId="3385C3D7" w14:textId="77777777" w:rsidR="00B52D55" w:rsidRDefault="00B52D55" w:rsidP="00B52D55">
            <w:pPr>
              <w:pStyle w:val="ListParagraph"/>
              <w:ind w:left="0"/>
              <w:contextualSpacing w:val="0"/>
              <w:rPr>
                <w:rFonts w:eastAsiaTheme="minorEastAsia" w:cstheme="minorHAnsi"/>
                <w:sz w:val="21"/>
                <w:szCs w:val="21"/>
              </w:rPr>
            </w:pPr>
            <w:r>
              <w:rPr>
                <w:rFonts w:eastAsiaTheme="minorEastAsia" w:cstheme="minorHAnsi"/>
                <w:sz w:val="21"/>
                <w:szCs w:val="21"/>
              </w:rPr>
              <w:t xml:space="preserve">Between 1966 and 2013, there have been 50 cases of Esophageal Varices triggered by transfusions. </w:t>
            </w:r>
          </w:p>
          <w:p w14:paraId="2DB6DAEF" w14:textId="77777777" w:rsidR="00B52D55" w:rsidRDefault="00B52D55" w:rsidP="00B52D55">
            <w:pPr>
              <w:pStyle w:val="ListParagraph"/>
              <w:ind w:left="0"/>
              <w:contextualSpacing w:val="0"/>
              <w:rPr>
                <w:rFonts w:eastAsiaTheme="minorEastAsia" w:cstheme="minorHAnsi"/>
                <w:sz w:val="21"/>
                <w:szCs w:val="21"/>
              </w:rPr>
            </w:pPr>
            <w:r>
              <w:rPr>
                <w:rFonts w:eastAsiaTheme="minorEastAsia" w:cstheme="minorHAnsi"/>
                <w:sz w:val="21"/>
                <w:szCs w:val="21"/>
              </w:rPr>
              <w:t>Per the Red Cross, there are 29,000 transfusions per day, or 10,585,000 transfusions per year.</w:t>
            </w:r>
          </w:p>
          <w:p w14:paraId="5AF9D5C5" w14:textId="77777777" w:rsidR="00B52D55" w:rsidRPr="00D31706" w:rsidRDefault="00B52D55" w:rsidP="00B52D55">
            <w:pPr>
              <w:pStyle w:val="ListParagraph"/>
              <w:ind w:left="0"/>
              <w:contextualSpacing w:val="0"/>
              <w:rPr>
                <w:rFonts w:cstheme="minorHAnsi"/>
                <w:sz w:val="21"/>
                <w:szCs w:val="21"/>
              </w:rPr>
            </w:pPr>
            <w:r>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Pr>
                <w:rFonts w:eastAsiaTheme="minorEastAsia" w:cstheme="minorHAnsi"/>
                <w:sz w:val="21"/>
                <w:szCs w:val="21"/>
              </w:rPr>
              <w:t xml:space="preserve"> = Improbable</w:t>
            </w:r>
          </w:p>
          <w:p w14:paraId="3D8AC354" w14:textId="77777777" w:rsidR="00B52D55" w:rsidRPr="00D31706" w:rsidRDefault="00B52D55" w:rsidP="00B52D55">
            <w:pPr>
              <w:pStyle w:val="ListParagraph"/>
              <w:ind w:left="0"/>
              <w:contextualSpacing w:val="0"/>
              <w:rPr>
                <w:rFonts w:cstheme="minorHAnsi"/>
                <w:sz w:val="21"/>
                <w:szCs w:val="21"/>
              </w:rPr>
            </w:pPr>
          </w:p>
          <w:p w14:paraId="0F74426A" w14:textId="77777777" w:rsidR="00B52D55" w:rsidRDefault="00B52D55" w:rsidP="00B52D5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w:t>
            </w:r>
            <w:r>
              <w:rPr>
                <w:rFonts w:eastAsiaTheme="minorEastAsia" w:cstheme="minorHAnsi"/>
                <w:sz w:val="21"/>
                <w:szCs w:val="21"/>
              </w:rPr>
              <w:t xml:space="preserve">  Per board-certified Emergency Room physician for over 10 years. </w:t>
            </w:r>
            <w:r w:rsidRPr="00DD7103">
              <w:rPr>
                <w:rFonts w:eastAsiaTheme="minorEastAsia" w:cstheme="minorHAnsi"/>
                <w:sz w:val="21"/>
                <w:szCs w:val="21"/>
              </w:rPr>
              <w:t xml:space="preserve"> </w:t>
            </w:r>
          </w:p>
          <w:p w14:paraId="7A248843" w14:textId="77777777" w:rsidR="00B52D55" w:rsidRDefault="00B52D55" w:rsidP="00B52D55">
            <w:pPr>
              <w:pStyle w:val="ListParagraph"/>
              <w:ind w:left="0"/>
              <w:contextualSpacing w:val="0"/>
              <w:rPr>
                <w:rFonts w:eastAsiaTheme="minorEastAsia" w:cstheme="minorHAnsi"/>
                <w:sz w:val="21"/>
                <w:szCs w:val="21"/>
              </w:rPr>
            </w:pPr>
          </w:p>
          <w:p w14:paraId="4CA7AA9F" w14:textId="668C758A" w:rsidR="00B52D55" w:rsidRDefault="00B52D55" w:rsidP="00B52D55">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574981BB" w14:textId="72638681" w:rsidR="00B52D55" w:rsidRDefault="00B52D55" w:rsidP="00B52D55">
            <w:pPr>
              <w:pStyle w:val="ListParagraph"/>
              <w:ind w:left="0"/>
            </w:pPr>
            <w:r w:rsidRPr="00FB51B8">
              <w:rPr>
                <w:rFonts w:cstheme="minorHAnsi"/>
              </w:rPr>
              <w:t>Improbable</w:t>
            </w:r>
          </w:p>
        </w:tc>
        <w:tc>
          <w:tcPr>
            <w:tcW w:w="1138" w:type="dxa"/>
            <w:vAlign w:val="center"/>
          </w:tcPr>
          <w:p w14:paraId="3A02D952" w14:textId="0661B638" w:rsidR="00B52D55" w:rsidRDefault="00B52D55" w:rsidP="00B52D55">
            <w:pPr>
              <w:pStyle w:val="ListParagraph"/>
              <w:ind w:left="0"/>
            </w:pPr>
            <w:r>
              <w:rPr>
                <w:rFonts w:cstheme="minorHAnsi"/>
              </w:rPr>
              <w:t>Expected</w:t>
            </w:r>
          </w:p>
        </w:tc>
        <w:tc>
          <w:tcPr>
            <w:tcW w:w="1138" w:type="dxa"/>
            <w:vAlign w:val="center"/>
          </w:tcPr>
          <w:p w14:paraId="1A57F855" w14:textId="04BFBAAB" w:rsidR="00B52D55" w:rsidRDefault="00B52D55" w:rsidP="00B52D55">
            <w:pPr>
              <w:pStyle w:val="ListParagraph"/>
              <w:ind w:left="0"/>
            </w:pPr>
            <w:r w:rsidRPr="00FB51B8">
              <w:rPr>
                <w:rFonts w:cstheme="minorHAnsi"/>
              </w:rPr>
              <w:t>Improbable</w:t>
            </w:r>
          </w:p>
        </w:tc>
        <w:tc>
          <w:tcPr>
            <w:tcW w:w="1498" w:type="dxa"/>
            <w:vAlign w:val="center"/>
          </w:tcPr>
          <w:p w14:paraId="3BDE8AAE" w14:textId="37D7D240" w:rsidR="00B52D55" w:rsidRDefault="00B52D55" w:rsidP="00B52D55">
            <w:pPr>
              <w:pStyle w:val="ListParagraph"/>
              <w:ind w:left="0"/>
            </w:pPr>
            <w:r>
              <w:rPr>
                <w:rFonts w:cstheme="minorHAnsi"/>
              </w:rPr>
              <w:t>Catastrophic / Fatal</w:t>
            </w:r>
          </w:p>
        </w:tc>
      </w:tr>
    </w:tbl>
    <w:p w14:paraId="579D6BC0" w14:textId="77777777" w:rsidR="004767E1" w:rsidRDefault="004767E1" w:rsidP="004767E1">
      <w:pPr>
        <w:pStyle w:val="ListParagraph"/>
        <w:ind w:left="1152"/>
      </w:pPr>
    </w:p>
    <w:p w14:paraId="57F8403B" w14:textId="77777777" w:rsidR="004767E1" w:rsidRDefault="004767E1" w:rsidP="004767E1">
      <w:pPr>
        <w:pStyle w:val="ListParagraph"/>
        <w:ind w:left="1152"/>
      </w:pPr>
    </w:p>
    <w:p w14:paraId="5EA2FBEE" w14:textId="77777777" w:rsidR="006A2773" w:rsidRPr="006A2773" w:rsidRDefault="002B41E0">
      <w:pPr>
        <w:pStyle w:val="ListParagraph"/>
        <w:numPr>
          <w:ilvl w:val="2"/>
          <w:numId w:val="30"/>
        </w:numPr>
        <w:rPr>
          <w:rFonts w:cstheme="minorHAnsi"/>
        </w:rPr>
      </w:pPr>
      <w:r>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006A2773">
        <w:rPr>
          <w:rFonts w:eastAsiaTheme="minorEastAsia" w:cstheme="minorHAnsi"/>
        </w:rPr>
        <w:t>.</w:t>
      </w:r>
    </w:p>
    <w:p w14:paraId="5AF5D203" w14:textId="0EDE9190" w:rsidR="002B41E0" w:rsidRPr="00C45E04" w:rsidRDefault="006A2773">
      <w:pPr>
        <w:pStyle w:val="ListParagraph"/>
        <w:numPr>
          <w:ilvl w:val="3"/>
          <w:numId w:val="30"/>
        </w:numPr>
        <w:rPr>
          <w:rFonts w:cstheme="minorHAnsi"/>
        </w:rPr>
      </w:pPr>
      <w:r>
        <w:rPr>
          <w:rFonts w:eastAsiaTheme="minorEastAsia" w:cstheme="minorHAnsi"/>
        </w:rPr>
        <w:t>N</w:t>
      </w:r>
      <w:r w:rsidR="002B41E0">
        <w:rPr>
          <w:rFonts w:eastAsiaTheme="minorEastAsia" w:cstheme="minorHAnsi"/>
        </w:rPr>
        <w:t xml:space="preserve">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F60A9B" w14:paraId="7943AB7D" w14:textId="77777777" w:rsidTr="004A1C5A">
        <w:trPr>
          <w:cantSplit/>
          <w:tblHeader/>
          <w:jc w:val="center"/>
        </w:trPr>
        <w:tc>
          <w:tcPr>
            <w:tcW w:w="0" w:type="auto"/>
            <w:tcBorders>
              <w:top w:val="nil"/>
              <w:left w:val="nil"/>
              <w:bottom w:val="single" w:sz="4" w:space="0" w:color="auto"/>
            </w:tcBorders>
            <w:vAlign w:val="center"/>
          </w:tcPr>
          <w:p w14:paraId="2386A791" w14:textId="77777777" w:rsidR="002B41E0" w:rsidRPr="00F60A9B" w:rsidRDefault="00000000" w:rsidP="008D3D62">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0" w:type="auto"/>
            <w:tcBorders>
              <w:top w:val="single" w:sz="4" w:space="0" w:color="auto"/>
              <w:bottom w:val="single" w:sz="12" w:space="0" w:color="auto"/>
            </w:tcBorders>
            <w:vAlign w:val="center"/>
          </w:tcPr>
          <w:p w14:paraId="7A909777" w14:textId="6BE57CAA" w:rsidR="002B41E0" w:rsidRPr="005B7BEE" w:rsidRDefault="002B41E0" w:rsidP="004A1C5A">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80FAB57" w14:textId="77777777" w:rsidR="002B41E0" w:rsidRPr="005B7BEE" w:rsidRDefault="002B41E0" w:rsidP="008D3D62">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2C2CECDE" w14:textId="77777777" w:rsidR="002B41E0" w:rsidRPr="005B7BEE" w:rsidRDefault="002B41E0" w:rsidP="008D3D62">
            <w:pPr>
              <w:jc w:val="center"/>
              <w:rPr>
                <w:sz w:val="14"/>
                <w:szCs w:val="14"/>
              </w:rPr>
            </w:pPr>
            <w:r w:rsidRPr="005B7BEE">
              <w:rPr>
                <w:sz w:val="14"/>
                <w:szCs w:val="14"/>
              </w:rPr>
              <w:t xml:space="preserve">Serious / </w:t>
            </w:r>
          </w:p>
          <w:p w14:paraId="5287C655" w14:textId="77777777" w:rsidR="002B41E0" w:rsidRPr="005B7BEE" w:rsidRDefault="002B41E0" w:rsidP="008D3D62">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3DD081DF" w14:textId="77777777" w:rsidR="002B41E0" w:rsidRPr="005B7BEE" w:rsidRDefault="002B41E0" w:rsidP="008D3D62">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3131D6F" w14:textId="77777777" w:rsidR="002B41E0" w:rsidRPr="005B7BEE" w:rsidRDefault="002B41E0" w:rsidP="008D3D62">
            <w:pPr>
              <w:jc w:val="center"/>
              <w:rPr>
                <w:sz w:val="14"/>
                <w:szCs w:val="14"/>
              </w:rPr>
            </w:pPr>
            <w:r w:rsidRPr="005B7BEE">
              <w:rPr>
                <w:sz w:val="14"/>
                <w:szCs w:val="14"/>
              </w:rPr>
              <w:t xml:space="preserve">Catastrophic </w:t>
            </w:r>
          </w:p>
          <w:p w14:paraId="0F5CE180" w14:textId="77777777" w:rsidR="002B41E0" w:rsidRPr="005B7BEE" w:rsidRDefault="002B41E0" w:rsidP="008D3D62">
            <w:pPr>
              <w:jc w:val="center"/>
              <w:rPr>
                <w:sz w:val="14"/>
                <w:szCs w:val="14"/>
              </w:rPr>
            </w:pPr>
            <w:r w:rsidRPr="005B7BEE">
              <w:rPr>
                <w:sz w:val="14"/>
                <w:szCs w:val="14"/>
              </w:rPr>
              <w:t>/ Fatal</w:t>
            </w:r>
          </w:p>
        </w:tc>
      </w:tr>
      <w:tr w:rsidR="001734D9" w:rsidRPr="00F60A9B" w14:paraId="42A79B91" w14:textId="77777777" w:rsidTr="006E741D">
        <w:trPr>
          <w:cantSplit/>
          <w:jc w:val="center"/>
        </w:trPr>
        <w:tc>
          <w:tcPr>
            <w:tcW w:w="0" w:type="auto"/>
            <w:tcBorders>
              <w:top w:val="single" w:sz="4" w:space="0" w:color="auto"/>
              <w:right w:val="single" w:sz="12" w:space="0" w:color="auto"/>
            </w:tcBorders>
            <w:vAlign w:val="center"/>
          </w:tcPr>
          <w:p w14:paraId="3416CFE6" w14:textId="77777777" w:rsidR="001734D9" w:rsidRPr="005B7BEE" w:rsidRDefault="001734D9" w:rsidP="001734D9">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A327D33" w14:textId="5635963C" w:rsidR="001734D9" w:rsidRPr="00F60A9B" w:rsidRDefault="001734D9" w:rsidP="001734D9">
            <w:pPr>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DF9F4C8" w14:textId="5B532E6D"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9305BAB" w14:textId="3BC28B28"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39A61B" w14:textId="7FC33946"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1A644BB" w14:textId="664DB165" w:rsidR="001734D9" w:rsidRPr="00F60A9B" w:rsidRDefault="001734D9" w:rsidP="001734D9">
            <w:pPr>
              <w:jc w:val="center"/>
            </w:pPr>
            <w:r>
              <w:rPr>
                <w:rFonts w:ascii="Calibri" w:hAnsi="Calibri" w:cs="Calibri"/>
                <w:color w:val="000000"/>
              </w:rPr>
              <w:t>0</w:t>
            </w:r>
          </w:p>
        </w:tc>
      </w:tr>
      <w:tr w:rsidR="001734D9" w:rsidRPr="00F60A9B" w14:paraId="0DEE108B" w14:textId="77777777" w:rsidTr="006E741D">
        <w:trPr>
          <w:cantSplit/>
          <w:jc w:val="center"/>
        </w:trPr>
        <w:tc>
          <w:tcPr>
            <w:tcW w:w="0" w:type="auto"/>
            <w:tcBorders>
              <w:right w:val="single" w:sz="12" w:space="0" w:color="auto"/>
            </w:tcBorders>
            <w:vAlign w:val="center"/>
          </w:tcPr>
          <w:p w14:paraId="3307D727" w14:textId="77777777" w:rsidR="001734D9" w:rsidRPr="005B7BEE" w:rsidRDefault="001734D9" w:rsidP="001734D9">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ED5C5F7" w14:textId="5B5AA151" w:rsidR="001734D9"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18638D" w14:textId="6B370EF1"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B01BBA" w14:textId="08DCE786"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32459A7" w14:textId="386B79EB"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4904684" w14:textId="0B2F6720" w:rsidR="001734D9" w:rsidRDefault="001734D9" w:rsidP="001734D9">
            <w:pPr>
              <w:jc w:val="center"/>
            </w:pPr>
            <w:r>
              <w:rPr>
                <w:rFonts w:ascii="Calibri" w:hAnsi="Calibri" w:cs="Calibri"/>
                <w:color w:val="000000"/>
              </w:rPr>
              <w:t>0</w:t>
            </w:r>
          </w:p>
        </w:tc>
      </w:tr>
      <w:tr w:rsidR="001734D9" w:rsidRPr="00F60A9B" w14:paraId="3DD92B5C" w14:textId="77777777" w:rsidTr="006E741D">
        <w:trPr>
          <w:cantSplit/>
          <w:jc w:val="center"/>
        </w:trPr>
        <w:tc>
          <w:tcPr>
            <w:tcW w:w="0" w:type="auto"/>
            <w:tcBorders>
              <w:top w:val="single" w:sz="4" w:space="0" w:color="auto"/>
              <w:right w:val="single" w:sz="12" w:space="0" w:color="auto"/>
            </w:tcBorders>
            <w:vAlign w:val="center"/>
          </w:tcPr>
          <w:p w14:paraId="00FD6F21" w14:textId="77777777" w:rsidR="001734D9" w:rsidRPr="005B7BEE" w:rsidRDefault="001734D9" w:rsidP="001734D9">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159CF52C" w14:textId="2CC1B401" w:rsidR="001734D9"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764498" w14:textId="49F1084D"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32559E" w14:textId="0C87C93A"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0B8131" w14:textId="2CE34479"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B67F2C4" w14:textId="4D5F4FD0" w:rsidR="001734D9" w:rsidRDefault="001734D9" w:rsidP="001734D9">
            <w:pPr>
              <w:jc w:val="center"/>
            </w:pPr>
            <w:r>
              <w:rPr>
                <w:rFonts w:ascii="Calibri" w:hAnsi="Calibri" w:cs="Calibri"/>
                <w:color w:val="000000"/>
              </w:rPr>
              <w:t>0</w:t>
            </w:r>
          </w:p>
        </w:tc>
      </w:tr>
      <w:tr w:rsidR="001734D9" w:rsidRPr="00F60A9B" w14:paraId="464EE512" w14:textId="77777777" w:rsidTr="006E741D">
        <w:trPr>
          <w:cantSplit/>
          <w:jc w:val="center"/>
        </w:trPr>
        <w:tc>
          <w:tcPr>
            <w:tcW w:w="0" w:type="auto"/>
            <w:tcBorders>
              <w:right w:val="single" w:sz="12" w:space="0" w:color="auto"/>
            </w:tcBorders>
            <w:vAlign w:val="center"/>
          </w:tcPr>
          <w:p w14:paraId="4F614050" w14:textId="77777777" w:rsidR="001734D9" w:rsidRPr="005B7BEE" w:rsidRDefault="001734D9" w:rsidP="001734D9">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0ED195F" w14:textId="1313E12B"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F34953" w14:textId="4FE5431F"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A50B9A3" w14:textId="077E89ED"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EE7CCF" w14:textId="28F05DD5"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936CC77" w14:textId="1BD08DD4" w:rsidR="001734D9" w:rsidRPr="00F60A9B" w:rsidRDefault="001734D9" w:rsidP="001734D9">
            <w:pPr>
              <w:jc w:val="center"/>
            </w:pPr>
            <w:r>
              <w:rPr>
                <w:rFonts w:ascii="Calibri" w:hAnsi="Calibri" w:cs="Calibri"/>
                <w:color w:val="000000"/>
              </w:rPr>
              <w:t>0</w:t>
            </w:r>
          </w:p>
        </w:tc>
      </w:tr>
      <w:tr w:rsidR="001734D9" w:rsidRPr="00F60A9B" w14:paraId="0E7A4883" w14:textId="77777777" w:rsidTr="006E741D">
        <w:trPr>
          <w:cantSplit/>
          <w:jc w:val="center"/>
        </w:trPr>
        <w:tc>
          <w:tcPr>
            <w:tcW w:w="0" w:type="auto"/>
            <w:tcBorders>
              <w:right w:val="single" w:sz="12" w:space="0" w:color="auto"/>
            </w:tcBorders>
            <w:vAlign w:val="center"/>
          </w:tcPr>
          <w:p w14:paraId="5BB6B67C" w14:textId="77777777" w:rsidR="001734D9" w:rsidRPr="005B7BEE" w:rsidRDefault="001734D9" w:rsidP="001734D9">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0B838FD0" w14:textId="18C35FDC"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130CD18" w14:textId="51251628"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38E3D7" w14:textId="413FAB14"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898BF2" w14:textId="1853D75E"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CCA786A" w14:textId="57081700" w:rsidR="001734D9" w:rsidRPr="00F60A9B" w:rsidRDefault="001734D9" w:rsidP="001734D9">
            <w:pPr>
              <w:jc w:val="center"/>
            </w:pPr>
            <w:r>
              <w:rPr>
                <w:rFonts w:ascii="Calibri" w:hAnsi="Calibri" w:cs="Calibri"/>
                <w:color w:val="000000"/>
              </w:rPr>
              <w:t>0</w:t>
            </w:r>
          </w:p>
        </w:tc>
      </w:tr>
      <w:tr w:rsidR="001734D9" w:rsidRPr="00F60A9B" w14:paraId="63D3D5DB" w14:textId="77777777" w:rsidTr="006E741D">
        <w:trPr>
          <w:cantSplit/>
          <w:jc w:val="center"/>
        </w:trPr>
        <w:tc>
          <w:tcPr>
            <w:tcW w:w="0" w:type="auto"/>
            <w:tcBorders>
              <w:right w:val="single" w:sz="12" w:space="0" w:color="auto"/>
            </w:tcBorders>
            <w:vAlign w:val="center"/>
          </w:tcPr>
          <w:p w14:paraId="043C8071" w14:textId="77777777" w:rsidR="001734D9" w:rsidRPr="005B7BEE" w:rsidRDefault="001734D9" w:rsidP="001734D9">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0182108" w14:textId="52510083"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B7E94D" w14:textId="3903E2C5"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7E0E0F" w14:textId="00A73D4E"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EE1C2E" w14:textId="11A44722"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BBFC88" w14:textId="319A9433" w:rsidR="001734D9" w:rsidRPr="00F60A9B" w:rsidRDefault="001734D9" w:rsidP="001734D9">
            <w:pPr>
              <w:jc w:val="center"/>
            </w:pPr>
            <w:r>
              <w:rPr>
                <w:rFonts w:ascii="Calibri" w:hAnsi="Calibri" w:cs="Calibri"/>
                <w:color w:val="000000"/>
              </w:rPr>
              <w:t>0</w:t>
            </w:r>
          </w:p>
        </w:tc>
      </w:tr>
      <w:tr w:rsidR="001734D9" w:rsidRPr="00F60A9B" w14:paraId="39CF68AC" w14:textId="77777777" w:rsidTr="006E741D">
        <w:trPr>
          <w:cantSplit/>
          <w:jc w:val="center"/>
        </w:trPr>
        <w:tc>
          <w:tcPr>
            <w:tcW w:w="0" w:type="auto"/>
            <w:tcBorders>
              <w:right w:val="single" w:sz="12" w:space="0" w:color="auto"/>
            </w:tcBorders>
            <w:vAlign w:val="center"/>
          </w:tcPr>
          <w:p w14:paraId="50C01457" w14:textId="77777777" w:rsidR="001734D9" w:rsidRPr="005B7BEE" w:rsidRDefault="001734D9" w:rsidP="001734D9">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3D92904" w14:textId="78AF4FA8" w:rsidR="001734D9" w:rsidRPr="00F60A9B"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D076F5E" w14:textId="3FA071E4" w:rsidR="001734D9" w:rsidRPr="00210DD1" w:rsidRDefault="001734D9" w:rsidP="001734D9">
            <w:pPr>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1485F29" w14:textId="2C302AB1" w:rsidR="001734D9" w:rsidRPr="00210DD1" w:rsidRDefault="001734D9" w:rsidP="001734D9">
            <w:pPr>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60778507" w14:textId="66B55949" w:rsidR="001734D9" w:rsidRPr="00210DD1"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64375547" w14:textId="6945D8EB" w:rsidR="001734D9" w:rsidRPr="00F60A9B" w:rsidRDefault="001734D9" w:rsidP="001734D9">
            <w:pPr>
              <w:keepNext/>
              <w:jc w:val="center"/>
            </w:pPr>
            <w:r>
              <w:rPr>
                <w:rFonts w:ascii="Calibri" w:hAnsi="Calibri" w:cs="Calibri"/>
                <w:color w:val="000000"/>
              </w:rPr>
              <w:t>1</w:t>
            </w:r>
          </w:p>
        </w:tc>
      </w:tr>
    </w:tbl>
    <w:p w14:paraId="64EF6D31" w14:textId="76D8E8BF" w:rsidR="002B41E0" w:rsidRPr="001734B9" w:rsidRDefault="002B41E0" w:rsidP="002B41E0">
      <w:pPr>
        <w:pStyle w:val="Caption"/>
        <w:keepNext/>
        <w:spacing w:before="120"/>
        <w:jc w:val="center"/>
        <w:rPr>
          <w:rFonts w:cstheme="minorHAnsi"/>
        </w:rPr>
      </w:pPr>
      <w:bookmarkStart w:id="94" w:name="_Ref147478194"/>
      <w:bookmarkStart w:id="95" w:name="_Ref147478185"/>
      <w:r>
        <w:t xml:space="preserve">Table </w:t>
      </w:r>
      <w:r>
        <w:fldChar w:fldCharType="begin"/>
      </w:r>
      <w:r>
        <w:instrText xml:space="preserve"> SEQ Table \* ARABIC </w:instrText>
      </w:r>
      <w:r>
        <w:fldChar w:fldCharType="separate"/>
      </w:r>
      <w:r w:rsidR="001E41EA">
        <w:rPr>
          <w:noProof/>
        </w:rPr>
        <w:t>11</w:t>
      </w:r>
      <w:r>
        <w:rPr>
          <w:noProof/>
        </w:rPr>
        <w:fldChar w:fldCharType="end"/>
      </w:r>
      <w:bookmarkEnd w:id="94"/>
      <w:r w:rsidRPr="00122533">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A</m:t>
                </m:r>
              </m:sub>
            </m:sSub>
          </m:sub>
        </m:sSub>
      </m:oMath>
      <w:r>
        <w:rPr>
          <w:rFonts w:eastAsiaTheme="minorEastAsia"/>
        </w:rPr>
        <w:t xml:space="preserve"> </w:t>
      </w:r>
      <w:r w:rsidRPr="00122533">
        <w:t>for the example in Attachment A</w:t>
      </w:r>
      <w:bookmarkEnd w:id="95"/>
    </w:p>
    <w:p w14:paraId="503CE16B" w14:textId="77777777" w:rsidR="002B41E0" w:rsidRPr="003C22FC" w:rsidRDefault="002B41E0">
      <w:pPr>
        <w:pStyle w:val="ListParagraph"/>
        <w:numPr>
          <w:ilvl w:val="1"/>
          <w:numId w:val="30"/>
        </w:numPr>
      </w:pPr>
      <w:r>
        <w:t xml:space="preserve">Populate </w:t>
      </w:r>
      <m:oMath>
        <m:r>
          <w:rPr>
            <w:rFonts w:ascii="Cambria Math" w:hAnsi="Cambria Math"/>
          </w:rPr>
          <m:t>R</m:t>
        </m:r>
      </m:oMath>
      <w:r>
        <w:rPr>
          <w:rFonts w:eastAsiaTheme="minorEastAsia"/>
        </w:rPr>
        <w:t>:</w:t>
      </w:r>
    </w:p>
    <w:p w14:paraId="4AA09FEF" w14:textId="77777777" w:rsidR="002B41E0" w:rsidRDefault="002B41E0">
      <w:pPr>
        <w:pStyle w:val="ListParagraph"/>
        <w:numPr>
          <w:ilvl w:val="2"/>
          <w:numId w:val="30"/>
        </w:numPr>
      </w:pPr>
      <w:r>
        <w:t xml:space="preserve">Identify the health conditions that, for this patient population, might remain after the blood transfusion. </w:t>
      </w:r>
    </w:p>
    <w:p w14:paraId="0F247A68" w14:textId="77777777" w:rsidR="002B41E0" w:rsidRDefault="002B41E0" w:rsidP="002B41E0">
      <w:pPr>
        <w:pStyle w:val="ListParagraph"/>
        <w:ind w:left="2160"/>
      </w:pPr>
    </w:p>
    <w:tbl>
      <w:tblPr>
        <w:tblStyle w:val="TableGrid"/>
        <w:tblW w:w="0" w:type="auto"/>
        <w:tblInd w:w="1885" w:type="dxa"/>
        <w:tblLook w:val="04A0" w:firstRow="1" w:lastRow="0" w:firstColumn="1" w:lastColumn="0" w:noHBand="0" w:noVBand="1"/>
      </w:tblPr>
      <w:tblGrid>
        <w:gridCol w:w="3037"/>
        <w:gridCol w:w="6413"/>
      </w:tblGrid>
      <w:tr w:rsidR="002B41E0" w:rsidRPr="000E3F5A" w14:paraId="235B7265" w14:textId="77777777" w:rsidTr="007F724A">
        <w:trPr>
          <w:cantSplit/>
          <w:tblHeader/>
        </w:trPr>
        <w:tc>
          <w:tcPr>
            <w:tcW w:w="3037" w:type="dxa"/>
          </w:tcPr>
          <w:p w14:paraId="05788E73" w14:textId="77777777" w:rsidR="002B41E0" w:rsidRPr="000E3F5A" w:rsidRDefault="002B41E0" w:rsidP="008D3D62">
            <w:pPr>
              <w:pStyle w:val="ListParagraph"/>
              <w:ind w:left="0"/>
              <w:contextualSpacing w:val="0"/>
              <w:rPr>
                <w:rFonts w:cstheme="minorHAnsi"/>
                <w:b/>
                <w:bCs/>
                <w:sz w:val="26"/>
                <w:szCs w:val="26"/>
              </w:rPr>
            </w:pPr>
            <w:r>
              <w:rPr>
                <w:rFonts w:cstheme="minorHAnsi"/>
                <w:b/>
                <w:bCs/>
                <w:sz w:val="26"/>
                <w:szCs w:val="26"/>
              </w:rPr>
              <w:t xml:space="preserve">Medical Description of the </w:t>
            </w:r>
            <w:r w:rsidRPr="000E3F5A">
              <w:rPr>
                <w:rFonts w:cstheme="minorHAnsi"/>
                <w:b/>
                <w:bCs/>
                <w:sz w:val="26"/>
                <w:szCs w:val="26"/>
              </w:rPr>
              <w:t>Health Condition</w:t>
            </w:r>
          </w:p>
        </w:tc>
        <w:tc>
          <w:tcPr>
            <w:tcW w:w="6413" w:type="dxa"/>
          </w:tcPr>
          <w:p w14:paraId="7CFD7AC2" w14:textId="77777777" w:rsidR="002B41E0" w:rsidRPr="000E3F5A" w:rsidRDefault="002B41E0" w:rsidP="008D3D62">
            <w:pPr>
              <w:pStyle w:val="ListParagraph"/>
              <w:ind w:left="0"/>
              <w:contextualSpacing w:val="0"/>
              <w:rPr>
                <w:rFonts w:cstheme="minorHAnsi"/>
                <w:b/>
                <w:bCs/>
                <w:sz w:val="26"/>
                <w:szCs w:val="26"/>
              </w:rPr>
            </w:pPr>
            <w:r w:rsidRPr="000E3F5A">
              <w:rPr>
                <w:rFonts w:cstheme="minorHAnsi"/>
                <w:b/>
                <w:bCs/>
                <w:sz w:val="26"/>
                <w:szCs w:val="26"/>
              </w:rPr>
              <w:t>Non-Specialist Description</w:t>
            </w:r>
          </w:p>
        </w:tc>
      </w:tr>
      <w:tr w:rsidR="002B41E0" w:rsidRPr="000E3F5A" w14:paraId="49224BE3" w14:textId="77777777" w:rsidTr="007F724A">
        <w:trPr>
          <w:cantSplit/>
        </w:trPr>
        <w:tc>
          <w:tcPr>
            <w:tcW w:w="3037" w:type="dxa"/>
          </w:tcPr>
          <w:p w14:paraId="0640415F" w14:textId="77777777" w:rsidR="002B41E0" w:rsidRPr="000E3F5A" w:rsidRDefault="002B41E0" w:rsidP="008D3D62">
            <w:pPr>
              <w:rPr>
                <w:rFonts w:cstheme="minorHAnsi"/>
              </w:rPr>
            </w:pPr>
            <w:r w:rsidRPr="002E26EC">
              <w:rPr>
                <w:rFonts w:cstheme="minorHAnsi"/>
              </w:rPr>
              <w:t>Febrile Nonhemolytic Reaction</w:t>
            </w:r>
          </w:p>
        </w:tc>
        <w:tc>
          <w:tcPr>
            <w:tcW w:w="6413" w:type="dxa"/>
          </w:tcPr>
          <w:p w14:paraId="6A188139" w14:textId="77777777" w:rsidR="002B41E0" w:rsidRPr="000E3F5A" w:rsidRDefault="002B41E0" w:rsidP="008D3D62">
            <w:pPr>
              <w:pStyle w:val="ListParagraph"/>
              <w:ind w:left="0"/>
              <w:contextualSpacing w:val="0"/>
              <w:rPr>
                <w:rFonts w:cstheme="minorHAnsi"/>
              </w:rPr>
            </w:pPr>
            <w:r w:rsidRPr="002E26EC">
              <w:rPr>
                <w:rFonts w:cstheme="minorHAnsi"/>
              </w:rPr>
              <w:t>Febrile non-hemolytic transfusion reaction (FNHTR) is the most common type of transfusion reaction. It is a benign occurrence with symptoms that include fever but not directly related with hemolysis. It is caused by cytokine release from leukocytes within the donor product as a consequence of white blood cell breakdown</w:t>
            </w:r>
            <w:r>
              <w:rPr>
                <w:rFonts w:cstheme="minorHAnsi"/>
              </w:rPr>
              <w:t xml:space="preserve">. </w:t>
            </w:r>
          </w:p>
        </w:tc>
      </w:tr>
      <w:tr w:rsidR="002B41E0" w:rsidRPr="000E3F5A" w14:paraId="64951F50" w14:textId="77777777" w:rsidTr="007F724A">
        <w:trPr>
          <w:cantSplit/>
        </w:trPr>
        <w:tc>
          <w:tcPr>
            <w:tcW w:w="3037" w:type="dxa"/>
          </w:tcPr>
          <w:p w14:paraId="43C617AF" w14:textId="77777777" w:rsidR="002B41E0" w:rsidRPr="000E3F5A" w:rsidRDefault="002B41E0" w:rsidP="008D3D62">
            <w:pPr>
              <w:pStyle w:val="ListParagraph"/>
              <w:ind w:left="0"/>
              <w:contextualSpacing w:val="0"/>
              <w:rPr>
                <w:rFonts w:cstheme="minorHAnsi"/>
              </w:rPr>
            </w:pPr>
            <w:r>
              <w:rPr>
                <w:rFonts w:cstheme="minorHAnsi"/>
              </w:rPr>
              <w:t>A</w:t>
            </w:r>
            <w:r w:rsidRPr="002E26EC">
              <w:rPr>
                <w:rFonts w:cstheme="minorHAnsi"/>
              </w:rPr>
              <w:t>llergic reaction to Tylenol or Benadryl</w:t>
            </w:r>
          </w:p>
        </w:tc>
        <w:tc>
          <w:tcPr>
            <w:tcW w:w="6413" w:type="dxa"/>
          </w:tcPr>
          <w:p w14:paraId="218774B6" w14:textId="77777777" w:rsidR="002B41E0" w:rsidRPr="000E3F5A" w:rsidRDefault="002B41E0" w:rsidP="008D3D62">
            <w:pPr>
              <w:pStyle w:val="ListParagraph"/>
              <w:ind w:left="0"/>
              <w:contextualSpacing w:val="0"/>
              <w:rPr>
                <w:rFonts w:cstheme="minorHAnsi"/>
              </w:rPr>
            </w:pPr>
            <w:r>
              <w:rPr>
                <w:rFonts w:cstheme="minorHAnsi"/>
              </w:rPr>
              <w:t xml:space="preserve">Typically, a </w:t>
            </w:r>
            <w:r w:rsidRPr="002E26EC">
              <w:rPr>
                <w:rFonts w:cstheme="minorHAnsi"/>
              </w:rPr>
              <w:t>rash, itching/swelling (especially of the face/tongue/throat), severe dizziness, trouble breathing</w:t>
            </w:r>
            <w:r>
              <w:rPr>
                <w:rFonts w:cstheme="minorHAnsi"/>
              </w:rPr>
              <w:t xml:space="preserve">. </w:t>
            </w:r>
          </w:p>
        </w:tc>
      </w:tr>
      <w:tr w:rsidR="002B41E0" w:rsidRPr="000E3F5A" w14:paraId="1C58C43C" w14:textId="77777777" w:rsidTr="007F724A">
        <w:trPr>
          <w:cantSplit/>
        </w:trPr>
        <w:tc>
          <w:tcPr>
            <w:tcW w:w="3037" w:type="dxa"/>
          </w:tcPr>
          <w:p w14:paraId="47DF3EEA" w14:textId="77777777" w:rsidR="002B41E0" w:rsidRPr="000E3F5A" w:rsidRDefault="002B41E0" w:rsidP="008D3D62">
            <w:pPr>
              <w:pStyle w:val="ListParagraph"/>
              <w:ind w:left="0"/>
              <w:contextualSpacing w:val="0"/>
              <w:rPr>
                <w:rFonts w:cstheme="minorHAnsi"/>
              </w:rPr>
            </w:pPr>
            <w:r w:rsidRPr="002E26EC">
              <w:rPr>
                <w:rFonts w:cstheme="minorHAnsi"/>
              </w:rPr>
              <w:t>Acute hemolytic transfusion reaction</w:t>
            </w:r>
          </w:p>
        </w:tc>
        <w:tc>
          <w:tcPr>
            <w:tcW w:w="6413" w:type="dxa"/>
          </w:tcPr>
          <w:p w14:paraId="5A7D84B4" w14:textId="77777777" w:rsidR="002B41E0" w:rsidRPr="000E3F5A" w:rsidRDefault="002B41E0" w:rsidP="008D3D62">
            <w:pPr>
              <w:pStyle w:val="ListParagraph"/>
              <w:ind w:left="0"/>
              <w:contextualSpacing w:val="0"/>
              <w:rPr>
                <w:rFonts w:cstheme="minorHAnsi"/>
              </w:rPr>
            </w:pPr>
            <w:r w:rsidRPr="002E26EC">
              <w:rPr>
                <w:rFonts w:cstheme="minorHAnsi"/>
              </w:rPr>
              <w:t>An acute hemolytic transfusion reaction (AHTR</w:t>
            </w:r>
            <w:r>
              <w:rPr>
                <w:rFonts w:cstheme="minorHAnsi"/>
              </w:rPr>
              <w:t>)</w:t>
            </w:r>
            <w:r w:rsidRPr="002E26EC">
              <w:rPr>
                <w:rFonts w:cstheme="minorHAnsi"/>
              </w:rPr>
              <w:t xml:space="preserve"> is triggered by host antibodies destroying donor red blood cells.</w:t>
            </w:r>
          </w:p>
        </w:tc>
      </w:tr>
      <w:tr w:rsidR="002B41E0" w:rsidRPr="000E3F5A" w14:paraId="3543AFA5" w14:textId="77777777" w:rsidTr="007F724A">
        <w:trPr>
          <w:cantSplit/>
        </w:trPr>
        <w:tc>
          <w:tcPr>
            <w:tcW w:w="3037" w:type="dxa"/>
          </w:tcPr>
          <w:p w14:paraId="146CF948" w14:textId="77777777" w:rsidR="002B41E0" w:rsidRPr="000E3F5A" w:rsidRDefault="002B41E0" w:rsidP="008D3D62">
            <w:pPr>
              <w:pStyle w:val="ListParagraph"/>
              <w:ind w:left="0"/>
              <w:contextualSpacing w:val="0"/>
              <w:rPr>
                <w:rFonts w:cstheme="minorHAnsi"/>
              </w:rPr>
            </w:pPr>
            <w:r w:rsidRPr="00D97071">
              <w:rPr>
                <w:rFonts w:cstheme="minorHAnsi"/>
              </w:rPr>
              <w:t>Graft vs. host disease</w:t>
            </w:r>
          </w:p>
        </w:tc>
        <w:tc>
          <w:tcPr>
            <w:tcW w:w="6413" w:type="dxa"/>
          </w:tcPr>
          <w:p w14:paraId="33A3FD93" w14:textId="77777777" w:rsidR="002B41E0" w:rsidRPr="000E3F5A" w:rsidRDefault="002B41E0" w:rsidP="008D3D62">
            <w:pPr>
              <w:pStyle w:val="ListParagraph"/>
              <w:ind w:left="0"/>
              <w:contextualSpacing w:val="0"/>
              <w:rPr>
                <w:rFonts w:cstheme="minorHAnsi"/>
              </w:rPr>
            </w:pPr>
            <w:r>
              <w:rPr>
                <w:rFonts w:cstheme="minorHAnsi"/>
              </w:rPr>
              <w:t>I</w:t>
            </w:r>
            <w:r w:rsidRPr="00D97071">
              <w:rPr>
                <w:rFonts w:cstheme="minorHAnsi"/>
              </w:rPr>
              <w:t>f the person receiving the transfusion has a compromised immune system</w:t>
            </w:r>
            <w:r>
              <w:rPr>
                <w:rFonts w:cstheme="minorHAnsi"/>
              </w:rPr>
              <w:t>.</w:t>
            </w:r>
          </w:p>
        </w:tc>
      </w:tr>
      <w:tr w:rsidR="002B41E0" w:rsidRPr="000E3F5A" w14:paraId="5CC766D4" w14:textId="77777777" w:rsidTr="007F724A">
        <w:trPr>
          <w:cantSplit/>
        </w:trPr>
        <w:tc>
          <w:tcPr>
            <w:tcW w:w="3037" w:type="dxa"/>
          </w:tcPr>
          <w:p w14:paraId="00B60C1C" w14:textId="77777777" w:rsidR="002B41E0" w:rsidRPr="000E3F5A" w:rsidRDefault="002B41E0" w:rsidP="008D3D62">
            <w:pPr>
              <w:pStyle w:val="ListParagraph"/>
              <w:ind w:left="0"/>
              <w:contextualSpacing w:val="0"/>
              <w:rPr>
                <w:rFonts w:cstheme="minorHAnsi"/>
              </w:rPr>
            </w:pPr>
            <w:r w:rsidRPr="00DD2791">
              <w:rPr>
                <w:rFonts w:cstheme="minorHAnsi"/>
              </w:rPr>
              <w:t>TACO (Transfusion Associated Circulatory Overload</w:t>
            </w:r>
            <w:r>
              <w:rPr>
                <w:rFonts w:cstheme="minorHAnsi"/>
              </w:rPr>
              <w:t>)</w:t>
            </w:r>
          </w:p>
        </w:tc>
        <w:tc>
          <w:tcPr>
            <w:tcW w:w="6413" w:type="dxa"/>
          </w:tcPr>
          <w:p w14:paraId="62FB465E" w14:textId="3BA64FD2" w:rsidR="002B41E0" w:rsidRPr="000E3F5A" w:rsidRDefault="002B41E0" w:rsidP="008D3D62">
            <w:pPr>
              <w:pStyle w:val="ListParagraph"/>
              <w:ind w:left="0"/>
              <w:contextualSpacing w:val="0"/>
              <w:rPr>
                <w:rFonts w:cstheme="minorHAnsi"/>
              </w:rPr>
            </w:pPr>
            <w:r>
              <w:rPr>
                <w:rFonts w:cstheme="minorHAnsi"/>
              </w:rPr>
              <w:t>F</w:t>
            </w:r>
            <w:r w:rsidRPr="00DD2791">
              <w:rPr>
                <w:rFonts w:cstheme="minorHAnsi"/>
              </w:rPr>
              <w:t>luid overload, similar to acute congestive heart failure</w:t>
            </w:r>
          </w:p>
        </w:tc>
      </w:tr>
      <w:tr w:rsidR="002B41E0" w:rsidRPr="000E3F5A" w14:paraId="2848FABE" w14:textId="77777777" w:rsidTr="007F724A">
        <w:trPr>
          <w:cantSplit/>
        </w:trPr>
        <w:tc>
          <w:tcPr>
            <w:tcW w:w="3037" w:type="dxa"/>
          </w:tcPr>
          <w:p w14:paraId="68C0C0C9" w14:textId="77777777" w:rsidR="002B41E0" w:rsidRPr="000E3F5A" w:rsidRDefault="002B41E0" w:rsidP="008D3D62">
            <w:pPr>
              <w:pStyle w:val="ListParagraph"/>
              <w:ind w:left="0"/>
              <w:contextualSpacing w:val="0"/>
              <w:rPr>
                <w:rFonts w:cstheme="minorHAnsi"/>
              </w:rPr>
            </w:pPr>
            <w:r w:rsidRPr="00604981">
              <w:rPr>
                <w:rFonts w:cstheme="minorHAnsi"/>
              </w:rPr>
              <w:t>Transfusion-related acute lung injury</w:t>
            </w:r>
          </w:p>
        </w:tc>
        <w:tc>
          <w:tcPr>
            <w:tcW w:w="6413" w:type="dxa"/>
          </w:tcPr>
          <w:p w14:paraId="45B0BCD4" w14:textId="77777777" w:rsidR="002B41E0" w:rsidRPr="000E3F5A" w:rsidRDefault="002B41E0" w:rsidP="008D3D62">
            <w:pPr>
              <w:pStyle w:val="ListParagraph"/>
              <w:ind w:left="0"/>
              <w:contextualSpacing w:val="0"/>
              <w:rPr>
                <w:rFonts w:cstheme="minorHAnsi"/>
              </w:rPr>
            </w:pPr>
            <w:r>
              <w:rPr>
                <w:rFonts w:cstheme="minorHAnsi"/>
              </w:rPr>
              <w:t>A</w:t>
            </w:r>
            <w:r w:rsidRPr="00604981">
              <w:rPr>
                <w:rFonts w:cstheme="minorHAnsi"/>
              </w:rPr>
              <w:t>ntibodies get activated, causing breathing issues</w:t>
            </w:r>
          </w:p>
        </w:tc>
      </w:tr>
      <w:tr w:rsidR="002B41E0" w:rsidRPr="000E3F5A" w14:paraId="28C854DE" w14:textId="77777777" w:rsidTr="007F724A">
        <w:trPr>
          <w:cantSplit/>
        </w:trPr>
        <w:tc>
          <w:tcPr>
            <w:tcW w:w="3037" w:type="dxa"/>
          </w:tcPr>
          <w:p w14:paraId="12C809D1" w14:textId="77777777" w:rsidR="002B41E0" w:rsidRPr="000E3F5A" w:rsidRDefault="002B41E0" w:rsidP="008D3D62">
            <w:pPr>
              <w:pStyle w:val="ListParagraph"/>
              <w:ind w:left="0"/>
              <w:contextualSpacing w:val="0"/>
              <w:rPr>
                <w:rFonts w:cstheme="minorHAnsi"/>
              </w:rPr>
            </w:pPr>
            <w:r>
              <w:rPr>
                <w:rFonts w:cstheme="minorHAnsi"/>
              </w:rPr>
              <w:t>Infection</w:t>
            </w:r>
          </w:p>
        </w:tc>
        <w:tc>
          <w:tcPr>
            <w:tcW w:w="6413" w:type="dxa"/>
          </w:tcPr>
          <w:p w14:paraId="1F2D52A5" w14:textId="5304E944" w:rsidR="002B41E0" w:rsidRPr="000E3F5A" w:rsidRDefault="007C081D" w:rsidP="008D3D62">
            <w:pPr>
              <w:pStyle w:val="ListParagraph"/>
              <w:ind w:left="0"/>
              <w:contextualSpacing w:val="0"/>
              <w:rPr>
                <w:rFonts w:cstheme="minorHAnsi"/>
              </w:rPr>
            </w:pPr>
            <w:r>
              <w:rPr>
                <w:rFonts w:cstheme="minorHAnsi"/>
              </w:rPr>
              <w:t>Patient</w:t>
            </w:r>
            <w:r w:rsidR="002B41E0">
              <w:rPr>
                <w:rFonts w:cstheme="minorHAnsi"/>
              </w:rPr>
              <w:t xml:space="preserve"> acquires an infection from the needle or donated blood</w:t>
            </w:r>
          </w:p>
        </w:tc>
      </w:tr>
      <w:tr w:rsidR="002B41E0" w:rsidRPr="000E3F5A" w14:paraId="4EBA0860" w14:textId="77777777" w:rsidTr="007F724A">
        <w:trPr>
          <w:cantSplit/>
        </w:trPr>
        <w:tc>
          <w:tcPr>
            <w:tcW w:w="3037" w:type="dxa"/>
          </w:tcPr>
          <w:p w14:paraId="286C82B8" w14:textId="77777777" w:rsidR="002B41E0" w:rsidRPr="000E3F5A" w:rsidRDefault="002B41E0" w:rsidP="008D3D62">
            <w:pPr>
              <w:pStyle w:val="ListParagraph"/>
              <w:ind w:left="0"/>
              <w:contextualSpacing w:val="0"/>
              <w:rPr>
                <w:rFonts w:cstheme="minorHAnsi"/>
              </w:rPr>
            </w:pPr>
            <w:r>
              <w:rPr>
                <w:rFonts w:cstheme="minorHAnsi"/>
              </w:rPr>
              <w:t>Hepatitis B</w:t>
            </w:r>
          </w:p>
        </w:tc>
        <w:tc>
          <w:tcPr>
            <w:tcW w:w="6413" w:type="dxa"/>
          </w:tcPr>
          <w:p w14:paraId="65DF9DEA" w14:textId="52D3D38B" w:rsidR="002B41E0" w:rsidRPr="000E3F5A" w:rsidRDefault="007C081D" w:rsidP="008D3D62">
            <w:pPr>
              <w:pStyle w:val="ListParagraph"/>
              <w:ind w:left="0"/>
              <w:contextualSpacing w:val="0"/>
              <w:rPr>
                <w:rFonts w:cstheme="minorHAnsi"/>
              </w:rPr>
            </w:pPr>
            <w:r>
              <w:rPr>
                <w:rFonts w:cstheme="minorHAnsi"/>
              </w:rPr>
              <w:t xml:space="preserve">Patient </w:t>
            </w:r>
            <w:r w:rsidR="002B41E0">
              <w:rPr>
                <w:rFonts w:cstheme="minorHAnsi"/>
              </w:rPr>
              <w:t>acquires Hepatitis B from the donated blood</w:t>
            </w:r>
          </w:p>
        </w:tc>
      </w:tr>
      <w:tr w:rsidR="002B41E0" w:rsidRPr="000E3F5A" w14:paraId="55D95E65" w14:textId="77777777" w:rsidTr="007F724A">
        <w:trPr>
          <w:cantSplit/>
        </w:trPr>
        <w:tc>
          <w:tcPr>
            <w:tcW w:w="3037" w:type="dxa"/>
          </w:tcPr>
          <w:p w14:paraId="51E03A11" w14:textId="77777777" w:rsidR="002B41E0" w:rsidRPr="000E3F5A" w:rsidRDefault="002B41E0" w:rsidP="008D3D62">
            <w:pPr>
              <w:pStyle w:val="ListParagraph"/>
              <w:ind w:left="0"/>
              <w:contextualSpacing w:val="0"/>
              <w:rPr>
                <w:rFonts w:cstheme="minorHAnsi"/>
              </w:rPr>
            </w:pPr>
            <w:r>
              <w:rPr>
                <w:rFonts w:cstheme="minorHAnsi"/>
              </w:rPr>
              <w:t>Hepatitis A</w:t>
            </w:r>
          </w:p>
        </w:tc>
        <w:tc>
          <w:tcPr>
            <w:tcW w:w="6413" w:type="dxa"/>
          </w:tcPr>
          <w:p w14:paraId="22208D4C" w14:textId="1F88C0E7" w:rsidR="002B41E0" w:rsidRPr="000E3F5A" w:rsidRDefault="007C081D" w:rsidP="008D3D62">
            <w:pPr>
              <w:pStyle w:val="ListParagraph"/>
              <w:ind w:left="0"/>
              <w:contextualSpacing w:val="0"/>
              <w:rPr>
                <w:rFonts w:cstheme="minorHAnsi"/>
              </w:rPr>
            </w:pPr>
            <w:r>
              <w:rPr>
                <w:rFonts w:cstheme="minorHAnsi"/>
              </w:rPr>
              <w:t xml:space="preserve">Patient </w:t>
            </w:r>
            <w:r w:rsidR="002B41E0">
              <w:rPr>
                <w:rFonts w:cstheme="minorHAnsi"/>
              </w:rPr>
              <w:t>acquires Hepatitis A from the donated blood</w:t>
            </w:r>
          </w:p>
        </w:tc>
      </w:tr>
      <w:tr w:rsidR="002B41E0" w:rsidRPr="000E3F5A" w14:paraId="4A0ED2C2" w14:textId="77777777" w:rsidTr="007F724A">
        <w:trPr>
          <w:cantSplit/>
        </w:trPr>
        <w:tc>
          <w:tcPr>
            <w:tcW w:w="3037" w:type="dxa"/>
          </w:tcPr>
          <w:p w14:paraId="0F0734F7" w14:textId="77777777" w:rsidR="002B41E0" w:rsidRPr="000E3F5A" w:rsidRDefault="002B41E0" w:rsidP="008D3D62">
            <w:pPr>
              <w:pStyle w:val="ListParagraph"/>
              <w:ind w:left="0"/>
              <w:contextualSpacing w:val="0"/>
              <w:rPr>
                <w:rFonts w:cstheme="minorHAnsi"/>
              </w:rPr>
            </w:pPr>
            <w:r>
              <w:rPr>
                <w:rFonts w:cstheme="minorHAnsi"/>
              </w:rPr>
              <w:t>HIV</w:t>
            </w:r>
          </w:p>
        </w:tc>
        <w:tc>
          <w:tcPr>
            <w:tcW w:w="6413" w:type="dxa"/>
          </w:tcPr>
          <w:p w14:paraId="2287AD44" w14:textId="037E34A5" w:rsidR="002B41E0" w:rsidRPr="000E3F5A" w:rsidRDefault="007C081D" w:rsidP="008D3D62">
            <w:pPr>
              <w:pStyle w:val="ListParagraph"/>
              <w:ind w:left="0"/>
              <w:contextualSpacing w:val="0"/>
              <w:rPr>
                <w:rFonts w:cstheme="minorHAnsi"/>
              </w:rPr>
            </w:pPr>
            <w:r>
              <w:rPr>
                <w:rFonts w:cstheme="minorHAnsi"/>
              </w:rPr>
              <w:t xml:space="preserve">Patient </w:t>
            </w:r>
            <w:r w:rsidR="002B41E0">
              <w:rPr>
                <w:rFonts w:cstheme="minorHAnsi"/>
              </w:rPr>
              <w:t>acquires HIV from the donated blood</w:t>
            </w:r>
          </w:p>
        </w:tc>
      </w:tr>
      <w:tr w:rsidR="002B41E0" w:rsidRPr="000E3F5A" w14:paraId="170717E6" w14:textId="77777777" w:rsidTr="007F724A">
        <w:trPr>
          <w:cantSplit/>
        </w:trPr>
        <w:tc>
          <w:tcPr>
            <w:tcW w:w="3037" w:type="dxa"/>
          </w:tcPr>
          <w:p w14:paraId="35B83A23" w14:textId="77777777" w:rsidR="002B41E0" w:rsidRPr="000E3F5A" w:rsidRDefault="002B41E0" w:rsidP="008D3D62">
            <w:pPr>
              <w:pStyle w:val="ListParagraph"/>
              <w:ind w:left="0"/>
              <w:contextualSpacing w:val="0"/>
              <w:rPr>
                <w:rFonts w:cstheme="minorHAnsi"/>
              </w:rPr>
            </w:pPr>
            <w:r>
              <w:rPr>
                <w:rFonts w:cstheme="minorHAnsi"/>
              </w:rPr>
              <w:t>Mislabeled blood bag</w:t>
            </w:r>
          </w:p>
        </w:tc>
        <w:tc>
          <w:tcPr>
            <w:tcW w:w="6413" w:type="dxa"/>
          </w:tcPr>
          <w:p w14:paraId="779B2C80" w14:textId="29B8101B" w:rsidR="002B41E0" w:rsidRPr="000E3F5A" w:rsidRDefault="002B41E0" w:rsidP="008D3D62">
            <w:pPr>
              <w:pStyle w:val="ListParagraph"/>
              <w:ind w:left="0"/>
              <w:contextualSpacing w:val="0"/>
              <w:rPr>
                <w:rFonts w:cstheme="minorHAnsi"/>
              </w:rPr>
            </w:pPr>
            <w:r>
              <w:rPr>
                <w:rFonts w:cstheme="minorHAnsi"/>
              </w:rPr>
              <w:t>The label on the blood ba</w:t>
            </w:r>
            <w:r w:rsidR="0072613A">
              <w:rPr>
                <w:rFonts w:cstheme="minorHAnsi"/>
              </w:rPr>
              <w:t>g</w:t>
            </w:r>
            <w:r>
              <w:rPr>
                <w:rFonts w:cstheme="minorHAnsi"/>
              </w:rPr>
              <w:t xml:space="preserve"> is affixed to the wrong bag</w:t>
            </w:r>
          </w:p>
        </w:tc>
      </w:tr>
    </w:tbl>
    <w:p w14:paraId="0CA1FEAE" w14:textId="77777777" w:rsidR="002B41E0" w:rsidRDefault="002B41E0" w:rsidP="002B41E0">
      <w:pPr>
        <w:pStyle w:val="ListParagraph"/>
        <w:ind w:left="2160"/>
      </w:pPr>
    </w:p>
    <w:p w14:paraId="3DB407BE" w14:textId="77777777" w:rsidR="002B41E0" w:rsidRDefault="002B41E0" w:rsidP="002B41E0">
      <w:pPr>
        <w:pStyle w:val="ListParagraph"/>
        <w:ind w:left="2160"/>
      </w:pPr>
    </w:p>
    <w:p w14:paraId="2D854C4B" w14:textId="341585B6" w:rsidR="004767E1" w:rsidRPr="004767E1" w:rsidRDefault="002B41E0">
      <w:pPr>
        <w:pStyle w:val="ListParagraph"/>
        <w:numPr>
          <w:ilvl w:val="2"/>
          <w:numId w:val="30"/>
        </w:numPr>
      </w:pPr>
      <w:r w:rsidRPr="00315DE1">
        <w:t>Identify</w:t>
      </w:r>
      <w:r w:rsidRPr="00931D3A">
        <w:rPr>
          <w:rFonts w:eastAsiaTheme="minorEastAsia" w:cstheme="minorHAnsi"/>
        </w:rPr>
        <w:t xml:space="preserve">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severities of harm for each ‘Health Condition’ / Hazardous Situation, and determine </w:t>
      </w:r>
      <m:oMath>
        <m:r>
          <w:rPr>
            <w:rFonts w:ascii="Cambria Math" w:eastAsiaTheme="minorEastAsia" w:hAnsi="Cambria Math" w:cstheme="minorHAnsi"/>
          </w:rPr>
          <m:t>P</m:t>
        </m:r>
      </m:oMath>
      <w:r w:rsidRPr="00931D3A">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w:t>
      </w:r>
      <w:r w:rsidR="00757DAF">
        <w:rPr>
          <w:rFonts w:eastAsiaTheme="minorEastAsia" w:cstheme="minorHAnsi"/>
        </w:rPr>
        <w:t xml:space="preserve">and </w:t>
      </w:r>
      <w:r>
        <w:rPr>
          <w:rFonts w:eastAsiaTheme="minorEastAsia" w:cstheme="minorHAnsi"/>
        </w:rPr>
        <w:t>to assign probability and severity levels for the various scenarios with each Hazardous Situation.</w:t>
      </w:r>
    </w:p>
    <w:p w14:paraId="3E99D625" w14:textId="50CF4AA3" w:rsidR="002B41E0" w:rsidRDefault="002B41E0" w:rsidP="004D6076">
      <w:pPr>
        <w:pStyle w:val="ListParagraph"/>
        <w:ind w:left="1152"/>
      </w:pPr>
    </w:p>
    <w:tbl>
      <w:tblPr>
        <w:tblStyle w:val="TableGrid"/>
        <w:tblW w:w="0" w:type="auto"/>
        <w:tblInd w:w="1152" w:type="dxa"/>
        <w:tblLayout w:type="fixed"/>
        <w:tblLook w:val="04A0" w:firstRow="1" w:lastRow="0" w:firstColumn="1" w:lastColumn="0" w:noHBand="0" w:noVBand="1"/>
      </w:tblPr>
      <w:tblGrid>
        <w:gridCol w:w="1543"/>
        <w:gridCol w:w="5211"/>
        <w:gridCol w:w="1138"/>
        <w:gridCol w:w="1138"/>
        <w:gridCol w:w="1243"/>
        <w:gridCol w:w="1393"/>
      </w:tblGrid>
      <w:tr w:rsidR="00D60B07" w14:paraId="7687E49C" w14:textId="77777777" w:rsidTr="00E0497A">
        <w:trPr>
          <w:cantSplit/>
          <w:tblHeader/>
        </w:trPr>
        <w:tc>
          <w:tcPr>
            <w:tcW w:w="1543" w:type="dxa"/>
            <w:vAlign w:val="center"/>
          </w:tcPr>
          <w:p w14:paraId="45BA7BD9" w14:textId="77777777" w:rsidR="00D60B07" w:rsidRDefault="00D60B07" w:rsidP="00024DD9">
            <w:pPr>
              <w:pStyle w:val="ListParagraph"/>
              <w:ind w:left="0"/>
            </w:pPr>
            <w:r w:rsidRPr="000E3F5A">
              <w:rPr>
                <w:rFonts w:cstheme="minorHAnsi"/>
                <w:b/>
                <w:bCs/>
                <w:sz w:val="26"/>
                <w:szCs w:val="26"/>
              </w:rPr>
              <w:lastRenderedPageBreak/>
              <w:t xml:space="preserve">Hazardous Situation </w:t>
            </w:r>
          </w:p>
        </w:tc>
        <w:tc>
          <w:tcPr>
            <w:tcW w:w="5211" w:type="dxa"/>
            <w:vAlign w:val="center"/>
          </w:tcPr>
          <w:p w14:paraId="1E2E0F19" w14:textId="77777777" w:rsidR="00D60B07" w:rsidRDefault="00D60B07" w:rsidP="00024DD9">
            <w:pPr>
              <w:pStyle w:val="ListParagraph"/>
              <w:ind w:left="0"/>
            </w:pPr>
            <w:r>
              <w:rPr>
                <w:rFonts w:cstheme="minorHAnsi"/>
                <w:b/>
                <w:bCs/>
                <w:sz w:val="26"/>
                <w:szCs w:val="26"/>
              </w:rPr>
              <w:t>Reference Information</w:t>
            </w:r>
          </w:p>
        </w:tc>
        <w:tc>
          <w:tcPr>
            <w:tcW w:w="1138" w:type="dxa"/>
            <w:vAlign w:val="center"/>
          </w:tcPr>
          <w:p w14:paraId="6805EEB2" w14:textId="77777777" w:rsidR="00D60B07"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46A320D8" w14:textId="77777777" w:rsidR="00D60B07" w:rsidRDefault="00000000" w:rsidP="00024DD9">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243" w:type="dxa"/>
            <w:vAlign w:val="center"/>
          </w:tcPr>
          <w:p w14:paraId="7B2FD3CF" w14:textId="77777777" w:rsidR="00D60B07" w:rsidRDefault="00D60B07" w:rsidP="00024DD9">
            <w:pPr>
              <w:pStyle w:val="ListParagraph"/>
              <w:ind w:left="0"/>
            </w:pPr>
            <m:oMathPara>
              <m:oMath>
                <m:r>
                  <m:rPr>
                    <m:sty m:val="bi"/>
                  </m:rPr>
                  <w:rPr>
                    <w:rFonts w:ascii="Cambria Math" w:hAnsi="Cambria Math" w:cstheme="minorHAnsi"/>
                    <w:sz w:val="26"/>
                    <w:szCs w:val="26"/>
                  </w:rPr>
                  <m:t>P</m:t>
                </m:r>
              </m:oMath>
            </m:oMathPara>
          </w:p>
        </w:tc>
        <w:tc>
          <w:tcPr>
            <w:tcW w:w="1393" w:type="dxa"/>
            <w:vAlign w:val="center"/>
          </w:tcPr>
          <w:p w14:paraId="74DDA821" w14:textId="77777777" w:rsidR="00D60B07" w:rsidRDefault="00D60B07" w:rsidP="00024DD9">
            <w:pPr>
              <w:pStyle w:val="ListParagraph"/>
              <w:ind w:left="0"/>
            </w:pPr>
            <w:r w:rsidRPr="000E3F5A">
              <w:rPr>
                <w:rFonts w:cstheme="minorHAnsi"/>
                <w:b/>
                <w:bCs/>
                <w:sz w:val="26"/>
                <w:szCs w:val="26"/>
              </w:rPr>
              <w:t>Severity</w:t>
            </w:r>
          </w:p>
        </w:tc>
      </w:tr>
      <w:tr w:rsidR="00D60B07" w14:paraId="4B588DCC" w14:textId="77777777" w:rsidTr="00E0497A">
        <w:trPr>
          <w:cantSplit/>
        </w:trPr>
        <w:tc>
          <w:tcPr>
            <w:tcW w:w="1543" w:type="dxa"/>
            <w:vAlign w:val="center"/>
          </w:tcPr>
          <w:p w14:paraId="565A20CB" w14:textId="77777777" w:rsidR="00D60B07" w:rsidRDefault="00D60B07" w:rsidP="00024DD9">
            <w:pPr>
              <w:pStyle w:val="ListParagraph"/>
              <w:ind w:left="0"/>
            </w:pPr>
            <w:r w:rsidRPr="002E26EC">
              <w:rPr>
                <w:rFonts w:cstheme="minorHAnsi"/>
              </w:rPr>
              <w:t>Febrile Nonhemolytic Reaction</w:t>
            </w:r>
          </w:p>
        </w:tc>
        <w:tc>
          <w:tcPr>
            <w:tcW w:w="5211" w:type="dxa"/>
            <w:vAlign w:val="center"/>
          </w:tcPr>
          <w:p w14:paraId="5AA8E9C8"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1D1D75ED" w14:textId="77777777" w:rsidR="00D60B07" w:rsidRPr="00840C88" w:rsidRDefault="00D60B07">
            <w:pPr>
              <w:pStyle w:val="ListParagraph"/>
              <w:numPr>
                <w:ilvl w:val="0"/>
                <w:numId w:val="20"/>
              </w:numPr>
              <w:rPr>
                <w:rFonts w:cstheme="minorHAnsi"/>
                <w:sz w:val="21"/>
                <w:szCs w:val="21"/>
              </w:rPr>
            </w:pPr>
            <w:r w:rsidRPr="00840C88">
              <w:rPr>
                <w:rFonts w:cstheme="minorHAnsi"/>
                <w:sz w:val="21"/>
                <w:szCs w:val="21"/>
              </w:rPr>
              <w:t>Febrile nonhemolytic transfusion reactions (FNHTRs) are commonly encountered transfusion reactions with overall per unit rate of 1%–3%.</w:t>
            </w:r>
            <w:r>
              <w:rPr>
                <w:rFonts w:cstheme="minorHAnsi"/>
                <w:sz w:val="21"/>
                <w:szCs w:val="21"/>
              </w:rPr>
              <w:t xml:space="preserve">  </w:t>
            </w:r>
            <w:r>
              <w:rPr>
                <w:rFonts w:cstheme="minorHAnsi"/>
                <w:sz w:val="21"/>
                <w:szCs w:val="21"/>
              </w:rPr>
              <w:br/>
            </w:r>
            <w:r w:rsidRPr="0012476D">
              <w:rPr>
                <w:rFonts w:cstheme="minorHAnsi"/>
                <w:sz w:val="21"/>
                <w:szCs w:val="21"/>
              </w:rPr>
              <w:t>https://www.sciencedirect.com/science/article/abs/pii/B9780128137260000611</w:t>
            </w:r>
          </w:p>
          <w:p w14:paraId="0E41B787"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0A2A72E3" w14:textId="77777777" w:rsidR="00D60B07" w:rsidRPr="00D31706" w:rsidRDefault="00D60B07" w:rsidP="00024DD9">
            <w:pPr>
              <w:pStyle w:val="ListParagraph"/>
              <w:ind w:left="0"/>
              <w:contextualSpacing w:val="0"/>
              <w:rPr>
                <w:rFonts w:cstheme="minorHAnsi"/>
                <w:sz w:val="21"/>
                <w:szCs w:val="21"/>
              </w:rPr>
            </w:pPr>
          </w:p>
          <w:p w14:paraId="198634D3"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4CA54BA2" w14:textId="77777777" w:rsidR="00D60B07" w:rsidRDefault="00D60B07" w:rsidP="00024DD9">
            <w:pPr>
              <w:pStyle w:val="ListParagraph"/>
              <w:ind w:left="0"/>
              <w:contextualSpacing w:val="0"/>
              <w:rPr>
                <w:rFonts w:eastAsiaTheme="minorEastAsia" w:cstheme="minorHAnsi"/>
                <w:sz w:val="21"/>
                <w:szCs w:val="21"/>
              </w:rPr>
            </w:pPr>
          </w:p>
          <w:p w14:paraId="7C535C8A"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→P=Probable</m:t>
              </m:r>
            </m:oMath>
          </w:p>
        </w:tc>
        <w:tc>
          <w:tcPr>
            <w:tcW w:w="1138" w:type="dxa"/>
            <w:vAlign w:val="center"/>
          </w:tcPr>
          <w:p w14:paraId="25122068" w14:textId="77777777" w:rsidR="00D60B07" w:rsidRDefault="00D60B07" w:rsidP="00024DD9">
            <w:pPr>
              <w:pStyle w:val="ListParagraph"/>
              <w:ind w:left="0"/>
            </w:pPr>
            <w:r>
              <w:rPr>
                <w:rFonts w:cstheme="minorHAnsi"/>
              </w:rPr>
              <w:t>Often</w:t>
            </w:r>
          </w:p>
        </w:tc>
        <w:tc>
          <w:tcPr>
            <w:tcW w:w="1138" w:type="dxa"/>
            <w:vAlign w:val="center"/>
          </w:tcPr>
          <w:p w14:paraId="4371FC70" w14:textId="77777777" w:rsidR="00D60B07" w:rsidRDefault="00D60B07" w:rsidP="00024DD9">
            <w:pPr>
              <w:pStyle w:val="ListParagraph"/>
              <w:ind w:left="0"/>
            </w:pPr>
            <w:r>
              <w:rPr>
                <w:rFonts w:cstheme="minorHAnsi"/>
              </w:rPr>
              <w:t>Frequent</w:t>
            </w:r>
          </w:p>
        </w:tc>
        <w:tc>
          <w:tcPr>
            <w:tcW w:w="1243" w:type="dxa"/>
            <w:vAlign w:val="center"/>
          </w:tcPr>
          <w:p w14:paraId="06EE398B" w14:textId="77777777" w:rsidR="00D60B07" w:rsidRDefault="00D60B07" w:rsidP="00024DD9">
            <w:pPr>
              <w:pStyle w:val="ListParagraph"/>
              <w:ind w:left="0"/>
            </w:pPr>
            <w:r w:rsidRPr="00950E32">
              <w:rPr>
                <w:rFonts w:cstheme="minorHAnsi"/>
              </w:rPr>
              <w:t>Probable</w:t>
            </w:r>
          </w:p>
        </w:tc>
        <w:tc>
          <w:tcPr>
            <w:tcW w:w="1393" w:type="dxa"/>
            <w:vAlign w:val="center"/>
          </w:tcPr>
          <w:p w14:paraId="7C224FB3" w14:textId="77777777" w:rsidR="00D60B07" w:rsidRDefault="00D60B07" w:rsidP="00024DD9">
            <w:pPr>
              <w:pStyle w:val="ListParagraph"/>
              <w:ind w:left="0"/>
            </w:pPr>
            <w:r>
              <w:rPr>
                <w:rFonts w:cstheme="minorHAnsi"/>
              </w:rPr>
              <w:t>Mi</w:t>
            </w:r>
            <w:r w:rsidRPr="00F55663">
              <w:rPr>
                <w:rFonts w:cstheme="minorHAnsi"/>
              </w:rPr>
              <w:t>nor</w:t>
            </w:r>
          </w:p>
        </w:tc>
      </w:tr>
      <w:tr w:rsidR="00D60B07" w14:paraId="54817702" w14:textId="77777777" w:rsidTr="00E0497A">
        <w:trPr>
          <w:cantSplit/>
        </w:trPr>
        <w:tc>
          <w:tcPr>
            <w:tcW w:w="1543" w:type="dxa"/>
            <w:vAlign w:val="center"/>
          </w:tcPr>
          <w:p w14:paraId="1F44AA0C" w14:textId="77777777" w:rsidR="00D60B07" w:rsidRDefault="00D60B07" w:rsidP="00024DD9">
            <w:pPr>
              <w:pStyle w:val="ListParagraph"/>
              <w:ind w:left="0"/>
            </w:pPr>
            <w:r>
              <w:rPr>
                <w:rFonts w:cstheme="minorHAnsi"/>
              </w:rPr>
              <w:t>A</w:t>
            </w:r>
            <w:r w:rsidRPr="002E26EC">
              <w:rPr>
                <w:rFonts w:cstheme="minorHAnsi"/>
              </w:rPr>
              <w:t>llergic reaction to Tylenol or Benadryl</w:t>
            </w:r>
            <w:r>
              <w:rPr>
                <w:rFonts w:cstheme="minorHAnsi"/>
              </w:rPr>
              <w:br/>
              <w:t>(Successor Event to Febrile Nonhemolytic Reaction)</w:t>
            </w:r>
          </w:p>
        </w:tc>
        <w:tc>
          <w:tcPr>
            <w:tcW w:w="5211" w:type="dxa"/>
            <w:vAlign w:val="center"/>
          </w:tcPr>
          <w:p w14:paraId="283C4728"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2B82973C" w14:textId="77777777" w:rsidR="00D60B07" w:rsidRPr="00DC546D" w:rsidRDefault="00D60B07">
            <w:pPr>
              <w:pStyle w:val="ListParagraph"/>
              <w:numPr>
                <w:ilvl w:val="0"/>
                <w:numId w:val="19"/>
              </w:numPr>
              <w:rPr>
                <w:rFonts w:cstheme="minorHAnsi"/>
                <w:sz w:val="21"/>
                <w:szCs w:val="21"/>
              </w:rPr>
            </w:pPr>
            <w:r w:rsidRPr="00FF4A56">
              <w:rPr>
                <w:rFonts w:cstheme="minorHAnsi"/>
                <w:sz w:val="21"/>
                <w:szCs w:val="21"/>
              </w:rPr>
              <w:t xml:space="preserve">Tylenol or Benadryl is administered after the patient receives a transfusion for Febrile Nonhemolytic Reaction.  Reactions (to Tylenol) occur in 1.6% of all patients taking NSAIDs. </w:t>
            </w:r>
            <w:r>
              <w:rPr>
                <w:rFonts w:cstheme="minorHAnsi"/>
                <w:sz w:val="21"/>
                <w:szCs w:val="21"/>
              </w:rPr>
              <w:br/>
            </w:r>
            <w:r w:rsidRPr="0012476D">
              <w:rPr>
                <w:rFonts w:cstheme="minorHAnsi"/>
                <w:sz w:val="21"/>
                <w:szCs w:val="21"/>
              </w:rPr>
              <w:t>https://www1.racgp.org.au/ajgp/2019/april/paracetamol-allergy-in-clinical-practice</w:t>
            </w:r>
          </w:p>
          <w:p w14:paraId="4BF09A22"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6855F32D" w14:textId="77777777" w:rsidR="00D60B07" w:rsidRPr="00D31706" w:rsidRDefault="00D60B07" w:rsidP="00024DD9">
            <w:pPr>
              <w:pStyle w:val="ListParagraph"/>
              <w:ind w:left="0"/>
              <w:contextualSpacing w:val="0"/>
              <w:rPr>
                <w:rFonts w:cstheme="minorHAnsi"/>
                <w:sz w:val="21"/>
                <w:szCs w:val="21"/>
              </w:rPr>
            </w:pPr>
          </w:p>
          <w:p w14:paraId="445EE39C"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074E9E7C" w14:textId="77777777" w:rsidR="00D60B07" w:rsidRDefault="00D60B07" w:rsidP="00024DD9">
            <w:pPr>
              <w:pStyle w:val="ListParagraph"/>
              <w:ind w:left="0"/>
              <w:contextualSpacing w:val="0"/>
              <w:rPr>
                <w:rFonts w:eastAsiaTheme="minorEastAsia" w:cstheme="minorHAnsi"/>
                <w:sz w:val="21"/>
                <w:szCs w:val="21"/>
              </w:rPr>
            </w:pPr>
          </w:p>
          <w:p w14:paraId="6E22A11C"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br/>
            </w:r>
            <w:r w:rsidRPr="00D31706">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418B9380" w14:textId="77777777" w:rsidR="00D60B07" w:rsidRDefault="00D60B07" w:rsidP="00024DD9">
            <w:pPr>
              <w:pStyle w:val="ListParagraph"/>
              <w:ind w:left="0"/>
            </w:pPr>
            <w:r>
              <w:rPr>
                <w:rFonts w:cstheme="minorHAnsi"/>
              </w:rPr>
              <w:t>Expected / (Probable, successor from previous row)</w:t>
            </w:r>
          </w:p>
        </w:tc>
        <w:tc>
          <w:tcPr>
            <w:tcW w:w="1138" w:type="dxa"/>
            <w:vAlign w:val="center"/>
          </w:tcPr>
          <w:p w14:paraId="22A677BC" w14:textId="77777777" w:rsidR="00D60B07" w:rsidRDefault="00D60B07" w:rsidP="00024DD9">
            <w:pPr>
              <w:pStyle w:val="ListParagraph"/>
              <w:ind w:left="0"/>
            </w:pPr>
            <w:r>
              <w:rPr>
                <w:rFonts w:cstheme="minorHAnsi"/>
              </w:rPr>
              <w:t>Often</w:t>
            </w:r>
          </w:p>
        </w:tc>
        <w:tc>
          <w:tcPr>
            <w:tcW w:w="1243" w:type="dxa"/>
            <w:vAlign w:val="center"/>
          </w:tcPr>
          <w:p w14:paraId="674C1FCA" w14:textId="77777777" w:rsidR="00D60B07" w:rsidRDefault="00D60B07" w:rsidP="00024DD9">
            <w:pPr>
              <w:pStyle w:val="ListParagraph"/>
              <w:ind w:left="0"/>
            </w:pPr>
            <w:r w:rsidRPr="00602274">
              <w:rPr>
                <w:rFonts w:cstheme="minorHAnsi"/>
              </w:rPr>
              <w:t>Occasional</w:t>
            </w:r>
          </w:p>
        </w:tc>
        <w:tc>
          <w:tcPr>
            <w:tcW w:w="1393" w:type="dxa"/>
            <w:vAlign w:val="center"/>
          </w:tcPr>
          <w:p w14:paraId="6E6C86EF" w14:textId="77777777" w:rsidR="00D60B07" w:rsidRDefault="00D60B07" w:rsidP="00024DD9">
            <w:pPr>
              <w:pStyle w:val="ListParagraph"/>
              <w:ind w:left="0"/>
            </w:pPr>
            <w:r>
              <w:rPr>
                <w:rFonts w:cstheme="minorHAnsi"/>
              </w:rPr>
              <w:t>Serious / Major</w:t>
            </w:r>
          </w:p>
        </w:tc>
      </w:tr>
      <w:tr w:rsidR="00D60B07" w14:paraId="2601EC46" w14:textId="77777777" w:rsidTr="00E0497A">
        <w:trPr>
          <w:cantSplit/>
        </w:trPr>
        <w:tc>
          <w:tcPr>
            <w:tcW w:w="1543" w:type="dxa"/>
            <w:vMerge w:val="restart"/>
            <w:vAlign w:val="center"/>
          </w:tcPr>
          <w:p w14:paraId="05BF6F0E" w14:textId="77777777" w:rsidR="00D60B07" w:rsidRDefault="00D60B07" w:rsidP="00024DD9">
            <w:pPr>
              <w:pStyle w:val="ListParagraph"/>
              <w:ind w:left="0"/>
            </w:pPr>
            <w:r w:rsidRPr="002E26EC">
              <w:rPr>
                <w:rFonts w:cstheme="minorHAnsi"/>
              </w:rPr>
              <w:t xml:space="preserve">Acute hemolytic </w:t>
            </w:r>
            <w:r w:rsidRPr="002E26EC">
              <w:rPr>
                <w:rFonts w:cstheme="minorHAnsi"/>
              </w:rPr>
              <w:lastRenderedPageBreak/>
              <w:t>transfusion reaction</w:t>
            </w:r>
          </w:p>
        </w:tc>
        <w:tc>
          <w:tcPr>
            <w:tcW w:w="5211" w:type="dxa"/>
            <w:vMerge w:val="restart"/>
            <w:vAlign w:val="center"/>
          </w:tcPr>
          <w:p w14:paraId="1C143212"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lastRenderedPageBreak/>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4DD1A90A" w14:textId="77777777" w:rsidR="00D60B07" w:rsidRDefault="00D60B07">
            <w:pPr>
              <w:pStyle w:val="ListParagraph"/>
              <w:numPr>
                <w:ilvl w:val="0"/>
                <w:numId w:val="19"/>
              </w:numPr>
              <w:contextualSpacing w:val="0"/>
              <w:rPr>
                <w:rFonts w:cstheme="minorHAnsi"/>
                <w:sz w:val="21"/>
                <w:szCs w:val="21"/>
              </w:rPr>
            </w:pPr>
            <w:r w:rsidRPr="00AC063F">
              <w:rPr>
                <w:rFonts w:cstheme="minorHAnsi"/>
                <w:sz w:val="21"/>
                <w:szCs w:val="21"/>
              </w:rPr>
              <w:t>5 per 100,000</w:t>
            </w:r>
          </w:p>
          <w:p w14:paraId="7F4ECFED" w14:textId="77777777" w:rsidR="00D60B07" w:rsidRPr="00AC063F" w:rsidRDefault="00D60B07" w:rsidP="00024DD9">
            <w:pPr>
              <w:pStyle w:val="ListParagraph"/>
              <w:ind w:left="360"/>
              <w:contextualSpacing w:val="0"/>
              <w:rPr>
                <w:rFonts w:cstheme="minorHAnsi"/>
                <w:sz w:val="21"/>
                <w:szCs w:val="21"/>
              </w:rPr>
            </w:pPr>
            <w:r w:rsidRPr="0012476D">
              <w:rPr>
                <w:rFonts w:cstheme="minorHAnsi"/>
                <w:sz w:val="21"/>
                <w:szCs w:val="21"/>
              </w:rPr>
              <w:lastRenderedPageBreak/>
              <w:t>https://www.sciencedirect.com/topics/medicine-and-dentistry/blood-transfusion-reaction</w:t>
            </w:r>
          </w:p>
          <w:p w14:paraId="0D8BBB80"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44A4CF7A" w14:textId="77777777" w:rsidR="00D60B07" w:rsidRPr="00D31706" w:rsidRDefault="00D60B07" w:rsidP="00024DD9">
            <w:pPr>
              <w:pStyle w:val="ListParagraph"/>
              <w:ind w:left="0"/>
              <w:contextualSpacing w:val="0"/>
              <w:rPr>
                <w:rFonts w:cstheme="minorHAnsi"/>
                <w:sz w:val="21"/>
                <w:szCs w:val="21"/>
              </w:rPr>
            </w:pPr>
          </w:p>
          <w:p w14:paraId="01B85B15"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188AED5A" w14:textId="77777777" w:rsidR="00D60B07" w:rsidRDefault="00D60B07" w:rsidP="00024DD9">
            <w:pPr>
              <w:pStyle w:val="ListParagraph"/>
              <w:ind w:left="0"/>
              <w:contextualSpacing w:val="0"/>
              <w:rPr>
                <w:rFonts w:eastAsiaTheme="minorEastAsia" w:cstheme="minorHAnsi"/>
                <w:sz w:val="21"/>
                <w:szCs w:val="21"/>
              </w:rPr>
            </w:pPr>
          </w:p>
          <w:p w14:paraId="24C05C6F"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2A6C46D" w14:textId="77777777" w:rsidR="00D60B07" w:rsidRDefault="00D60B07" w:rsidP="00024DD9">
            <w:pPr>
              <w:pStyle w:val="ListParagraph"/>
              <w:ind w:left="0"/>
              <w:contextualSpacing w:val="0"/>
              <w:jc w:val="center"/>
            </w:pPr>
            <w:r>
              <w:rPr>
                <w:rFonts w:cstheme="minorHAnsi"/>
              </w:rPr>
              <w:lastRenderedPageBreak/>
              <w:t>Occasional</w:t>
            </w:r>
          </w:p>
        </w:tc>
        <w:tc>
          <w:tcPr>
            <w:tcW w:w="1138" w:type="dxa"/>
            <w:vAlign w:val="center"/>
          </w:tcPr>
          <w:p w14:paraId="52CA429E" w14:textId="77777777" w:rsidR="00D60B07" w:rsidRDefault="00D60B07" w:rsidP="00024DD9">
            <w:pPr>
              <w:pStyle w:val="ListParagraph"/>
              <w:ind w:left="0"/>
            </w:pPr>
            <w:r>
              <w:rPr>
                <w:rFonts w:cstheme="minorHAnsi"/>
              </w:rPr>
              <w:t>Occasional</w:t>
            </w:r>
          </w:p>
        </w:tc>
        <w:tc>
          <w:tcPr>
            <w:tcW w:w="1243" w:type="dxa"/>
            <w:vAlign w:val="center"/>
          </w:tcPr>
          <w:p w14:paraId="346A8A02" w14:textId="77777777" w:rsidR="00D60B07" w:rsidRDefault="00D60B07" w:rsidP="00024DD9">
            <w:pPr>
              <w:pStyle w:val="ListParagraph"/>
              <w:ind w:left="0"/>
            </w:pPr>
            <w:r>
              <w:rPr>
                <w:rFonts w:cstheme="minorHAnsi"/>
              </w:rPr>
              <w:t>Improbable</w:t>
            </w:r>
          </w:p>
        </w:tc>
        <w:tc>
          <w:tcPr>
            <w:tcW w:w="1393" w:type="dxa"/>
            <w:vAlign w:val="center"/>
          </w:tcPr>
          <w:p w14:paraId="763D3AB3" w14:textId="77777777" w:rsidR="00D60B07" w:rsidRDefault="00D60B07" w:rsidP="00024DD9">
            <w:pPr>
              <w:pStyle w:val="ListParagraph"/>
              <w:ind w:left="0"/>
            </w:pPr>
            <w:r>
              <w:rPr>
                <w:rFonts w:cstheme="minorHAnsi"/>
              </w:rPr>
              <w:t>Serious / Major</w:t>
            </w:r>
          </w:p>
        </w:tc>
      </w:tr>
      <w:tr w:rsidR="00D60B07" w14:paraId="292B6F2C" w14:textId="77777777" w:rsidTr="00E0497A">
        <w:trPr>
          <w:cantSplit/>
        </w:trPr>
        <w:tc>
          <w:tcPr>
            <w:tcW w:w="1543" w:type="dxa"/>
            <w:vMerge/>
            <w:vAlign w:val="center"/>
          </w:tcPr>
          <w:p w14:paraId="32D20E06" w14:textId="77777777" w:rsidR="00D60B07" w:rsidRDefault="00D60B07" w:rsidP="00024DD9">
            <w:pPr>
              <w:pStyle w:val="ListParagraph"/>
              <w:ind w:left="0"/>
            </w:pPr>
          </w:p>
        </w:tc>
        <w:tc>
          <w:tcPr>
            <w:tcW w:w="5211" w:type="dxa"/>
            <w:vMerge/>
            <w:vAlign w:val="center"/>
          </w:tcPr>
          <w:p w14:paraId="3F70D8CB" w14:textId="77777777" w:rsidR="00D60B07" w:rsidRDefault="00D60B07" w:rsidP="00024DD9">
            <w:pPr>
              <w:pStyle w:val="ListParagraph"/>
              <w:ind w:left="0"/>
            </w:pPr>
          </w:p>
        </w:tc>
        <w:tc>
          <w:tcPr>
            <w:tcW w:w="1138" w:type="dxa"/>
            <w:vAlign w:val="center"/>
          </w:tcPr>
          <w:p w14:paraId="6739AAB3" w14:textId="77777777" w:rsidR="00D60B07" w:rsidRDefault="00D60B07" w:rsidP="00024DD9">
            <w:pPr>
              <w:pStyle w:val="ListParagraph"/>
              <w:ind w:left="0"/>
              <w:contextualSpacing w:val="0"/>
              <w:jc w:val="center"/>
            </w:pPr>
            <w:r>
              <w:rPr>
                <w:rFonts w:eastAsia="Times New Roman"/>
              </w:rPr>
              <w:t>Often</w:t>
            </w:r>
          </w:p>
        </w:tc>
        <w:tc>
          <w:tcPr>
            <w:tcW w:w="1138" w:type="dxa"/>
            <w:vAlign w:val="center"/>
          </w:tcPr>
          <w:p w14:paraId="2A5695C1" w14:textId="77777777" w:rsidR="00D60B07" w:rsidRDefault="00D60B07" w:rsidP="00024DD9">
            <w:pPr>
              <w:pStyle w:val="ListParagraph"/>
              <w:ind w:left="0"/>
            </w:pPr>
            <w:r>
              <w:rPr>
                <w:rFonts w:cstheme="minorHAnsi"/>
              </w:rPr>
              <w:t>Occasional</w:t>
            </w:r>
          </w:p>
        </w:tc>
        <w:tc>
          <w:tcPr>
            <w:tcW w:w="1243" w:type="dxa"/>
            <w:vAlign w:val="center"/>
          </w:tcPr>
          <w:p w14:paraId="56BBE933" w14:textId="77777777" w:rsidR="00D60B07" w:rsidRDefault="00D60B07" w:rsidP="00024DD9">
            <w:pPr>
              <w:pStyle w:val="ListParagraph"/>
              <w:ind w:left="0"/>
            </w:pPr>
            <w:r>
              <w:rPr>
                <w:rFonts w:cstheme="minorHAnsi"/>
              </w:rPr>
              <w:t>Improbable</w:t>
            </w:r>
          </w:p>
        </w:tc>
        <w:tc>
          <w:tcPr>
            <w:tcW w:w="1393" w:type="dxa"/>
            <w:vAlign w:val="center"/>
          </w:tcPr>
          <w:p w14:paraId="01EE2C70" w14:textId="77777777" w:rsidR="00D60B07" w:rsidRDefault="00D60B07" w:rsidP="00024DD9">
            <w:pPr>
              <w:pStyle w:val="ListParagraph"/>
              <w:ind w:left="0"/>
            </w:pPr>
            <w:r>
              <w:rPr>
                <w:rFonts w:cstheme="minorHAnsi"/>
              </w:rPr>
              <w:t>Critical</w:t>
            </w:r>
          </w:p>
        </w:tc>
      </w:tr>
      <w:tr w:rsidR="00D60B07" w14:paraId="48C40DC0" w14:textId="77777777" w:rsidTr="00E0497A">
        <w:trPr>
          <w:cantSplit/>
        </w:trPr>
        <w:tc>
          <w:tcPr>
            <w:tcW w:w="1543" w:type="dxa"/>
            <w:vMerge/>
            <w:vAlign w:val="center"/>
          </w:tcPr>
          <w:p w14:paraId="0254C475" w14:textId="77777777" w:rsidR="00D60B07" w:rsidRDefault="00D60B07" w:rsidP="00024DD9">
            <w:pPr>
              <w:pStyle w:val="ListParagraph"/>
              <w:ind w:left="0"/>
            </w:pPr>
          </w:p>
        </w:tc>
        <w:tc>
          <w:tcPr>
            <w:tcW w:w="5211" w:type="dxa"/>
            <w:vMerge/>
            <w:vAlign w:val="center"/>
          </w:tcPr>
          <w:p w14:paraId="09015BFA" w14:textId="77777777" w:rsidR="00D60B07" w:rsidRDefault="00D60B07" w:rsidP="00024DD9">
            <w:pPr>
              <w:pStyle w:val="ListParagraph"/>
              <w:ind w:left="0"/>
            </w:pPr>
          </w:p>
        </w:tc>
        <w:tc>
          <w:tcPr>
            <w:tcW w:w="1138" w:type="dxa"/>
            <w:vAlign w:val="center"/>
          </w:tcPr>
          <w:p w14:paraId="14324464" w14:textId="77777777" w:rsidR="00D60B07" w:rsidRDefault="00D60B07" w:rsidP="00024DD9">
            <w:pPr>
              <w:pStyle w:val="ListParagraph"/>
              <w:ind w:left="0"/>
            </w:pPr>
            <w:r>
              <w:rPr>
                <w:rFonts w:eastAsia="Times New Roman"/>
              </w:rPr>
              <w:t>Expected</w:t>
            </w:r>
          </w:p>
        </w:tc>
        <w:tc>
          <w:tcPr>
            <w:tcW w:w="1138" w:type="dxa"/>
            <w:vAlign w:val="center"/>
          </w:tcPr>
          <w:p w14:paraId="67766E22" w14:textId="77777777" w:rsidR="00D60B07" w:rsidRDefault="00D60B07" w:rsidP="00024DD9">
            <w:pPr>
              <w:pStyle w:val="ListParagraph"/>
              <w:ind w:left="0"/>
            </w:pPr>
            <w:r>
              <w:rPr>
                <w:rFonts w:cstheme="minorHAnsi"/>
              </w:rPr>
              <w:t>Remote</w:t>
            </w:r>
          </w:p>
        </w:tc>
        <w:tc>
          <w:tcPr>
            <w:tcW w:w="1243" w:type="dxa"/>
            <w:vAlign w:val="center"/>
          </w:tcPr>
          <w:p w14:paraId="456BF9B0" w14:textId="77777777" w:rsidR="00D60B07" w:rsidRDefault="00D60B07" w:rsidP="00024DD9">
            <w:pPr>
              <w:pStyle w:val="ListParagraph"/>
              <w:ind w:left="0"/>
            </w:pPr>
            <w:r>
              <w:rPr>
                <w:rFonts w:cstheme="minorHAnsi"/>
              </w:rPr>
              <w:t>Improbable</w:t>
            </w:r>
          </w:p>
        </w:tc>
        <w:tc>
          <w:tcPr>
            <w:tcW w:w="1393" w:type="dxa"/>
            <w:vAlign w:val="center"/>
          </w:tcPr>
          <w:p w14:paraId="5A56A350" w14:textId="77777777" w:rsidR="00D60B07" w:rsidRDefault="00D60B07" w:rsidP="00024DD9">
            <w:pPr>
              <w:pStyle w:val="ListParagraph"/>
              <w:ind w:left="0"/>
            </w:pPr>
            <w:r>
              <w:rPr>
                <w:rFonts w:cstheme="minorHAnsi"/>
              </w:rPr>
              <w:t>Catastrophic / Fatal</w:t>
            </w:r>
          </w:p>
        </w:tc>
      </w:tr>
      <w:tr w:rsidR="00D60B07" w14:paraId="79FFFB9A" w14:textId="77777777" w:rsidTr="00E0497A">
        <w:trPr>
          <w:cantSplit/>
        </w:trPr>
        <w:tc>
          <w:tcPr>
            <w:tcW w:w="1543" w:type="dxa"/>
            <w:vAlign w:val="center"/>
          </w:tcPr>
          <w:p w14:paraId="245068DA" w14:textId="77777777" w:rsidR="00D60B07" w:rsidRDefault="00D60B07" w:rsidP="00024DD9">
            <w:pPr>
              <w:pStyle w:val="ListParagraph"/>
              <w:ind w:left="0"/>
            </w:pPr>
            <w:r w:rsidRPr="00D97071">
              <w:rPr>
                <w:rFonts w:cstheme="minorHAnsi"/>
              </w:rPr>
              <w:t>Graft vs. host disease</w:t>
            </w:r>
          </w:p>
        </w:tc>
        <w:tc>
          <w:tcPr>
            <w:tcW w:w="5211" w:type="dxa"/>
            <w:vAlign w:val="center"/>
          </w:tcPr>
          <w:p w14:paraId="3BD32E77"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2FAA58B5" w14:textId="77777777" w:rsidR="00D60B07" w:rsidRPr="0012476D" w:rsidRDefault="00D60B07">
            <w:pPr>
              <w:pStyle w:val="ListParagraph"/>
              <w:numPr>
                <w:ilvl w:val="0"/>
                <w:numId w:val="19"/>
              </w:numPr>
              <w:contextualSpacing w:val="0"/>
              <w:rPr>
                <w:rStyle w:val="Hyperlink"/>
                <w:rFonts w:cstheme="minorHAnsi"/>
                <w:color w:val="auto"/>
                <w:sz w:val="21"/>
                <w:szCs w:val="21"/>
                <w:u w:val="none"/>
              </w:rPr>
            </w:pPr>
            <w:r w:rsidRPr="0017590F">
              <w:rPr>
                <w:rFonts w:cstheme="minorHAnsi"/>
                <w:sz w:val="21"/>
                <w:szCs w:val="21"/>
              </w:rPr>
              <w:t>difficult to nail down incidence due to rarity of occurrence - some underlying risk factors are identified including prior bone marrow transplant</w:t>
            </w:r>
            <w:r>
              <w:rPr>
                <w:rFonts w:cstheme="minorHAnsi"/>
                <w:sz w:val="21"/>
                <w:szCs w:val="21"/>
              </w:rPr>
              <w:br/>
            </w:r>
            <w:r w:rsidRPr="0017590F">
              <w:rPr>
                <w:rFonts w:cstheme="minorHAnsi"/>
                <w:sz w:val="21"/>
                <w:szCs w:val="21"/>
              </w:rPr>
              <w:t xml:space="preserve">Systematic review of Graft vs host disease in transfusion - </w:t>
            </w:r>
          </w:p>
          <w:p w14:paraId="3519EA8D" w14:textId="77777777" w:rsidR="00D60B07" w:rsidRPr="0017590F" w:rsidRDefault="00D60B07" w:rsidP="00024DD9">
            <w:pPr>
              <w:pStyle w:val="ListParagraph"/>
              <w:ind w:left="360"/>
              <w:contextualSpacing w:val="0"/>
              <w:rPr>
                <w:rFonts w:cstheme="minorHAnsi"/>
                <w:sz w:val="21"/>
                <w:szCs w:val="21"/>
              </w:rPr>
            </w:pPr>
            <w:r w:rsidRPr="0012476D">
              <w:rPr>
                <w:rFonts w:cstheme="minorHAnsi"/>
                <w:sz w:val="21"/>
                <w:szCs w:val="21"/>
              </w:rPr>
              <w:t>https://ashpublications.org/blood/article/126/3/406/34566/A-systematic-review-of-transfusion-associated#</w:t>
            </w:r>
            <w:r w:rsidRPr="0017590F">
              <w:rPr>
                <w:rFonts w:cstheme="minorHAnsi"/>
                <w:sz w:val="21"/>
                <w:szCs w:val="21"/>
              </w:rPr>
              <w:t xml:space="preserve">  </w:t>
            </w:r>
          </w:p>
          <w:p w14:paraId="3E47F20C"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691D937E" w14:textId="77777777" w:rsidR="00D60B07" w:rsidRPr="00D31706" w:rsidRDefault="00D60B07" w:rsidP="00024DD9">
            <w:pPr>
              <w:pStyle w:val="ListParagraph"/>
              <w:ind w:left="0"/>
              <w:contextualSpacing w:val="0"/>
              <w:rPr>
                <w:rFonts w:cstheme="minorHAnsi"/>
                <w:sz w:val="21"/>
                <w:szCs w:val="21"/>
              </w:rPr>
            </w:pPr>
          </w:p>
          <w:p w14:paraId="2EB04083"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3AA79F1B" w14:textId="77777777" w:rsidR="00D60B07" w:rsidRDefault="00D60B07" w:rsidP="00024DD9">
            <w:pPr>
              <w:pStyle w:val="ListParagraph"/>
              <w:ind w:left="0"/>
              <w:contextualSpacing w:val="0"/>
              <w:rPr>
                <w:rFonts w:eastAsiaTheme="minorEastAsia" w:cstheme="minorHAnsi"/>
                <w:sz w:val="21"/>
                <w:szCs w:val="21"/>
              </w:rPr>
            </w:pPr>
          </w:p>
          <w:p w14:paraId="4B8FAD84"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62009192" w14:textId="77777777" w:rsidR="00D60B07" w:rsidRDefault="00D60B07" w:rsidP="00024DD9">
            <w:pPr>
              <w:pStyle w:val="ListParagraph"/>
              <w:ind w:left="0"/>
            </w:pPr>
            <w:r>
              <w:rPr>
                <w:rFonts w:cstheme="minorHAnsi"/>
              </w:rPr>
              <w:t>Improbable</w:t>
            </w:r>
          </w:p>
        </w:tc>
        <w:tc>
          <w:tcPr>
            <w:tcW w:w="1138" w:type="dxa"/>
            <w:vAlign w:val="center"/>
          </w:tcPr>
          <w:p w14:paraId="4ADD681A" w14:textId="77777777" w:rsidR="00D60B07" w:rsidRDefault="00D60B07" w:rsidP="00024DD9">
            <w:pPr>
              <w:pStyle w:val="ListParagraph"/>
              <w:ind w:left="0"/>
            </w:pPr>
            <w:r>
              <w:rPr>
                <w:rFonts w:cstheme="minorHAnsi"/>
              </w:rPr>
              <w:t>Expected</w:t>
            </w:r>
          </w:p>
        </w:tc>
        <w:tc>
          <w:tcPr>
            <w:tcW w:w="1243" w:type="dxa"/>
            <w:vAlign w:val="center"/>
          </w:tcPr>
          <w:p w14:paraId="2AEF9406" w14:textId="77777777" w:rsidR="00D60B07" w:rsidRDefault="00D60B07" w:rsidP="00024DD9">
            <w:pPr>
              <w:pStyle w:val="ListParagraph"/>
              <w:ind w:left="0"/>
            </w:pPr>
            <w:r>
              <w:rPr>
                <w:rFonts w:cstheme="minorHAnsi"/>
              </w:rPr>
              <w:t>Improbable</w:t>
            </w:r>
          </w:p>
        </w:tc>
        <w:tc>
          <w:tcPr>
            <w:tcW w:w="1393" w:type="dxa"/>
            <w:vAlign w:val="center"/>
          </w:tcPr>
          <w:p w14:paraId="440E7735" w14:textId="77777777" w:rsidR="00D60B07" w:rsidRDefault="00D60B07" w:rsidP="00024DD9">
            <w:pPr>
              <w:pStyle w:val="ListParagraph"/>
              <w:ind w:left="0"/>
            </w:pPr>
            <w:r>
              <w:rPr>
                <w:rFonts w:cstheme="minorHAnsi"/>
              </w:rPr>
              <w:t>Catastrophic / Fatal</w:t>
            </w:r>
          </w:p>
        </w:tc>
      </w:tr>
      <w:tr w:rsidR="00D60B07" w14:paraId="747937C5" w14:textId="77777777" w:rsidTr="00E0497A">
        <w:trPr>
          <w:cantSplit/>
          <w:trHeight w:val="1152"/>
        </w:trPr>
        <w:tc>
          <w:tcPr>
            <w:tcW w:w="1543" w:type="dxa"/>
            <w:vMerge w:val="restart"/>
            <w:vAlign w:val="center"/>
          </w:tcPr>
          <w:p w14:paraId="6C642A7E" w14:textId="77777777" w:rsidR="00D60B07" w:rsidRPr="000E3F5A" w:rsidRDefault="00D60B07" w:rsidP="00024DD9">
            <w:pPr>
              <w:pStyle w:val="ListParagraph"/>
              <w:ind w:left="0"/>
              <w:contextualSpacing w:val="0"/>
              <w:rPr>
                <w:rFonts w:cstheme="minorHAnsi"/>
              </w:rPr>
            </w:pPr>
            <w:r w:rsidRPr="00DD2791">
              <w:rPr>
                <w:rFonts w:cstheme="minorHAnsi"/>
              </w:rPr>
              <w:t xml:space="preserve">TACO (Transfusion Associated </w:t>
            </w:r>
            <w:r w:rsidRPr="00DD2791">
              <w:rPr>
                <w:rFonts w:cstheme="minorHAnsi"/>
              </w:rPr>
              <w:lastRenderedPageBreak/>
              <w:t>Circulatory Overload</w:t>
            </w:r>
            <w:r>
              <w:rPr>
                <w:rFonts w:cstheme="minorHAnsi"/>
              </w:rPr>
              <w:t>)</w:t>
            </w:r>
          </w:p>
          <w:p w14:paraId="59BF252C" w14:textId="77777777" w:rsidR="00D60B07" w:rsidRDefault="00D60B07" w:rsidP="00024DD9">
            <w:pPr>
              <w:pStyle w:val="ListParagraph"/>
              <w:ind w:left="0"/>
            </w:pPr>
          </w:p>
        </w:tc>
        <w:tc>
          <w:tcPr>
            <w:tcW w:w="5211" w:type="dxa"/>
            <w:vMerge w:val="restart"/>
            <w:vAlign w:val="center"/>
          </w:tcPr>
          <w:p w14:paraId="1501FD80"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lastRenderedPageBreak/>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0866DC4A" w14:textId="77777777" w:rsidR="00D60B07" w:rsidRPr="00DF391C" w:rsidRDefault="00D60B07">
            <w:pPr>
              <w:pStyle w:val="ListParagraph"/>
              <w:numPr>
                <w:ilvl w:val="0"/>
                <w:numId w:val="21"/>
              </w:numPr>
              <w:rPr>
                <w:rFonts w:cstheme="minorHAnsi"/>
                <w:sz w:val="21"/>
                <w:szCs w:val="21"/>
              </w:rPr>
            </w:pPr>
            <w:r w:rsidRPr="00DF391C">
              <w:rPr>
                <w:rFonts w:cstheme="minorHAnsi"/>
                <w:sz w:val="21"/>
                <w:szCs w:val="21"/>
              </w:rPr>
              <w:t>TACO diagnosis recorded (17.1 per 100,000)</w:t>
            </w:r>
            <w:r>
              <w:rPr>
                <w:rFonts w:cstheme="minorHAnsi"/>
                <w:sz w:val="21"/>
                <w:szCs w:val="21"/>
              </w:rPr>
              <w:br/>
            </w:r>
            <w:r w:rsidRPr="0012476D">
              <w:rPr>
                <w:rFonts w:cstheme="minorHAnsi"/>
                <w:sz w:val="21"/>
                <w:szCs w:val="21"/>
              </w:rPr>
              <w:t>https://www.fda.gov/science-research/fda-science-forum/outpatient-transfusions-and-occurrence-</w:t>
            </w:r>
            <w:r w:rsidRPr="0012476D">
              <w:rPr>
                <w:rFonts w:cstheme="minorHAnsi"/>
                <w:sz w:val="21"/>
                <w:szCs w:val="21"/>
              </w:rPr>
              <w:lastRenderedPageBreak/>
              <w:t>transfusion-associated-circulatory-overload-taco-among-us#:~:text=Results%3A,24.7%20for%20%E2%89%A55%20units.</w:t>
            </w:r>
            <w:r w:rsidRPr="00DF391C">
              <w:rPr>
                <w:rFonts w:cstheme="minorHAnsi"/>
                <w:sz w:val="21"/>
                <w:szCs w:val="21"/>
              </w:rPr>
              <w:t xml:space="preserve">   </w:t>
            </w:r>
          </w:p>
          <w:p w14:paraId="6D1DAC9E"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267409E8" w14:textId="77777777" w:rsidR="00D60B07" w:rsidRPr="00D31706" w:rsidRDefault="00D60B07" w:rsidP="00024DD9">
            <w:pPr>
              <w:pStyle w:val="ListParagraph"/>
              <w:ind w:left="0"/>
              <w:contextualSpacing w:val="0"/>
              <w:rPr>
                <w:rFonts w:cstheme="minorHAnsi"/>
                <w:sz w:val="21"/>
                <w:szCs w:val="21"/>
              </w:rPr>
            </w:pPr>
          </w:p>
          <w:p w14:paraId="4CACE152"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1F4CF10A" w14:textId="77777777" w:rsidR="00D60B07" w:rsidRDefault="00D60B07" w:rsidP="00024DD9">
            <w:pPr>
              <w:pStyle w:val="ListParagraph"/>
              <w:ind w:left="0"/>
              <w:contextualSpacing w:val="0"/>
              <w:rPr>
                <w:rFonts w:eastAsiaTheme="minorEastAsia" w:cstheme="minorHAnsi"/>
                <w:sz w:val="21"/>
                <w:szCs w:val="21"/>
              </w:rPr>
            </w:pPr>
          </w:p>
          <w:p w14:paraId="65C7D5D6" w14:textId="77777777" w:rsidR="00D60B07" w:rsidRPr="00A022CA" w:rsidRDefault="00D60B07" w:rsidP="00024DD9">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138" w:type="dxa"/>
            <w:vMerge w:val="restart"/>
            <w:vAlign w:val="center"/>
          </w:tcPr>
          <w:p w14:paraId="3E635E57" w14:textId="77777777" w:rsidR="00D60B07" w:rsidRPr="000E3F5A" w:rsidRDefault="00D60B07" w:rsidP="00024DD9">
            <w:pPr>
              <w:pStyle w:val="ListParagraph"/>
              <w:ind w:left="0"/>
              <w:contextualSpacing w:val="0"/>
              <w:jc w:val="center"/>
              <w:rPr>
                <w:rFonts w:cstheme="minorHAnsi"/>
              </w:rPr>
            </w:pPr>
            <w:r>
              <w:rPr>
                <w:rFonts w:cstheme="minorHAnsi"/>
              </w:rPr>
              <w:lastRenderedPageBreak/>
              <w:t>Occasional</w:t>
            </w:r>
          </w:p>
          <w:p w14:paraId="05270328" w14:textId="77777777" w:rsidR="00D60B07" w:rsidRDefault="00D60B07" w:rsidP="00024DD9">
            <w:pPr>
              <w:pStyle w:val="ListParagraph"/>
              <w:ind w:left="0"/>
            </w:pPr>
          </w:p>
        </w:tc>
        <w:tc>
          <w:tcPr>
            <w:tcW w:w="1138" w:type="dxa"/>
            <w:vAlign w:val="center"/>
          </w:tcPr>
          <w:p w14:paraId="44B0B6F3" w14:textId="77777777" w:rsidR="00D60B07" w:rsidRDefault="00D60B07" w:rsidP="00024DD9">
            <w:pPr>
              <w:pStyle w:val="ListParagraph"/>
              <w:ind w:left="0"/>
            </w:pPr>
            <w:r w:rsidRPr="006D206B">
              <w:rPr>
                <w:rFonts w:cstheme="minorHAnsi"/>
                <w:sz w:val="21"/>
                <w:szCs w:val="21"/>
              </w:rPr>
              <w:t>Occasional</w:t>
            </w:r>
          </w:p>
        </w:tc>
        <w:tc>
          <w:tcPr>
            <w:tcW w:w="1243" w:type="dxa"/>
            <w:vAlign w:val="center"/>
          </w:tcPr>
          <w:p w14:paraId="4A676291" w14:textId="77777777" w:rsidR="00D60B07" w:rsidRDefault="00D60B07" w:rsidP="00024DD9">
            <w:pPr>
              <w:pStyle w:val="ListParagraph"/>
              <w:ind w:left="0"/>
            </w:pPr>
            <w:r>
              <w:rPr>
                <w:rFonts w:cstheme="minorHAnsi"/>
              </w:rPr>
              <w:t>Improbable</w:t>
            </w:r>
          </w:p>
        </w:tc>
        <w:tc>
          <w:tcPr>
            <w:tcW w:w="1393" w:type="dxa"/>
            <w:vAlign w:val="center"/>
          </w:tcPr>
          <w:p w14:paraId="7B3D29CB" w14:textId="77777777" w:rsidR="00D60B07" w:rsidRDefault="00D60B07" w:rsidP="00024DD9">
            <w:pPr>
              <w:pStyle w:val="ListParagraph"/>
              <w:ind w:left="0"/>
            </w:pPr>
            <w:r w:rsidRPr="006D206B">
              <w:rPr>
                <w:rFonts w:cstheme="minorHAnsi"/>
                <w:sz w:val="21"/>
                <w:szCs w:val="21"/>
              </w:rPr>
              <w:t>Serious / Majo</w:t>
            </w:r>
            <w:r>
              <w:rPr>
                <w:rFonts w:cstheme="minorHAnsi"/>
                <w:sz w:val="21"/>
                <w:szCs w:val="21"/>
              </w:rPr>
              <w:t>r</w:t>
            </w:r>
          </w:p>
        </w:tc>
      </w:tr>
      <w:tr w:rsidR="00D60B07" w14:paraId="7B46DB3C" w14:textId="77777777" w:rsidTr="00E0497A">
        <w:trPr>
          <w:cantSplit/>
          <w:trHeight w:val="1152"/>
        </w:trPr>
        <w:tc>
          <w:tcPr>
            <w:tcW w:w="1543" w:type="dxa"/>
            <w:vMerge/>
            <w:vAlign w:val="center"/>
          </w:tcPr>
          <w:p w14:paraId="695D777A" w14:textId="77777777" w:rsidR="00D60B07" w:rsidRDefault="00D60B07" w:rsidP="00024DD9">
            <w:pPr>
              <w:pStyle w:val="ListParagraph"/>
              <w:ind w:left="0"/>
            </w:pPr>
          </w:p>
        </w:tc>
        <w:tc>
          <w:tcPr>
            <w:tcW w:w="5211" w:type="dxa"/>
            <w:vMerge/>
            <w:vAlign w:val="center"/>
          </w:tcPr>
          <w:p w14:paraId="41BD675A" w14:textId="77777777" w:rsidR="00D60B07" w:rsidRDefault="00D60B07" w:rsidP="00024DD9">
            <w:pPr>
              <w:pStyle w:val="ListParagraph"/>
              <w:ind w:left="0"/>
            </w:pPr>
          </w:p>
        </w:tc>
        <w:tc>
          <w:tcPr>
            <w:tcW w:w="1138" w:type="dxa"/>
            <w:vMerge/>
            <w:vAlign w:val="center"/>
          </w:tcPr>
          <w:p w14:paraId="1A32ADFB" w14:textId="77777777" w:rsidR="00D60B07" w:rsidRDefault="00D60B07" w:rsidP="00024DD9">
            <w:pPr>
              <w:pStyle w:val="ListParagraph"/>
              <w:ind w:left="0"/>
            </w:pPr>
          </w:p>
        </w:tc>
        <w:tc>
          <w:tcPr>
            <w:tcW w:w="1138" w:type="dxa"/>
            <w:vAlign w:val="center"/>
          </w:tcPr>
          <w:p w14:paraId="25493833" w14:textId="77777777" w:rsidR="00D60B07" w:rsidRDefault="00D60B07" w:rsidP="00024DD9">
            <w:pPr>
              <w:pStyle w:val="ListParagraph"/>
              <w:ind w:left="0"/>
            </w:pPr>
            <w:r w:rsidRPr="006D206B">
              <w:rPr>
                <w:rFonts w:cstheme="minorHAnsi"/>
                <w:sz w:val="21"/>
                <w:szCs w:val="21"/>
              </w:rPr>
              <w:t>Occasional</w:t>
            </w:r>
          </w:p>
        </w:tc>
        <w:tc>
          <w:tcPr>
            <w:tcW w:w="1243" w:type="dxa"/>
            <w:vAlign w:val="center"/>
          </w:tcPr>
          <w:p w14:paraId="04FDB0FB" w14:textId="77777777" w:rsidR="00D60B07" w:rsidRDefault="00D60B07" w:rsidP="00024DD9">
            <w:pPr>
              <w:pStyle w:val="ListParagraph"/>
              <w:ind w:left="0"/>
            </w:pPr>
            <w:r>
              <w:rPr>
                <w:rFonts w:cstheme="minorHAnsi"/>
              </w:rPr>
              <w:t>Improbable</w:t>
            </w:r>
          </w:p>
        </w:tc>
        <w:tc>
          <w:tcPr>
            <w:tcW w:w="1393" w:type="dxa"/>
            <w:vAlign w:val="center"/>
          </w:tcPr>
          <w:p w14:paraId="137B465B" w14:textId="77777777" w:rsidR="00D60B07" w:rsidRDefault="00D60B07" w:rsidP="00024DD9">
            <w:pPr>
              <w:pStyle w:val="ListParagraph"/>
              <w:ind w:left="0"/>
            </w:pPr>
            <w:r w:rsidRPr="006D206B">
              <w:rPr>
                <w:rFonts w:cstheme="minorHAnsi"/>
                <w:sz w:val="21"/>
                <w:szCs w:val="21"/>
              </w:rPr>
              <w:t>Critical</w:t>
            </w:r>
          </w:p>
        </w:tc>
      </w:tr>
      <w:tr w:rsidR="00D60B07" w14:paraId="22D88241" w14:textId="77777777" w:rsidTr="00E0497A">
        <w:trPr>
          <w:cantSplit/>
        </w:trPr>
        <w:tc>
          <w:tcPr>
            <w:tcW w:w="1543" w:type="dxa"/>
            <w:vMerge/>
            <w:vAlign w:val="center"/>
          </w:tcPr>
          <w:p w14:paraId="68558641" w14:textId="77777777" w:rsidR="00D60B07" w:rsidRDefault="00D60B07" w:rsidP="00024DD9">
            <w:pPr>
              <w:pStyle w:val="ListParagraph"/>
              <w:ind w:left="0"/>
            </w:pPr>
          </w:p>
        </w:tc>
        <w:tc>
          <w:tcPr>
            <w:tcW w:w="5211" w:type="dxa"/>
            <w:vMerge/>
            <w:vAlign w:val="center"/>
          </w:tcPr>
          <w:p w14:paraId="340C5663" w14:textId="77777777" w:rsidR="00D60B07" w:rsidRDefault="00D60B07" w:rsidP="00024DD9">
            <w:pPr>
              <w:pStyle w:val="ListParagraph"/>
              <w:ind w:left="0"/>
            </w:pPr>
          </w:p>
        </w:tc>
        <w:tc>
          <w:tcPr>
            <w:tcW w:w="1138" w:type="dxa"/>
            <w:vMerge/>
            <w:vAlign w:val="center"/>
          </w:tcPr>
          <w:p w14:paraId="585AE795" w14:textId="77777777" w:rsidR="00D60B07" w:rsidRDefault="00D60B07" w:rsidP="00024DD9">
            <w:pPr>
              <w:pStyle w:val="ListParagraph"/>
              <w:ind w:left="0"/>
            </w:pPr>
          </w:p>
        </w:tc>
        <w:tc>
          <w:tcPr>
            <w:tcW w:w="1138" w:type="dxa"/>
            <w:vAlign w:val="center"/>
          </w:tcPr>
          <w:p w14:paraId="3273343E" w14:textId="77777777" w:rsidR="00D60B07" w:rsidRDefault="00D60B07" w:rsidP="00024DD9">
            <w:pPr>
              <w:pStyle w:val="ListParagraph"/>
              <w:ind w:left="0"/>
            </w:pPr>
            <w:r w:rsidRPr="006D206B">
              <w:rPr>
                <w:rFonts w:cstheme="minorHAnsi"/>
                <w:sz w:val="21"/>
                <w:szCs w:val="21"/>
              </w:rPr>
              <w:t>Probable</w:t>
            </w:r>
          </w:p>
        </w:tc>
        <w:tc>
          <w:tcPr>
            <w:tcW w:w="1243" w:type="dxa"/>
            <w:vAlign w:val="center"/>
          </w:tcPr>
          <w:p w14:paraId="08A804B2" w14:textId="77777777" w:rsidR="00D60B07" w:rsidRDefault="00D60B07" w:rsidP="00024DD9">
            <w:pPr>
              <w:pStyle w:val="ListParagraph"/>
              <w:ind w:left="0"/>
            </w:pPr>
            <w:r>
              <w:rPr>
                <w:rFonts w:cstheme="minorHAnsi"/>
              </w:rPr>
              <w:t>Improbable</w:t>
            </w:r>
          </w:p>
        </w:tc>
        <w:tc>
          <w:tcPr>
            <w:tcW w:w="1393" w:type="dxa"/>
            <w:vAlign w:val="center"/>
          </w:tcPr>
          <w:p w14:paraId="30C8CFCC" w14:textId="77777777" w:rsidR="00D60B07" w:rsidRDefault="00D60B07" w:rsidP="00024DD9">
            <w:pPr>
              <w:pStyle w:val="ListParagraph"/>
              <w:ind w:left="0"/>
            </w:pPr>
            <w:r w:rsidRPr="006D206B">
              <w:rPr>
                <w:rFonts w:cstheme="minorHAnsi"/>
                <w:sz w:val="21"/>
                <w:szCs w:val="21"/>
              </w:rPr>
              <w:t>Catastrophic / Fatal</w:t>
            </w:r>
          </w:p>
        </w:tc>
      </w:tr>
      <w:tr w:rsidR="00D60B07" w14:paraId="6C95E4ED" w14:textId="77777777" w:rsidTr="00E0497A">
        <w:trPr>
          <w:cantSplit/>
        </w:trPr>
        <w:tc>
          <w:tcPr>
            <w:tcW w:w="1543" w:type="dxa"/>
            <w:vMerge w:val="restart"/>
            <w:vAlign w:val="center"/>
          </w:tcPr>
          <w:p w14:paraId="6709B37B" w14:textId="77777777" w:rsidR="00D60B07" w:rsidRPr="000E3F5A" w:rsidRDefault="00D60B07" w:rsidP="00024DD9">
            <w:pPr>
              <w:pStyle w:val="ListParagraph"/>
              <w:ind w:left="0"/>
              <w:contextualSpacing w:val="0"/>
              <w:rPr>
                <w:rFonts w:cstheme="minorHAnsi"/>
              </w:rPr>
            </w:pPr>
            <w:r w:rsidRPr="00604981">
              <w:rPr>
                <w:rFonts w:cstheme="minorHAnsi"/>
              </w:rPr>
              <w:t>Transfusion-related acute lung injury</w:t>
            </w:r>
          </w:p>
          <w:p w14:paraId="7A37548A" w14:textId="77777777" w:rsidR="00D60B07" w:rsidRDefault="00D60B07" w:rsidP="00024DD9">
            <w:pPr>
              <w:pStyle w:val="ListParagraph"/>
              <w:ind w:left="0"/>
            </w:pPr>
          </w:p>
        </w:tc>
        <w:tc>
          <w:tcPr>
            <w:tcW w:w="5211" w:type="dxa"/>
            <w:vMerge w:val="restart"/>
            <w:vAlign w:val="center"/>
          </w:tcPr>
          <w:p w14:paraId="37B330B0"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705FA1D5" w14:textId="77777777" w:rsidR="00D60B07" w:rsidRPr="00053561" w:rsidRDefault="00D60B07">
            <w:pPr>
              <w:pStyle w:val="ListParagraph"/>
              <w:numPr>
                <w:ilvl w:val="0"/>
                <w:numId w:val="19"/>
              </w:numPr>
              <w:rPr>
                <w:rFonts w:cstheme="minorHAnsi"/>
                <w:sz w:val="21"/>
                <w:szCs w:val="21"/>
              </w:rPr>
            </w:pPr>
            <w:r w:rsidRPr="00053561">
              <w:rPr>
                <w:rFonts w:cstheme="minorHAnsi"/>
                <w:sz w:val="21"/>
                <w:szCs w:val="21"/>
              </w:rPr>
              <w:t>Estimates of the incidence of TRALI have been 1 in 5,000 components, mostly in whole blood, 1 in 7,900 units of fresh frozen plasma, and 1 in 432 units of whole blood-derived platelet concentrates.</w:t>
            </w:r>
            <w:r>
              <w:rPr>
                <w:rFonts w:cstheme="minorHAnsi"/>
                <w:sz w:val="21"/>
                <w:szCs w:val="21"/>
              </w:rPr>
              <w:t xml:space="preserve"> </w:t>
            </w:r>
            <w:r>
              <w:rPr>
                <w:rFonts w:cstheme="minorHAnsi"/>
                <w:sz w:val="21"/>
                <w:szCs w:val="21"/>
              </w:rPr>
              <w:br/>
            </w:r>
            <w:r w:rsidRPr="00DD7FAF">
              <w:rPr>
                <w:rFonts w:cstheme="minorHAnsi"/>
                <w:sz w:val="21"/>
                <w:szCs w:val="21"/>
              </w:rPr>
              <w:t>https://www.ncbi.nlm.nih.gov/pmc/articles/PMC2767181/#:~:text=TRALI%20has%20been%20reported%20following,derived%20platelet%20concentrates%20(13)</w:t>
            </w:r>
            <w:r w:rsidRPr="00053561">
              <w:rPr>
                <w:rFonts w:cstheme="minorHAnsi"/>
                <w:sz w:val="21"/>
                <w:szCs w:val="21"/>
              </w:rPr>
              <w:t xml:space="preserve">.   </w:t>
            </w:r>
          </w:p>
          <w:p w14:paraId="1FD056AD"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1699ECB6" w14:textId="77777777" w:rsidR="00D60B07" w:rsidRPr="00D31706" w:rsidRDefault="00D60B07" w:rsidP="00024DD9">
            <w:pPr>
              <w:pStyle w:val="ListParagraph"/>
              <w:ind w:left="0"/>
              <w:contextualSpacing w:val="0"/>
              <w:rPr>
                <w:rFonts w:cstheme="minorHAnsi"/>
                <w:sz w:val="21"/>
                <w:szCs w:val="21"/>
              </w:rPr>
            </w:pPr>
          </w:p>
          <w:p w14:paraId="2A1ACEFF"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6183CE0C" w14:textId="77777777" w:rsidR="00D60B07" w:rsidRDefault="00D60B07" w:rsidP="00024DD9">
            <w:pPr>
              <w:pStyle w:val="ListParagraph"/>
              <w:ind w:left="0"/>
              <w:contextualSpacing w:val="0"/>
              <w:rPr>
                <w:rFonts w:eastAsiaTheme="minorEastAsia" w:cstheme="minorHAnsi"/>
                <w:sz w:val="21"/>
                <w:szCs w:val="21"/>
              </w:rPr>
            </w:pPr>
          </w:p>
          <w:p w14:paraId="18849228" w14:textId="77777777" w:rsidR="00D60B07" w:rsidRPr="00D31706" w:rsidRDefault="00D60B07" w:rsidP="00024DD9">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p w14:paraId="30E7BC4F" w14:textId="77777777" w:rsidR="00D60B07" w:rsidRDefault="00D60B07" w:rsidP="00024DD9">
            <w:pPr>
              <w:pStyle w:val="ListParagraph"/>
              <w:ind w:left="0"/>
            </w:pPr>
          </w:p>
        </w:tc>
        <w:tc>
          <w:tcPr>
            <w:tcW w:w="1138" w:type="dxa"/>
            <w:vMerge w:val="restart"/>
            <w:vAlign w:val="center"/>
          </w:tcPr>
          <w:p w14:paraId="452FE9E2" w14:textId="77777777" w:rsidR="00D60B07" w:rsidRPr="000E3F5A" w:rsidRDefault="00D60B07" w:rsidP="00024DD9">
            <w:pPr>
              <w:pStyle w:val="ListParagraph"/>
              <w:ind w:left="0"/>
              <w:contextualSpacing w:val="0"/>
              <w:jc w:val="center"/>
              <w:rPr>
                <w:rFonts w:cstheme="minorHAnsi"/>
              </w:rPr>
            </w:pPr>
            <w:r>
              <w:rPr>
                <w:rFonts w:cstheme="minorHAnsi"/>
              </w:rPr>
              <w:t>Frequent</w:t>
            </w:r>
          </w:p>
          <w:p w14:paraId="5A2C4C01" w14:textId="77777777" w:rsidR="00D60B07" w:rsidRDefault="00D60B07" w:rsidP="00024DD9">
            <w:pPr>
              <w:pStyle w:val="ListParagraph"/>
              <w:ind w:left="0"/>
            </w:pPr>
          </w:p>
        </w:tc>
        <w:tc>
          <w:tcPr>
            <w:tcW w:w="1138" w:type="dxa"/>
            <w:vAlign w:val="center"/>
          </w:tcPr>
          <w:p w14:paraId="706CB873" w14:textId="77777777" w:rsidR="00D60B07" w:rsidRDefault="00D60B07" w:rsidP="00024DD9">
            <w:pPr>
              <w:pStyle w:val="ListParagraph"/>
              <w:ind w:left="0"/>
            </w:pPr>
            <w:r w:rsidRPr="003E5147">
              <w:rPr>
                <w:rFonts w:cstheme="minorHAnsi"/>
              </w:rPr>
              <w:t>Frequent</w:t>
            </w:r>
          </w:p>
        </w:tc>
        <w:tc>
          <w:tcPr>
            <w:tcW w:w="1243" w:type="dxa"/>
            <w:vAlign w:val="center"/>
          </w:tcPr>
          <w:p w14:paraId="15ECF7CF" w14:textId="77777777" w:rsidR="00D60B07" w:rsidRDefault="00D60B07" w:rsidP="00024DD9">
            <w:pPr>
              <w:pStyle w:val="ListParagraph"/>
              <w:ind w:left="0"/>
            </w:pPr>
            <w:r w:rsidRPr="003E5147">
              <w:rPr>
                <w:rFonts w:cstheme="minorHAnsi"/>
              </w:rPr>
              <w:t>Occasional</w:t>
            </w:r>
          </w:p>
        </w:tc>
        <w:tc>
          <w:tcPr>
            <w:tcW w:w="1393" w:type="dxa"/>
            <w:vAlign w:val="center"/>
          </w:tcPr>
          <w:p w14:paraId="3EEB868F" w14:textId="77777777" w:rsidR="00D60B07" w:rsidRDefault="00D60B07" w:rsidP="00024DD9">
            <w:pPr>
              <w:pStyle w:val="ListParagraph"/>
              <w:ind w:left="0"/>
            </w:pPr>
            <w:r w:rsidRPr="003E5147">
              <w:rPr>
                <w:rFonts w:cstheme="minorHAnsi"/>
              </w:rPr>
              <w:t>Serious / Major</w:t>
            </w:r>
          </w:p>
        </w:tc>
      </w:tr>
      <w:tr w:rsidR="00D60B07" w14:paraId="17B5F430" w14:textId="77777777" w:rsidTr="00E0497A">
        <w:trPr>
          <w:cantSplit/>
        </w:trPr>
        <w:tc>
          <w:tcPr>
            <w:tcW w:w="1543" w:type="dxa"/>
            <w:vMerge/>
            <w:vAlign w:val="center"/>
          </w:tcPr>
          <w:p w14:paraId="4D7C5527" w14:textId="77777777" w:rsidR="00D60B07" w:rsidRDefault="00D60B07" w:rsidP="00024DD9">
            <w:pPr>
              <w:pStyle w:val="ListParagraph"/>
              <w:ind w:left="0"/>
            </w:pPr>
          </w:p>
        </w:tc>
        <w:tc>
          <w:tcPr>
            <w:tcW w:w="5211" w:type="dxa"/>
            <w:vMerge/>
            <w:vAlign w:val="center"/>
          </w:tcPr>
          <w:p w14:paraId="35DB9927" w14:textId="77777777" w:rsidR="00D60B07" w:rsidRDefault="00D60B07" w:rsidP="00024DD9">
            <w:pPr>
              <w:pStyle w:val="ListParagraph"/>
              <w:ind w:left="0"/>
            </w:pPr>
          </w:p>
        </w:tc>
        <w:tc>
          <w:tcPr>
            <w:tcW w:w="1138" w:type="dxa"/>
            <w:vMerge/>
            <w:vAlign w:val="center"/>
          </w:tcPr>
          <w:p w14:paraId="448F3ACB" w14:textId="77777777" w:rsidR="00D60B07" w:rsidRDefault="00D60B07" w:rsidP="00024DD9">
            <w:pPr>
              <w:pStyle w:val="ListParagraph"/>
              <w:ind w:left="0"/>
            </w:pPr>
          </w:p>
        </w:tc>
        <w:tc>
          <w:tcPr>
            <w:tcW w:w="1138" w:type="dxa"/>
            <w:vAlign w:val="center"/>
          </w:tcPr>
          <w:p w14:paraId="45CF5E7A" w14:textId="77777777" w:rsidR="00D60B07" w:rsidRDefault="00D60B07" w:rsidP="00024DD9">
            <w:pPr>
              <w:pStyle w:val="ListParagraph"/>
              <w:ind w:left="0"/>
            </w:pPr>
            <w:r>
              <w:rPr>
                <w:rFonts w:cstheme="minorHAnsi"/>
              </w:rPr>
              <w:t>Occasional</w:t>
            </w:r>
          </w:p>
        </w:tc>
        <w:tc>
          <w:tcPr>
            <w:tcW w:w="1243" w:type="dxa"/>
            <w:vAlign w:val="center"/>
          </w:tcPr>
          <w:p w14:paraId="3F685B44" w14:textId="77777777" w:rsidR="00D60B07" w:rsidRDefault="00D60B07" w:rsidP="00024DD9">
            <w:pPr>
              <w:pStyle w:val="ListParagraph"/>
              <w:ind w:left="0"/>
            </w:pPr>
            <w:r>
              <w:rPr>
                <w:rFonts w:cstheme="minorHAnsi"/>
              </w:rPr>
              <w:t>Improbable</w:t>
            </w:r>
          </w:p>
        </w:tc>
        <w:tc>
          <w:tcPr>
            <w:tcW w:w="1393" w:type="dxa"/>
            <w:vAlign w:val="center"/>
          </w:tcPr>
          <w:p w14:paraId="21821D97" w14:textId="77777777" w:rsidR="00D60B07" w:rsidRDefault="00D60B07" w:rsidP="00024DD9">
            <w:pPr>
              <w:pStyle w:val="ListParagraph"/>
              <w:ind w:left="0"/>
            </w:pPr>
            <w:r>
              <w:rPr>
                <w:rFonts w:cstheme="minorHAnsi"/>
              </w:rPr>
              <w:t>Critical</w:t>
            </w:r>
          </w:p>
        </w:tc>
      </w:tr>
      <w:tr w:rsidR="00D60B07" w14:paraId="38361DC6" w14:textId="77777777" w:rsidTr="00E0497A">
        <w:trPr>
          <w:cantSplit/>
        </w:trPr>
        <w:tc>
          <w:tcPr>
            <w:tcW w:w="1543" w:type="dxa"/>
            <w:vMerge w:val="restart"/>
            <w:vAlign w:val="center"/>
          </w:tcPr>
          <w:p w14:paraId="3A65901B" w14:textId="77777777" w:rsidR="00D60B07" w:rsidRPr="00C82F79" w:rsidRDefault="00D60B07" w:rsidP="00024DD9">
            <w:pPr>
              <w:pStyle w:val="ListParagraph"/>
              <w:ind w:left="0"/>
              <w:rPr>
                <w:rFonts w:cstheme="minorHAnsi"/>
                <w:highlight w:val="yellow"/>
              </w:rPr>
            </w:pPr>
            <w:r w:rsidRPr="00CB78F3">
              <w:rPr>
                <w:rFonts w:cstheme="minorHAnsi"/>
              </w:rPr>
              <w:lastRenderedPageBreak/>
              <w:t>Infection</w:t>
            </w:r>
          </w:p>
          <w:p w14:paraId="65563E43" w14:textId="77777777" w:rsidR="00D60B07" w:rsidRDefault="00D60B07" w:rsidP="00024DD9">
            <w:pPr>
              <w:pStyle w:val="ListParagraph"/>
              <w:ind w:left="0"/>
            </w:pPr>
          </w:p>
        </w:tc>
        <w:tc>
          <w:tcPr>
            <w:tcW w:w="5211" w:type="dxa"/>
            <w:vAlign w:val="center"/>
          </w:tcPr>
          <w:p w14:paraId="389F841B"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5A9BCBA2" w14:textId="77777777" w:rsidR="00D60B07" w:rsidRPr="00053561" w:rsidRDefault="00D60B07">
            <w:pPr>
              <w:pStyle w:val="ListParagraph"/>
              <w:numPr>
                <w:ilvl w:val="0"/>
                <w:numId w:val="19"/>
              </w:numPr>
              <w:rPr>
                <w:rFonts w:cstheme="minorHAnsi"/>
                <w:sz w:val="21"/>
                <w:szCs w:val="21"/>
              </w:rPr>
            </w:pPr>
            <w:r>
              <w:rPr>
                <w:rFonts w:cstheme="minorHAnsi"/>
                <w:sz w:val="21"/>
                <w:szCs w:val="21"/>
              </w:rPr>
              <w:t>1/30,000 – Any Bacterial Infection</w:t>
            </w:r>
            <w:r w:rsidRPr="00053561">
              <w:rPr>
                <w:rFonts w:cstheme="minorHAnsi"/>
                <w:sz w:val="21"/>
                <w:szCs w:val="21"/>
              </w:rPr>
              <w:t xml:space="preserve">.   </w:t>
            </w:r>
          </w:p>
          <w:p w14:paraId="25DFFF2A"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1D4CA4A8" w14:textId="77777777" w:rsidR="00D60B07" w:rsidRPr="00D31706" w:rsidRDefault="00D60B07" w:rsidP="00024DD9">
            <w:pPr>
              <w:pStyle w:val="ListParagraph"/>
              <w:ind w:left="0"/>
              <w:contextualSpacing w:val="0"/>
              <w:rPr>
                <w:rFonts w:cstheme="minorHAnsi"/>
                <w:sz w:val="21"/>
                <w:szCs w:val="21"/>
              </w:rPr>
            </w:pPr>
          </w:p>
          <w:p w14:paraId="205595ED"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0E657739" w14:textId="77777777" w:rsidR="00D60B07" w:rsidRDefault="00D60B07" w:rsidP="00024DD9">
            <w:pPr>
              <w:pStyle w:val="ListParagraph"/>
              <w:ind w:left="0"/>
              <w:contextualSpacing w:val="0"/>
              <w:rPr>
                <w:rFonts w:eastAsiaTheme="minorEastAsia" w:cstheme="minorHAnsi"/>
                <w:sz w:val="21"/>
                <w:szCs w:val="21"/>
              </w:rPr>
            </w:pPr>
          </w:p>
          <w:p w14:paraId="659B7C2E"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18F7CC93" w14:textId="77777777" w:rsidR="00D60B07" w:rsidRDefault="00D60B07" w:rsidP="00024DD9">
            <w:pPr>
              <w:pStyle w:val="ListParagraph"/>
              <w:ind w:left="0"/>
            </w:pPr>
            <w:r>
              <w:rPr>
                <w:rFonts w:cstheme="minorHAnsi"/>
              </w:rPr>
              <w:t>Occasional</w:t>
            </w:r>
          </w:p>
        </w:tc>
        <w:tc>
          <w:tcPr>
            <w:tcW w:w="1138" w:type="dxa"/>
            <w:vAlign w:val="center"/>
          </w:tcPr>
          <w:p w14:paraId="756FF166" w14:textId="77777777" w:rsidR="00D60B07" w:rsidRDefault="00D60B07" w:rsidP="00024DD9">
            <w:pPr>
              <w:pStyle w:val="ListParagraph"/>
              <w:ind w:left="0"/>
            </w:pPr>
            <w:r>
              <w:rPr>
                <w:rFonts w:cstheme="minorHAnsi"/>
              </w:rPr>
              <w:t>Frequent</w:t>
            </w:r>
          </w:p>
        </w:tc>
        <w:tc>
          <w:tcPr>
            <w:tcW w:w="1243" w:type="dxa"/>
            <w:vAlign w:val="center"/>
          </w:tcPr>
          <w:p w14:paraId="628CD9A1" w14:textId="77777777" w:rsidR="00D60B07" w:rsidRDefault="00D60B07" w:rsidP="00024DD9">
            <w:pPr>
              <w:pStyle w:val="ListParagraph"/>
              <w:ind w:left="0"/>
            </w:pPr>
            <w:r w:rsidRPr="00C92AD6">
              <w:rPr>
                <w:rFonts w:cstheme="minorHAnsi"/>
              </w:rPr>
              <w:t>Improbable</w:t>
            </w:r>
          </w:p>
        </w:tc>
        <w:tc>
          <w:tcPr>
            <w:tcW w:w="1393" w:type="dxa"/>
            <w:vAlign w:val="center"/>
          </w:tcPr>
          <w:p w14:paraId="5085CDD4" w14:textId="77777777" w:rsidR="00D60B07" w:rsidRDefault="00D60B07" w:rsidP="00024DD9">
            <w:pPr>
              <w:pStyle w:val="ListParagraph"/>
              <w:ind w:left="0"/>
            </w:pPr>
            <w:r>
              <w:rPr>
                <w:rFonts w:cstheme="minorHAnsi"/>
              </w:rPr>
              <w:t>Serious / Major</w:t>
            </w:r>
          </w:p>
        </w:tc>
      </w:tr>
      <w:tr w:rsidR="00D60B07" w14:paraId="0628701D" w14:textId="77777777" w:rsidTr="00E0497A">
        <w:trPr>
          <w:cantSplit/>
        </w:trPr>
        <w:tc>
          <w:tcPr>
            <w:tcW w:w="1543" w:type="dxa"/>
            <w:vMerge/>
            <w:vAlign w:val="center"/>
          </w:tcPr>
          <w:p w14:paraId="0F211404" w14:textId="77777777" w:rsidR="00D60B07" w:rsidRDefault="00D60B07" w:rsidP="00024DD9">
            <w:pPr>
              <w:pStyle w:val="ListParagraph"/>
              <w:ind w:left="0"/>
            </w:pPr>
          </w:p>
        </w:tc>
        <w:tc>
          <w:tcPr>
            <w:tcW w:w="5211" w:type="dxa"/>
            <w:vAlign w:val="center"/>
          </w:tcPr>
          <w:p w14:paraId="0309A431"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23EC8AE6" w14:textId="77777777" w:rsidR="00D60B07" w:rsidRPr="00053561" w:rsidRDefault="00D60B07">
            <w:pPr>
              <w:pStyle w:val="ListParagraph"/>
              <w:numPr>
                <w:ilvl w:val="0"/>
                <w:numId w:val="19"/>
              </w:numPr>
              <w:rPr>
                <w:rFonts w:cstheme="minorHAnsi"/>
                <w:sz w:val="21"/>
                <w:szCs w:val="21"/>
              </w:rPr>
            </w:pPr>
            <w:r>
              <w:rPr>
                <w:rFonts w:cstheme="minorHAnsi"/>
                <w:sz w:val="21"/>
                <w:szCs w:val="21"/>
              </w:rPr>
              <w:t>1/500,000 – Bacteremia Infection (Subsequent to bacterial infection)</w:t>
            </w:r>
          </w:p>
          <w:p w14:paraId="44995BA5" w14:textId="77777777" w:rsidR="00D60B07" w:rsidRPr="00D31706" w:rsidRDefault="00D60B07">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4A5D9B5D" w14:textId="77777777" w:rsidR="00D60B07" w:rsidRPr="00D31706" w:rsidRDefault="00D60B07" w:rsidP="00024DD9">
            <w:pPr>
              <w:pStyle w:val="ListParagraph"/>
              <w:ind w:left="0"/>
              <w:contextualSpacing w:val="0"/>
              <w:rPr>
                <w:rFonts w:cstheme="minorHAnsi"/>
                <w:sz w:val="21"/>
                <w:szCs w:val="21"/>
              </w:rPr>
            </w:pPr>
          </w:p>
          <w:p w14:paraId="041E1123" w14:textId="77777777" w:rsidR="00D60B07" w:rsidRDefault="00D60B07" w:rsidP="00024D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108410BC" w14:textId="77777777" w:rsidR="00D60B07" w:rsidRDefault="00D60B07" w:rsidP="00024DD9">
            <w:pPr>
              <w:pStyle w:val="ListParagraph"/>
              <w:ind w:left="0"/>
              <w:contextualSpacing w:val="0"/>
              <w:rPr>
                <w:rFonts w:eastAsiaTheme="minorEastAsia" w:cstheme="minorHAnsi"/>
                <w:sz w:val="21"/>
                <w:szCs w:val="21"/>
              </w:rPr>
            </w:pPr>
          </w:p>
          <w:p w14:paraId="3582A56F" w14:textId="77777777" w:rsidR="00D60B07" w:rsidRDefault="00D60B07" w:rsidP="00024D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→P=Renote</m:t>
              </m:r>
            </m:oMath>
          </w:p>
        </w:tc>
        <w:tc>
          <w:tcPr>
            <w:tcW w:w="1138" w:type="dxa"/>
            <w:vAlign w:val="center"/>
          </w:tcPr>
          <w:p w14:paraId="70116272" w14:textId="77777777" w:rsidR="00D60B07" w:rsidRDefault="00D60B07" w:rsidP="00024DD9">
            <w:pPr>
              <w:pStyle w:val="ListParagraph"/>
              <w:ind w:left="0"/>
            </w:pPr>
            <w:r>
              <w:rPr>
                <w:rFonts w:cstheme="minorHAnsi"/>
              </w:rPr>
              <w:t>Remote</w:t>
            </w:r>
          </w:p>
        </w:tc>
        <w:tc>
          <w:tcPr>
            <w:tcW w:w="1138" w:type="dxa"/>
            <w:vAlign w:val="center"/>
          </w:tcPr>
          <w:p w14:paraId="65FAA86C" w14:textId="77777777" w:rsidR="00D60B07" w:rsidRDefault="00D60B07" w:rsidP="00024DD9">
            <w:pPr>
              <w:pStyle w:val="ListParagraph"/>
              <w:ind w:left="0"/>
            </w:pPr>
            <w:r>
              <w:rPr>
                <w:rFonts w:cstheme="minorHAnsi"/>
              </w:rPr>
              <w:t>Expected</w:t>
            </w:r>
          </w:p>
        </w:tc>
        <w:tc>
          <w:tcPr>
            <w:tcW w:w="1243" w:type="dxa"/>
            <w:vAlign w:val="center"/>
          </w:tcPr>
          <w:p w14:paraId="5C1C1E8F" w14:textId="77777777" w:rsidR="00D60B07" w:rsidRDefault="00D60B07" w:rsidP="00024DD9">
            <w:pPr>
              <w:pStyle w:val="ListParagraph"/>
              <w:ind w:left="0"/>
            </w:pPr>
            <w:r>
              <w:rPr>
                <w:rFonts w:cstheme="minorHAnsi"/>
              </w:rPr>
              <w:t>Remote</w:t>
            </w:r>
          </w:p>
        </w:tc>
        <w:tc>
          <w:tcPr>
            <w:tcW w:w="1393" w:type="dxa"/>
            <w:vAlign w:val="center"/>
          </w:tcPr>
          <w:p w14:paraId="3DCD404C" w14:textId="77777777" w:rsidR="00D60B07" w:rsidRDefault="00D60B07" w:rsidP="00024DD9">
            <w:pPr>
              <w:pStyle w:val="ListParagraph"/>
              <w:ind w:left="0"/>
            </w:pPr>
            <w:r>
              <w:rPr>
                <w:rFonts w:cstheme="minorHAnsi"/>
              </w:rPr>
              <w:t>Critical</w:t>
            </w:r>
          </w:p>
        </w:tc>
      </w:tr>
      <w:tr w:rsidR="00D60B07" w14:paraId="10C0C99C" w14:textId="77777777" w:rsidTr="00E0497A">
        <w:trPr>
          <w:cantSplit/>
        </w:trPr>
        <w:tc>
          <w:tcPr>
            <w:tcW w:w="1543" w:type="dxa"/>
            <w:vAlign w:val="center"/>
          </w:tcPr>
          <w:p w14:paraId="5861CD78" w14:textId="77777777" w:rsidR="00D60B07" w:rsidRDefault="00D60B07" w:rsidP="00024DD9">
            <w:pPr>
              <w:pStyle w:val="ListParagraph"/>
              <w:ind w:left="0"/>
            </w:pPr>
            <w:r>
              <w:rPr>
                <w:rFonts w:cstheme="minorHAnsi"/>
              </w:rPr>
              <w:t>Hepatitis B</w:t>
            </w:r>
          </w:p>
        </w:tc>
        <w:tc>
          <w:tcPr>
            <w:tcW w:w="5211" w:type="dxa"/>
            <w:vAlign w:val="center"/>
          </w:tcPr>
          <w:p w14:paraId="3B1452A1" w14:textId="77777777" w:rsidR="00D60B07" w:rsidRPr="00D30693" w:rsidRDefault="00D60B07" w:rsidP="00024DD9">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Hepatitis B virus</w:t>
            </w:r>
            <w:r>
              <w:rPr>
                <w:rFonts w:cstheme="minorHAnsi"/>
                <w:sz w:val="21"/>
                <w:szCs w:val="21"/>
              </w:rPr>
              <w:t>:</w:t>
            </w:r>
            <w:r w:rsidRPr="00D30693">
              <w:rPr>
                <w:rFonts w:cstheme="minorHAnsi"/>
                <w:sz w:val="21"/>
                <w:szCs w:val="21"/>
              </w:rPr>
              <w:t xml:space="preserve"> 1:1 million to 1:1.5 million</w:t>
            </w:r>
            <w:r>
              <w:rPr>
                <w:rFonts w:cstheme="minorHAnsi"/>
                <w:sz w:val="21"/>
                <w:szCs w:val="21"/>
              </w:rPr>
              <w:t xml:space="preserve"> incidences of Hepatitis B being acquired from a blood transfusion.</w:t>
            </w:r>
          </w:p>
          <w:p w14:paraId="15B2C2C2" w14:textId="77777777" w:rsidR="00D60B07" w:rsidRDefault="00D60B07" w:rsidP="00024DD9">
            <w:pPr>
              <w:pStyle w:val="ListParagraph"/>
              <w:ind w:left="0"/>
            </w:pPr>
            <w:r w:rsidRPr="00D30693">
              <w:rPr>
                <w:rFonts w:cstheme="minorHAnsi"/>
                <w:sz w:val="21"/>
                <w:szCs w:val="21"/>
              </w:rPr>
              <w:t>https://www.uptodate.com/contents/image?imageKey=HEME%2F69661</w:t>
            </w:r>
          </w:p>
        </w:tc>
        <w:tc>
          <w:tcPr>
            <w:tcW w:w="1138" w:type="dxa"/>
            <w:vAlign w:val="center"/>
          </w:tcPr>
          <w:p w14:paraId="05E63EE8" w14:textId="77777777" w:rsidR="00D60B07" w:rsidRDefault="00D60B07" w:rsidP="00024DD9">
            <w:pPr>
              <w:pStyle w:val="ListParagraph"/>
              <w:ind w:left="0"/>
            </w:pPr>
            <w:r>
              <w:rPr>
                <w:rFonts w:cstheme="minorHAnsi"/>
              </w:rPr>
              <w:t>N/A</w:t>
            </w:r>
          </w:p>
        </w:tc>
        <w:tc>
          <w:tcPr>
            <w:tcW w:w="1138" w:type="dxa"/>
            <w:vAlign w:val="center"/>
          </w:tcPr>
          <w:p w14:paraId="6D08071F" w14:textId="77777777" w:rsidR="00D60B07" w:rsidRDefault="00D60B07" w:rsidP="00024DD9">
            <w:pPr>
              <w:pStyle w:val="ListParagraph"/>
              <w:ind w:left="0"/>
            </w:pPr>
            <w:r>
              <w:rPr>
                <w:rFonts w:cstheme="minorHAnsi"/>
              </w:rPr>
              <w:t>N/A</w:t>
            </w:r>
          </w:p>
        </w:tc>
        <w:tc>
          <w:tcPr>
            <w:tcW w:w="1243" w:type="dxa"/>
            <w:vAlign w:val="center"/>
          </w:tcPr>
          <w:p w14:paraId="68061CFB" w14:textId="77777777" w:rsidR="00D60B07" w:rsidRDefault="00D60B07" w:rsidP="00024DD9">
            <w:pPr>
              <w:pStyle w:val="ListParagraph"/>
              <w:ind w:left="0"/>
            </w:pPr>
            <w:r>
              <w:rPr>
                <w:rFonts w:cstheme="minorHAnsi"/>
              </w:rPr>
              <w:t>Improbable</w:t>
            </w:r>
          </w:p>
        </w:tc>
        <w:tc>
          <w:tcPr>
            <w:tcW w:w="1393" w:type="dxa"/>
            <w:vAlign w:val="center"/>
          </w:tcPr>
          <w:p w14:paraId="4D92B89A" w14:textId="77777777" w:rsidR="00D60B07" w:rsidRDefault="00D60B07" w:rsidP="00024DD9">
            <w:pPr>
              <w:pStyle w:val="ListParagraph"/>
              <w:ind w:left="0"/>
            </w:pPr>
            <w:r>
              <w:rPr>
                <w:rFonts w:cstheme="minorHAnsi"/>
              </w:rPr>
              <w:t>Critical</w:t>
            </w:r>
          </w:p>
        </w:tc>
      </w:tr>
      <w:tr w:rsidR="00D60B07" w14:paraId="128B8787" w14:textId="77777777" w:rsidTr="00E0497A">
        <w:trPr>
          <w:cantSplit/>
        </w:trPr>
        <w:tc>
          <w:tcPr>
            <w:tcW w:w="1543" w:type="dxa"/>
            <w:vAlign w:val="center"/>
          </w:tcPr>
          <w:p w14:paraId="4F031B18" w14:textId="77777777" w:rsidR="00D60B07" w:rsidRDefault="00D60B07" w:rsidP="00024DD9">
            <w:pPr>
              <w:pStyle w:val="ListParagraph"/>
              <w:ind w:left="0"/>
            </w:pPr>
            <w:r>
              <w:rPr>
                <w:rFonts w:cstheme="minorHAnsi"/>
              </w:rPr>
              <w:t>Hepatitis C</w:t>
            </w:r>
          </w:p>
        </w:tc>
        <w:tc>
          <w:tcPr>
            <w:tcW w:w="5211" w:type="dxa"/>
            <w:vAlign w:val="center"/>
          </w:tcPr>
          <w:p w14:paraId="4533551D" w14:textId="77777777" w:rsidR="00D60B07" w:rsidRPr="00D30693" w:rsidRDefault="00D60B07" w:rsidP="00024DD9">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Hepatitis C virus</w:t>
            </w:r>
            <w:r>
              <w:rPr>
                <w:rFonts w:cstheme="minorHAnsi"/>
                <w:sz w:val="21"/>
                <w:szCs w:val="21"/>
              </w:rPr>
              <w:t>:</w:t>
            </w:r>
            <w:r w:rsidRPr="00D30693">
              <w:rPr>
                <w:rFonts w:cstheme="minorHAnsi"/>
                <w:sz w:val="21"/>
                <w:szCs w:val="21"/>
              </w:rPr>
              <w:t xml:space="preserve"> 1:2 million to 1:2.6 million</w:t>
            </w:r>
            <w:r>
              <w:rPr>
                <w:rFonts w:cstheme="minorHAnsi"/>
                <w:sz w:val="21"/>
                <w:szCs w:val="21"/>
              </w:rPr>
              <w:t xml:space="preserve"> incidences of Hepatitis C being acquired from a blood transfusion.</w:t>
            </w:r>
          </w:p>
          <w:p w14:paraId="5D551ADE" w14:textId="77777777" w:rsidR="00D60B07" w:rsidRDefault="00D60B07" w:rsidP="00024DD9">
            <w:pPr>
              <w:pStyle w:val="ListParagraph"/>
              <w:ind w:left="0"/>
            </w:pPr>
            <w:r w:rsidRPr="00D30693">
              <w:rPr>
                <w:rFonts w:cstheme="minorHAnsi"/>
                <w:sz w:val="21"/>
                <w:szCs w:val="21"/>
              </w:rPr>
              <w:t>https://www.uptodate.com/contents/image?imageKey=HEME%2F69661</w:t>
            </w:r>
          </w:p>
        </w:tc>
        <w:tc>
          <w:tcPr>
            <w:tcW w:w="1138" w:type="dxa"/>
            <w:vAlign w:val="center"/>
          </w:tcPr>
          <w:p w14:paraId="24F48E9E" w14:textId="77777777" w:rsidR="00D60B07" w:rsidRDefault="00D60B07" w:rsidP="00024DD9">
            <w:pPr>
              <w:pStyle w:val="ListParagraph"/>
              <w:ind w:left="0"/>
            </w:pPr>
            <w:r>
              <w:rPr>
                <w:rFonts w:cstheme="minorHAnsi"/>
              </w:rPr>
              <w:t>N/A</w:t>
            </w:r>
          </w:p>
        </w:tc>
        <w:tc>
          <w:tcPr>
            <w:tcW w:w="1138" w:type="dxa"/>
            <w:vAlign w:val="center"/>
          </w:tcPr>
          <w:p w14:paraId="55100050" w14:textId="77777777" w:rsidR="00D60B07" w:rsidRDefault="00D60B07" w:rsidP="00024DD9">
            <w:pPr>
              <w:pStyle w:val="ListParagraph"/>
              <w:ind w:left="0"/>
            </w:pPr>
            <w:r>
              <w:rPr>
                <w:rFonts w:cstheme="minorHAnsi"/>
              </w:rPr>
              <w:t>N/A</w:t>
            </w:r>
          </w:p>
        </w:tc>
        <w:tc>
          <w:tcPr>
            <w:tcW w:w="1243" w:type="dxa"/>
            <w:vAlign w:val="center"/>
          </w:tcPr>
          <w:p w14:paraId="61E8F0C0" w14:textId="77777777" w:rsidR="00D60B07" w:rsidRDefault="00D60B07" w:rsidP="00024DD9">
            <w:pPr>
              <w:pStyle w:val="ListParagraph"/>
              <w:ind w:left="0"/>
            </w:pPr>
            <w:r>
              <w:rPr>
                <w:rFonts w:cstheme="minorHAnsi"/>
              </w:rPr>
              <w:t>Improbable</w:t>
            </w:r>
          </w:p>
        </w:tc>
        <w:tc>
          <w:tcPr>
            <w:tcW w:w="1393" w:type="dxa"/>
            <w:vAlign w:val="center"/>
          </w:tcPr>
          <w:p w14:paraId="4068E0F9" w14:textId="77777777" w:rsidR="00D60B07" w:rsidRDefault="00D60B07" w:rsidP="00024DD9">
            <w:pPr>
              <w:pStyle w:val="ListParagraph"/>
              <w:ind w:left="0"/>
            </w:pPr>
            <w:r>
              <w:rPr>
                <w:rFonts w:cstheme="minorHAnsi"/>
              </w:rPr>
              <w:t>Critical</w:t>
            </w:r>
          </w:p>
        </w:tc>
      </w:tr>
      <w:tr w:rsidR="00D60B07" w14:paraId="1AEE2027" w14:textId="77777777" w:rsidTr="00E0497A">
        <w:trPr>
          <w:cantSplit/>
        </w:trPr>
        <w:tc>
          <w:tcPr>
            <w:tcW w:w="1543" w:type="dxa"/>
            <w:vAlign w:val="center"/>
          </w:tcPr>
          <w:p w14:paraId="0DDAFC12" w14:textId="77777777" w:rsidR="00D60B07" w:rsidRDefault="00D60B07" w:rsidP="00024DD9">
            <w:pPr>
              <w:pStyle w:val="ListParagraph"/>
              <w:ind w:left="0"/>
            </w:pPr>
            <w:r>
              <w:rPr>
                <w:rFonts w:cstheme="minorHAnsi"/>
              </w:rPr>
              <w:lastRenderedPageBreak/>
              <w:t>HIV</w:t>
            </w:r>
          </w:p>
        </w:tc>
        <w:tc>
          <w:tcPr>
            <w:tcW w:w="5211" w:type="dxa"/>
            <w:vAlign w:val="center"/>
          </w:tcPr>
          <w:p w14:paraId="2504F098" w14:textId="77777777" w:rsidR="00D60B07" w:rsidRPr="00D30693" w:rsidRDefault="00D60B07" w:rsidP="00024DD9">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 xml:space="preserve">The odds of acquiring HIV from a blood transfusion is less than 1 in two million. </w:t>
            </w:r>
          </w:p>
          <w:p w14:paraId="498EB795" w14:textId="77777777" w:rsidR="00D60B07" w:rsidRDefault="00D60B07" w:rsidP="00024DD9">
            <w:pPr>
              <w:pStyle w:val="ListParagraph"/>
              <w:ind w:left="0"/>
            </w:pPr>
            <w:r w:rsidRPr="00D30693">
              <w:rPr>
                <w:rFonts w:cstheme="minorHAnsi"/>
                <w:sz w:val="21"/>
                <w:szCs w:val="21"/>
              </w:rPr>
              <w:t>https://hhma.org/healthadvisor/aha-hivtrans-crs/#:~:text=What%20are%20the%20chances%20of,1%20in%20nearly%202%20million.</w:t>
            </w:r>
          </w:p>
        </w:tc>
        <w:tc>
          <w:tcPr>
            <w:tcW w:w="1138" w:type="dxa"/>
            <w:vAlign w:val="center"/>
          </w:tcPr>
          <w:p w14:paraId="0325AA19" w14:textId="77777777" w:rsidR="00D60B07" w:rsidRDefault="00D60B07" w:rsidP="00024DD9">
            <w:pPr>
              <w:pStyle w:val="ListParagraph"/>
              <w:ind w:left="0"/>
            </w:pPr>
            <w:r>
              <w:rPr>
                <w:rFonts w:cstheme="minorHAnsi"/>
              </w:rPr>
              <w:t>N/A</w:t>
            </w:r>
          </w:p>
        </w:tc>
        <w:tc>
          <w:tcPr>
            <w:tcW w:w="1138" w:type="dxa"/>
            <w:vAlign w:val="center"/>
          </w:tcPr>
          <w:p w14:paraId="56FB21D3" w14:textId="77777777" w:rsidR="00D60B07" w:rsidRDefault="00D60B07" w:rsidP="00024DD9">
            <w:pPr>
              <w:pStyle w:val="ListParagraph"/>
              <w:ind w:left="0"/>
            </w:pPr>
            <w:r>
              <w:rPr>
                <w:rFonts w:cstheme="minorHAnsi"/>
              </w:rPr>
              <w:t>N/A</w:t>
            </w:r>
          </w:p>
        </w:tc>
        <w:tc>
          <w:tcPr>
            <w:tcW w:w="1243" w:type="dxa"/>
            <w:vAlign w:val="center"/>
          </w:tcPr>
          <w:p w14:paraId="7B4D83F4" w14:textId="77777777" w:rsidR="00D60B07" w:rsidRDefault="00D60B07" w:rsidP="00024DD9">
            <w:pPr>
              <w:pStyle w:val="ListParagraph"/>
              <w:ind w:left="0"/>
            </w:pPr>
            <w:r>
              <w:rPr>
                <w:rFonts w:cstheme="minorHAnsi"/>
              </w:rPr>
              <w:t>Improbable</w:t>
            </w:r>
          </w:p>
        </w:tc>
        <w:tc>
          <w:tcPr>
            <w:tcW w:w="1393" w:type="dxa"/>
            <w:vAlign w:val="center"/>
          </w:tcPr>
          <w:p w14:paraId="67CC127C" w14:textId="77777777" w:rsidR="00D60B07" w:rsidRDefault="00D60B07" w:rsidP="00024DD9">
            <w:pPr>
              <w:pStyle w:val="ListParagraph"/>
              <w:ind w:left="0"/>
            </w:pPr>
            <w:r>
              <w:rPr>
                <w:rFonts w:cstheme="minorHAnsi"/>
              </w:rPr>
              <w:t>Critical</w:t>
            </w:r>
          </w:p>
        </w:tc>
      </w:tr>
      <w:tr w:rsidR="00D60B07" w14:paraId="09C53140" w14:textId="77777777" w:rsidTr="00E0497A">
        <w:trPr>
          <w:cantSplit/>
        </w:trPr>
        <w:tc>
          <w:tcPr>
            <w:tcW w:w="1543" w:type="dxa"/>
            <w:vMerge w:val="restart"/>
            <w:vAlign w:val="center"/>
          </w:tcPr>
          <w:p w14:paraId="3C542A5F" w14:textId="77777777" w:rsidR="00D60B07" w:rsidRDefault="00D60B07" w:rsidP="00024DD9">
            <w:pPr>
              <w:pStyle w:val="ListParagraph"/>
              <w:ind w:left="0"/>
            </w:pPr>
            <w:r>
              <w:rPr>
                <w:rFonts w:cstheme="minorHAnsi"/>
              </w:rPr>
              <w:t>Mislabeled blood bag</w:t>
            </w:r>
          </w:p>
        </w:tc>
        <w:tc>
          <w:tcPr>
            <w:tcW w:w="5211" w:type="dxa"/>
            <w:vMerge w:val="restart"/>
            <w:vAlign w:val="center"/>
          </w:tcPr>
          <w:p w14:paraId="03EA4CD1" w14:textId="77777777" w:rsidR="00D60B07" w:rsidRPr="00D30693" w:rsidRDefault="00D60B07" w:rsidP="00024DD9">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 xml:space="preserve">actual harmful events due to errors occurred in 0.26% of the patients. </w:t>
            </w:r>
          </w:p>
          <w:p w14:paraId="4E919A48" w14:textId="77777777" w:rsidR="00D60B07" w:rsidRDefault="00D60B07" w:rsidP="00024DD9">
            <w:pPr>
              <w:pStyle w:val="ListParagraph"/>
              <w:ind w:left="0"/>
            </w:pPr>
            <w:r w:rsidRPr="00D30693">
              <w:rPr>
                <w:rFonts w:cstheme="minorHAnsi"/>
                <w:sz w:val="21"/>
                <w:szCs w:val="21"/>
              </w:rPr>
              <w:t>https://www.ncbi.nlm.nih.gov/pmc/articles/PMC4782493/</w:t>
            </w:r>
          </w:p>
        </w:tc>
        <w:tc>
          <w:tcPr>
            <w:tcW w:w="1138" w:type="dxa"/>
            <w:vMerge w:val="restart"/>
            <w:vAlign w:val="center"/>
          </w:tcPr>
          <w:p w14:paraId="42D8AA60" w14:textId="77777777" w:rsidR="00D60B07" w:rsidRDefault="00D60B07" w:rsidP="00024DD9">
            <w:pPr>
              <w:pStyle w:val="ListParagraph"/>
              <w:ind w:left="0"/>
            </w:pPr>
            <w:r>
              <w:rPr>
                <w:rFonts w:cstheme="minorHAnsi"/>
              </w:rPr>
              <w:t>N/A</w:t>
            </w:r>
          </w:p>
        </w:tc>
        <w:tc>
          <w:tcPr>
            <w:tcW w:w="1138" w:type="dxa"/>
            <w:vMerge w:val="restart"/>
            <w:vAlign w:val="center"/>
          </w:tcPr>
          <w:p w14:paraId="0D0D0623" w14:textId="77777777" w:rsidR="00D60B07" w:rsidRDefault="00D60B07" w:rsidP="00024DD9">
            <w:pPr>
              <w:pStyle w:val="ListParagraph"/>
              <w:ind w:left="0"/>
            </w:pPr>
            <w:r>
              <w:rPr>
                <w:rFonts w:cstheme="minorHAnsi"/>
              </w:rPr>
              <w:t>N/A</w:t>
            </w:r>
          </w:p>
        </w:tc>
        <w:tc>
          <w:tcPr>
            <w:tcW w:w="1243" w:type="dxa"/>
            <w:vAlign w:val="center"/>
          </w:tcPr>
          <w:p w14:paraId="47B11759" w14:textId="77777777" w:rsidR="00D60B07" w:rsidRDefault="00D60B07" w:rsidP="00024DD9">
            <w:pPr>
              <w:pStyle w:val="ListParagraph"/>
              <w:ind w:left="0"/>
            </w:pPr>
            <w:r>
              <w:rPr>
                <w:rFonts w:cstheme="minorHAnsi"/>
              </w:rPr>
              <w:t>Often</w:t>
            </w:r>
          </w:p>
        </w:tc>
        <w:tc>
          <w:tcPr>
            <w:tcW w:w="1393" w:type="dxa"/>
            <w:vAlign w:val="center"/>
          </w:tcPr>
          <w:p w14:paraId="6FD998BB" w14:textId="77777777" w:rsidR="00D60B07" w:rsidRDefault="00D60B07" w:rsidP="00024DD9">
            <w:pPr>
              <w:pStyle w:val="ListParagraph"/>
              <w:ind w:left="0"/>
            </w:pPr>
            <w:r>
              <w:rPr>
                <w:rFonts w:cstheme="minorHAnsi"/>
              </w:rPr>
              <w:t>Negligible</w:t>
            </w:r>
          </w:p>
        </w:tc>
      </w:tr>
      <w:tr w:rsidR="00D60B07" w14:paraId="4B995365" w14:textId="77777777" w:rsidTr="00E0497A">
        <w:trPr>
          <w:cantSplit/>
        </w:trPr>
        <w:tc>
          <w:tcPr>
            <w:tcW w:w="1543" w:type="dxa"/>
            <w:vMerge/>
            <w:vAlign w:val="center"/>
          </w:tcPr>
          <w:p w14:paraId="6CFF2CB4" w14:textId="77777777" w:rsidR="00D60B07" w:rsidRDefault="00D60B07" w:rsidP="00024DD9">
            <w:pPr>
              <w:pStyle w:val="ListParagraph"/>
              <w:ind w:left="0"/>
            </w:pPr>
          </w:p>
        </w:tc>
        <w:tc>
          <w:tcPr>
            <w:tcW w:w="5211" w:type="dxa"/>
            <w:vMerge/>
            <w:vAlign w:val="center"/>
          </w:tcPr>
          <w:p w14:paraId="1462E809" w14:textId="77777777" w:rsidR="00D60B07" w:rsidRDefault="00D60B07" w:rsidP="00024DD9">
            <w:pPr>
              <w:pStyle w:val="ListParagraph"/>
              <w:ind w:left="0"/>
            </w:pPr>
          </w:p>
        </w:tc>
        <w:tc>
          <w:tcPr>
            <w:tcW w:w="1138" w:type="dxa"/>
            <w:vMerge/>
            <w:vAlign w:val="center"/>
          </w:tcPr>
          <w:p w14:paraId="316C5173" w14:textId="77777777" w:rsidR="00D60B07" w:rsidRDefault="00D60B07" w:rsidP="00024DD9">
            <w:pPr>
              <w:pStyle w:val="ListParagraph"/>
              <w:ind w:left="0"/>
            </w:pPr>
          </w:p>
        </w:tc>
        <w:tc>
          <w:tcPr>
            <w:tcW w:w="1138" w:type="dxa"/>
            <w:vMerge/>
            <w:vAlign w:val="center"/>
          </w:tcPr>
          <w:p w14:paraId="237D7AC0" w14:textId="77777777" w:rsidR="00D60B07" w:rsidRDefault="00D60B07" w:rsidP="00024DD9">
            <w:pPr>
              <w:pStyle w:val="ListParagraph"/>
              <w:ind w:left="0"/>
            </w:pPr>
          </w:p>
        </w:tc>
        <w:tc>
          <w:tcPr>
            <w:tcW w:w="1243" w:type="dxa"/>
            <w:vAlign w:val="center"/>
          </w:tcPr>
          <w:p w14:paraId="1FDAE6A7" w14:textId="77777777" w:rsidR="00D60B07" w:rsidRDefault="00D60B07" w:rsidP="00024DD9">
            <w:pPr>
              <w:pStyle w:val="ListParagraph"/>
              <w:ind w:left="0"/>
            </w:pPr>
            <w:r>
              <w:rPr>
                <w:rFonts w:cstheme="minorHAnsi"/>
              </w:rPr>
              <w:t>Frequent</w:t>
            </w:r>
          </w:p>
        </w:tc>
        <w:tc>
          <w:tcPr>
            <w:tcW w:w="1393" w:type="dxa"/>
            <w:vAlign w:val="center"/>
          </w:tcPr>
          <w:p w14:paraId="2BCF5269" w14:textId="77777777" w:rsidR="00D60B07" w:rsidRDefault="00D60B07" w:rsidP="00024DD9">
            <w:pPr>
              <w:pStyle w:val="ListParagraph"/>
              <w:ind w:left="0"/>
            </w:pPr>
            <w:r>
              <w:rPr>
                <w:rFonts w:cstheme="minorHAnsi"/>
              </w:rPr>
              <w:t>Serious / Major</w:t>
            </w:r>
          </w:p>
        </w:tc>
      </w:tr>
      <w:tr w:rsidR="00D60B07" w14:paraId="79DA55FE" w14:textId="77777777" w:rsidTr="00E0497A">
        <w:trPr>
          <w:cantSplit/>
        </w:trPr>
        <w:tc>
          <w:tcPr>
            <w:tcW w:w="1543" w:type="dxa"/>
            <w:vMerge/>
            <w:vAlign w:val="center"/>
          </w:tcPr>
          <w:p w14:paraId="54212DF2" w14:textId="77777777" w:rsidR="00D60B07" w:rsidRDefault="00D60B07" w:rsidP="00024DD9">
            <w:pPr>
              <w:pStyle w:val="ListParagraph"/>
              <w:ind w:left="0"/>
            </w:pPr>
          </w:p>
        </w:tc>
        <w:tc>
          <w:tcPr>
            <w:tcW w:w="5211" w:type="dxa"/>
            <w:vMerge/>
            <w:vAlign w:val="center"/>
          </w:tcPr>
          <w:p w14:paraId="17EC781B" w14:textId="77777777" w:rsidR="00D60B07" w:rsidRDefault="00D60B07" w:rsidP="00024DD9">
            <w:pPr>
              <w:pStyle w:val="ListParagraph"/>
              <w:ind w:left="0"/>
            </w:pPr>
          </w:p>
        </w:tc>
        <w:tc>
          <w:tcPr>
            <w:tcW w:w="1138" w:type="dxa"/>
            <w:vMerge/>
            <w:vAlign w:val="center"/>
          </w:tcPr>
          <w:p w14:paraId="65C85975" w14:textId="77777777" w:rsidR="00D60B07" w:rsidRDefault="00D60B07" w:rsidP="00024DD9">
            <w:pPr>
              <w:pStyle w:val="ListParagraph"/>
              <w:ind w:left="0"/>
            </w:pPr>
          </w:p>
        </w:tc>
        <w:tc>
          <w:tcPr>
            <w:tcW w:w="1138" w:type="dxa"/>
            <w:vMerge/>
            <w:vAlign w:val="center"/>
          </w:tcPr>
          <w:p w14:paraId="521CB971" w14:textId="77777777" w:rsidR="00D60B07" w:rsidRDefault="00D60B07" w:rsidP="00024DD9">
            <w:pPr>
              <w:pStyle w:val="ListParagraph"/>
              <w:ind w:left="0"/>
            </w:pPr>
          </w:p>
        </w:tc>
        <w:tc>
          <w:tcPr>
            <w:tcW w:w="1243" w:type="dxa"/>
            <w:vAlign w:val="center"/>
          </w:tcPr>
          <w:p w14:paraId="3302F905" w14:textId="77777777" w:rsidR="00D60B07" w:rsidRPr="00D923C4" w:rsidRDefault="00D60B07" w:rsidP="00024DD9">
            <w:pPr>
              <w:pStyle w:val="ListParagraph"/>
              <w:ind w:left="0"/>
              <w:contextualSpacing w:val="0"/>
              <w:jc w:val="center"/>
              <w:rPr>
                <w:rFonts w:cstheme="minorHAnsi"/>
              </w:rPr>
            </w:pPr>
            <w:r>
              <w:rPr>
                <w:rFonts w:cstheme="minorHAnsi"/>
              </w:rPr>
              <w:t>Probable</w:t>
            </w:r>
          </w:p>
        </w:tc>
        <w:tc>
          <w:tcPr>
            <w:tcW w:w="1393" w:type="dxa"/>
            <w:vAlign w:val="center"/>
          </w:tcPr>
          <w:p w14:paraId="14180DE9" w14:textId="77777777" w:rsidR="00D60B07" w:rsidRDefault="00D60B07" w:rsidP="00024DD9">
            <w:pPr>
              <w:pStyle w:val="ListParagraph"/>
              <w:ind w:left="0"/>
            </w:pPr>
            <w:r>
              <w:rPr>
                <w:rFonts w:cstheme="minorHAnsi"/>
              </w:rPr>
              <w:t>Catastrophic / Fatal</w:t>
            </w:r>
          </w:p>
        </w:tc>
      </w:tr>
    </w:tbl>
    <w:p w14:paraId="627781A1" w14:textId="77777777" w:rsidR="00D60B07" w:rsidRDefault="00D60B07" w:rsidP="004D6076">
      <w:pPr>
        <w:pStyle w:val="ListParagraph"/>
        <w:ind w:left="1152"/>
      </w:pPr>
    </w:p>
    <w:p w14:paraId="28F0A893" w14:textId="77777777" w:rsidR="00D60B07" w:rsidRPr="00D17666" w:rsidRDefault="00D60B07" w:rsidP="004D6076">
      <w:pPr>
        <w:pStyle w:val="ListParagraph"/>
        <w:ind w:left="1152"/>
      </w:pPr>
    </w:p>
    <w:p w14:paraId="44F4BCC4" w14:textId="09D32358" w:rsidR="006A2773" w:rsidRPr="006A2773" w:rsidRDefault="002B41E0">
      <w:pPr>
        <w:pStyle w:val="ListParagraph"/>
        <w:numPr>
          <w:ilvl w:val="2"/>
          <w:numId w:val="30"/>
        </w:numPr>
        <w:rPr>
          <w:rFonts w:cstheme="minorHAnsi"/>
        </w:rPr>
      </w:pPr>
      <w:r>
        <w:rPr>
          <w:rFonts w:cstheme="minorHAnsi"/>
        </w:rPr>
        <w:t xml:space="preserve">Populate each cell in the following table for </w:t>
      </w:r>
      <m:oMath>
        <m:r>
          <w:rPr>
            <w:rFonts w:ascii="Cambria Math" w:hAnsi="Cambria Math" w:cstheme="minorHAnsi"/>
          </w:rPr>
          <m:t>R</m:t>
        </m:r>
      </m:oMath>
      <w:r w:rsidR="006A2773">
        <w:rPr>
          <w:rFonts w:eastAsiaTheme="minorEastAsia" w:cstheme="minorHAnsi"/>
        </w:rPr>
        <w:t>.</w:t>
      </w:r>
    </w:p>
    <w:p w14:paraId="5F54990D" w14:textId="43936D41" w:rsidR="002B41E0" w:rsidRPr="00C45E04" w:rsidRDefault="006A2773">
      <w:pPr>
        <w:pStyle w:val="ListParagraph"/>
        <w:numPr>
          <w:ilvl w:val="3"/>
          <w:numId w:val="30"/>
        </w:numPr>
        <w:rPr>
          <w:rFonts w:cstheme="minorHAnsi"/>
        </w:rPr>
      </w:pPr>
      <w:r>
        <w:rPr>
          <w:rFonts w:eastAsiaTheme="minorEastAsia" w:cstheme="minorHAnsi"/>
        </w:rPr>
        <w:t>No</w:t>
      </w:r>
      <w:r w:rsidR="002B41E0">
        <w:rPr>
          <w:rFonts w:eastAsiaTheme="minorEastAsia" w:cstheme="minorHAnsi"/>
        </w:rPr>
        <w:t xml:space="preserve">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2B41E0" w:rsidRPr="00F60A9B" w14:paraId="17C4D345" w14:textId="77777777" w:rsidTr="004A1C5A">
        <w:trPr>
          <w:tblHeader/>
          <w:jc w:val="center"/>
        </w:trPr>
        <w:tc>
          <w:tcPr>
            <w:tcW w:w="0" w:type="auto"/>
            <w:tcBorders>
              <w:top w:val="nil"/>
              <w:left w:val="nil"/>
              <w:bottom w:val="single" w:sz="4" w:space="0" w:color="auto"/>
            </w:tcBorders>
            <w:vAlign w:val="center"/>
          </w:tcPr>
          <w:p w14:paraId="4B806FF3" w14:textId="77777777" w:rsidR="002B41E0" w:rsidRPr="00F60A9B" w:rsidRDefault="002B41E0" w:rsidP="008D3D62">
            <m:oMathPara>
              <m:oMath>
                <m:r>
                  <w:rPr>
                    <w:rFonts w:ascii="Cambria Math" w:hAnsi="Cambria Math"/>
                  </w:rPr>
                  <m:t>R</m:t>
                </m:r>
              </m:oMath>
            </m:oMathPara>
          </w:p>
        </w:tc>
        <w:tc>
          <w:tcPr>
            <w:tcW w:w="0" w:type="auto"/>
            <w:tcBorders>
              <w:top w:val="single" w:sz="4" w:space="0" w:color="auto"/>
              <w:bottom w:val="single" w:sz="12" w:space="0" w:color="auto"/>
            </w:tcBorders>
            <w:vAlign w:val="center"/>
          </w:tcPr>
          <w:p w14:paraId="34E7E1F2" w14:textId="5DEC6524" w:rsidR="002B41E0" w:rsidRPr="005B7BEE" w:rsidRDefault="002B41E0" w:rsidP="004A1C5A">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3ED3CA58" w14:textId="77777777" w:rsidR="002B41E0" w:rsidRPr="005B7BEE" w:rsidRDefault="002B41E0" w:rsidP="008D3D62">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E066C1B" w14:textId="77777777" w:rsidR="002B41E0" w:rsidRPr="005B7BEE" w:rsidRDefault="002B41E0" w:rsidP="008D3D62">
            <w:pPr>
              <w:jc w:val="center"/>
              <w:rPr>
                <w:sz w:val="14"/>
                <w:szCs w:val="14"/>
              </w:rPr>
            </w:pPr>
            <w:r w:rsidRPr="005B7BEE">
              <w:rPr>
                <w:sz w:val="14"/>
                <w:szCs w:val="14"/>
              </w:rPr>
              <w:t xml:space="preserve">Serious / </w:t>
            </w:r>
          </w:p>
          <w:p w14:paraId="376E355B" w14:textId="77777777" w:rsidR="002B41E0" w:rsidRPr="005B7BEE" w:rsidRDefault="002B41E0" w:rsidP="008D3D62">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1A01ACF7" w14:textId="77777777" w:rsidR="002B41E0" w:rsidRPr="005B7BEE" w:rsidRDefault="002B41E0" w:rsidP="008D3D62">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4D554F74" w14:textId="77777777" w:rsidR="002B41E0" w:rsidRPr="005B7BEE" w:rsidRDefault="002B41E0" w:rsidP="008D3D62">
            <w:pPr>
              <w:jc w:val="center"/>
              <w:rPr>
                <w:sz w:val="14"/>
                <w:szCs w:val="14"/>
              </w:rPr>
            </w:pPr>
            <w:r w:rsidRPr="005B7BEE">
              <w:rPr>
                <w:sz w:val="14"/>
                <w:szCs w:val="14"/>
              </w:rPr>
              <w:t xml:space="preserve">Catastrophic </w:t>
            </w:r>
          </w:p>
          <w:p w14:paraId="5CD5F92B" w14:textId="77777777" w:rsidR="002B41E0" w:rsidRPr="005B7BEE" w:rsidRDefault="002B41E0" w:rsidP="008D3D62">
            <w:pPr>
              <w:jc w:val="center"/>
              <w:rPr>
                <w:sz w:val="14"/>
                <w:szCs w:val="14"/>
              </w:rPr>
            </w:pPr>
            <w:r w:rsidRPr="005B7BEE">
              <w:rPr>
                <w:sz w:val="14"/>
                <w:szCs w:val="14"/>
              </w:rPr>
              <w:t>/ Fatal</w:t>
            </w:r>
          </w:p>
        </w:tc>
      </w:tr>
      <w:tr w:rsidR="001734D9" w:rsidRPr="00F60A9B" w14:paraId="3DD6ECC9" w14:textId="77777777" w:rsidTr="0033483E">
        <w:trPr>
          <w:jc w:val="center"/>
        </w:trPr>
        <w:tc>
          <w:tcPr>
            <w:tcW w:w="0" w:type="auto"/>
            <w:tcBorders>
              <w:top w:val="single" w:sz="4" w:space="0" w:color="auto"/>
              <w:right w:val="single" w:sz="12" w:space="0" w:color="auto"/>
            </w:tcBorders>
            <w:vAlign w:val="center"/>
          </w:tcPr>
          <w:p w14:paraId="74E9C013" w14:textId="77777777" w:rsidR="001734D9" w:rsidRPr="005B7BEE" w:rsidRDefault="001734D9" w:rsidP="001734D9">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67A9A14" w14:textId="3DB8CDD8" w:rsidR="001734D9" w:rsidRPr="009B3033"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875D0CC" w14:textId="05B8BE5F"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AD812A8" w14:textId="1807F9BD"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E5063C4" w14:textId="1B8C9601" w:rsidR="001734D9" w:rsidRPr="00210DD1" w:rsidRDefault="001734D9" w:rsidP="001734D9">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D101A8B" w14:textId="30B43C2C" w:rsidR="001734D9" w:rsidRPr="00F60A9B" w:rsidRDefault="001734D9" w:rsidP="001734D9">
            <w:pPr>
              <w:jc w:val="center"/>
            </w:pPr>
            <w:r>
              <w:rPr>
                <w:rFonts w:ascii="Calibri" w:hAnsi="Calibri" w:cs="Calibri"/>
                <w:color w:val="000000"/>
              </w:rPr>
              <w:t>0</w:t>
            </w:r>
          </w:p>
        </w:tc>
      </w:tr>
      <w:tr w:rsidR="001734D9" w:rsidRPr="00F60A9B" w14:paraId="0D107ABD" w14:textId="77777777" w:rsidTr="0033483E">
        <w:trPr>
          <w:jc w:val="center"/>
        </w:trPr>
        <w:tc>
          <w:tcPr>
            <w:tcW w:w="0" w:type="auto"/>
            <w:tcBorders>
              <w:right w:val="single" w:sz="12" w:space="0" w:color="auto"/>
            </w:tcBorders>
            <w:vAlign w:val="center"/>
          </w:tcPr>
          <w:p w14:paraId="7946ADE3" w14:textId="77777777" w:rsidR="001734D9" w:rsidRPr="005B7BEE" w:rsidRDefault="001734D9" w:rsidP="001734D9">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2789D99F" w14:textId="618D4A77" w:rsidR="001734D9"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E6E81D9" w14:textId="25663BAC"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7860EA" w14:textId="0CEBD4E7"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2AA6E2" w14:textId="6BDDADEF"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050F695" w14:textId="24204820" w:rsidR="001734D9" w:rsidRDefault="001734D9" w:rsidP="001734D9">
            <w:pPr>
              <w:jc w:val="center"/>
            </w:pPr>
            <w:r>
              <w:rPr>
                <w:rFonts w:ascii="Calibri" w:hAnsi="Calibri" w:cs="Calibri"/>
                <w:color w:val="000000"/>
              </w:rPr>
              <w:t>0</w:t>
            </w:r>
          </w:p>
        </w:tc>
      </w:tr>
      <w:tr w:rsidR="001734D9" w:rsidRPr="00F60A9B" w14:paraId="7C0EEFAE" w14:textId="77777777" w:rsidTr="0033483E">
        <w:trPr>
          <w:jc w:val="center"/>
        </w:trPr>
        <w:tc>
          <w:tcPr>
            <w:tcW w:w="0" w:type="auto"/>
            <w:tcBorders>
              <w:top w:val="single" w:sz="4" w:space="0" w:color="auto"/>
              <w:right w:val="single" w:sz="12" w:space="0" w:color="auto"/>
            </w:tcBorders>
            <w:vAlign w:val="center"/>
          </w:tcPr>
          <w:p w14:paraId="4C415883" w14:textId="77777777" w:rsidR="001734D9" w:rsidRPr="005B7BEE" w:rsidRDefault="001734D9" w:rsidP="001734D9">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1ED67BF" w14:textId="753EF12C" w:rsidR="001734D9"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B1A8D0" w14:textId="2E9ED9AC"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A5DD4D" w14:textId="798CFCD1" w:rsidR="001734D9" w:rsidRPr="00210DD1"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B27A41D" w14:textId="15AB6578"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ACFAC3A" w14:textId="6BCDFEA6" w:rsidR="001734D9" w:rsidRDefault="001734D9" w:rsidP="001734D9">
            <w:pPr>
              <w:jc w:val="center"/>
            </w:pPr>
            <w:r>
              <w:rPr>
                <w:rFonts w:ascii="Calibri" w:hAnsi="Calibri" w:cs="Calibri"/>
                <w:color w:val="000000"/>
              </w:rPr>
              <w:t>0</w:t>
            </w:r>
          </w:p>
        </w:tc>
      </w:tr>
      <w:tr w:rsidR="001734D9" w:rsidRPr="00F60A9B" w14:paraId="2A0ABDB0" w14:textId="77777777" w:rsidTr="0033483E">
        <w:trPr>
          <w:jc w:val="center"/>
        </w:trPr>
        <w:tc>
          <w:tcPr>
            <w:tcW w:w="0" w:type="auto"/>
            <w:tcBorders>
              <w:right w:val="single" w:sz="12" w:space="0" w:color="auto"/>
            </w:tcBorders>
            <w:vAlign w:val="center"/>
          </w:tcPr>
          <w:p w14:paraId="640DD268" w14:textId="77777777" w:rsidR="001734D9" w:rsidRPr="005B7BEE" w:rsidRDefault="001734D9" w:rsidP="001734D9">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14DC4B7" w14:textId="4EC7849E"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80474C" w14:textId="051E14BE" w:rsidR="001734D9" w:rsidRPr="00210DD1"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73BE589" w14:textId="3C26C2DA"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E17D37" w14:textId="519092DB"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8D9144" w14:textId="76C95711" w:rsidR="001734D9" w:rsidRPr="00F60A9B" w:rsidRDefault="001734D9" w:rsidP="001734D9">
            <w:pPr>
              <w:jc w:val="center"/>
            </w:pPr>
            <w:r>
              <w:rPr>
                <w:rFonts w:ascii="Calibri" w:hAnsi="Calibri" w:cs="Calibri"/>
                <w:color w:val="000000"/>
              </w:rPr>
              <w:t>1</w:t>
            </w:r>
          </w:p>
        </w:tc>
      </w:tr>
      <w:tr w:rsidR="001734D9" w:rsidRPr="00F60A9B" w14:paraId="359B5BDF" w14:textId="77777777" w:rsidTr="0033483E">
        <w:trPr>
          <w:jc w:val="center"/>
        </w:trPr>
        <w:tc>
          <w:tcPr>
            <w:tcW w:w="0" w:type="auto"/>
            <w:tcBorders>
              <w:right w:val="single" w:sz="12" w:space="0" w:color="auto"/>
            </w:tcBorders>
            <w:vAlign w:val="center"/>
          </w:tcPr>
          <w:p w14:paraId="791BD68F" w14:textId="77777777" w:rsidR="001734D9" w:rsidRPr="005B7BEE" w:rsidRDefault="001734D9" w:rsidP="001734D9">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C03330C" w14:textId="118BBDF8"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A1A04" w14:textId="5A3C9EF5"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154F04F" w14:textId="5384B15F" w:rsidR="001734D9" w:rsidRPr="00210DD1" w:rsidRDefault="001734D9" w:rsidP="001734D9">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293CCE8" w14:textId="15F0F8C1"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B28C1B1" w14:textId="4FBC9250" w:rsidR="001734D9" w:rsidRPr="00F60A9B" w:rsidRDefault="001734D9" w:rsidP="001734D9">
            <w:pPr>
              <w:jc w:val="center"/>
            </w:pPr>
            <w:r>
              <w:rPr>
                <w:rFonts w:ascii="Calibri" w:hAnsi="Calibri" w:cs="Calibri"/>
                <w:color w:val="000000"/>
              </w:rPr>
              <w:t>0</w:t>
            </w:r>
          </w:p>
        </w:tc>
      </w:tr>
      <w:tr w:rsidR="001734D9" w:rsidRPr="00F60A9B" w14:paraId="50660D64" w14:textId="77777777" w:rsidTr="0033483E">
        <w:trPr>
          <w:jc w:val="center"/>
        </w:trPr>
        <w:tc>
          <w:tcPr>
            <w:tcW w:w="0" w:type="auto"/>
            <w:tcBorders>
              <w:right w:val="single" w:sz="12" w:space="0" w:color="auto"/>
            </w:tcBorders>
            <w:vAlign w:val="center"/>
          </w:tcPr>
          <w:p w14:paraId="2420592C" w14:textId="77777777" w:rsidR="001734D9" w:rsidRPr="005B7BEE" w:rsidRDefault="001734D9" w:rsidP="001734D9">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0809BAB0" w14:textId="639B320C" w:rsidR="001734D9" w:rsidRPr="00F60A9B"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84BB346" w14:textId="32FA2443"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296D42" w14:textId="63A1D7A3" w:rsidR="001734D9" w:rsidRPr="00210DD1" w:rsidRDefault="001734D9" w:rsidP="001734D9">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5134F3" w14:textId="206913D1" w:rsidR="001734D9" w:rsidRPr="00210DD1" w:rsidRDefault="001734D9" w:rsidP="001734D9">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9691C0D" w14:textId="3AA32070" w:rsidR="001734D9" w:rsidRPr="00F60A9B" w:rsidRDefault="001734D9" w:rsidP="001734D9">
            <w:pPr>
              <w:jc w:val="center"/>
            </w:pPr>
            <w:r>
              <w:rPr>
                <w:rFonts w:ascii="Calibri" w:hAnsi="Calibri" w:cs="Calibri"/>
                <w:color w:val="000000"/>
              </w:rPr>
              <w:t>0</w:t>
            </w:r>
          </w:p>
        </w:tc>
      </w:tr>
      <w:tr w:rsidR="001734D9" w:rsidRPr="00F60A9B" w14:paraId="401C89FF" w14:textId="77777777" w:rsidTr="0033483E">
        <w:trPr>
          <w:jc w:val="center"/>
        </w:trPr>
        <w:tc>
          <w:tcPr>
            <w:tcW w:w="0" w:type="auto"/>
            <w:tcBorders>
              <w:right w:val="single" w:sz="12" w:space="0" w:color="auto"/>
            </w:tcBorders>
            <w:vAlign w:val="center"/>
          </w:tcPr>
          <w:p w14:paraId="761C9A1B" w14:textId="77777777" w:rsidR="001734D9" w:rsidRPr="005B7BEE" w:rsidRDefault="001734D9" w:rsidP="001734D9">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250E369" w14:textId="31662095" w:rsidR="001734D9" w:rsidRPr="00F60A9B"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43118AC" w14:textId="3B6E57AF" w:rsidR="001734D9" w:rsidRPr="00210DD1" w:rsidRDefault="001734D9" w:rsidP="001734D9">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A8C5D0B" w14:textId="4DF26AB2" w:rsidR="001734D9" w:rsidRPr="00210DD1" w:rsidRDefault="001734D9" w:rsidP="001734D9">
            <w:pPr>
              <w:jc w:val="center"/>
            </w:pPr>
            <w:r>
              <w:rPr>
                <w:rFonts w:ascii="Calibri" w:hAnsi="Calibri" w:cs="Calibri"/>
                <w:color w:val="000000"/>
              </w:rPr>
              <w:t>3</w:t>
            </w:r>
          </w:p>
        </w:tc>
        <w:tc>
          <w:tcPr>
            <w:tcW w:w="0" w:type="auto"/>
            <w:tcBorders>
              <w:top w:val="nil"/>
              <w:left w:val="nil"/>
              <w:bottom w:val="single" w:sz="8" w:space="0" w:color="auto"/>
              <w:right w:val="single" w:sz="4" w:space="0" w:color="auto"/>
            </w:tcBorders>
            <w:shd w:val="clear" w:color="auto" w:fill="auto"/>
            <w:vAlign w:val="bottom"/>
          </w:tcPr>
          <w:p w14:paraId="55DA51AD" w14:textId="1A5E32DD" w:rsidR="001734D9" w:rsidRPr="00210DD1" w:rsidRDefault="001734D9" w:rsidP="001734D9">
            <w:pPr>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337C3C28" w14:textId="54B43983" w:rsidR="001734D9" w:rsidRPr="00F60A9B" w:rsidRDefault="001734D9" w:rsidP="001734D9">
            <w:pPr>
              <w:keepNext/>
              <w:jc w:val="center"/>
            </w:pPr>
            <w:r>
              <w:rPr>
                <w:rFonts w:ascii="Calibri" w:hAnsi="Calibri" w:cs="Calibri"/>
                <w:color w:val="000000"/>
              </w:rPr>
              <w:t>3</w:t>
            </w:r>
          </w:p>
        </w:tc>
      </w:tr>
    </w:tbl>
    <w:p w14:paraId="1B808335" w14:textId="5E1479B2" w:rsidR="002B41E0" w:rsidRPr="001734B9" w:rsidRDefault="002B41E0" w:rsidP="004D6076">
      <w:pPr>
        <w:pStyle w:val="Caption"/>
        <w:spacing w:before="120"/>
        <w:jc w:val="center"/>
        <w:rPr>
          <w:rFonts w:cstheme="minorHAnsi"/>
        </w:rPr>
      </w:pPr>
      <w:bookmarkStart w:id="96" w:name="_Ref147478214"/>
      <w:r>
        <w:t xml:space="preserve">Table </w:t>
      </w:r>
      <w:r>
        <w:fldChar w:fldCharType="begin"/>
      </w:r>
      <w:r>
        <w:instrText xml:space="preserve"> SEQ Table \* ARABIC </w:instrText>
      </w:r>
      <w:r>
        <w:fldChar w:fldCharType="separate"/>
      </w:r>
      <w:r w:rsidR="001E41EA">
        <w:rPr>
          <w:noProof/>
        </w:rPr>
        <w:t>12</w:t>
      </w:r>
      <w:r>
        <w:rPr>
          <w:noProof/>
        </w:rPr>
        <w:fldChar w:fldCharType="end"/>
      </w:r>
      <w:bookmarkEnd w:id="96"/>
      <w:r>
        <w:t xml:space="preserve"> - </w:t>
      </w:r>
      <m:oMath>
        <m:sSub>
          <m:sSubPr>
            <m:ctrlPr>
              <w:rPr>
                <w:rFonts w:ascii="Cambria Math" w:hAnsi="Cambria Math" w:cstheme="minorHAnsi"/>
              </w:rPr>
            </m:ctrlPr>
          </m:sSubPr>
          <m:e>
            <m:r>
              <w:rPr>
                <w:rFonts w:ascii="Cambria Math" w:hAnsi="Cambria Math" w:cstheme="minorHAnsi"/>
              </w:rPr>
              <m:t>Table</m:t>
            </m:r>
          </m:e>
          <m:sub>
            <m:r>
              <w:rPr>
                <w:rFonts w:ascii="Cambria Math" w:hAnsi="Cambria Math" w:cstheme="minorHAnsi"/>
              </w:rPr>
              <m:t>R</m:t>
            </m:r>
          </m:sub>
        </m:sSub>
      </m:oMath>
      <w:r>
        <w:rPr>
          <w:rFonts w:eastAsiaTheme="minorEastAsia"/>
        </w:rPr>
        <w:t xml:space="preserve"> for the example in Attachment A</w:t>
      </w:r>
      <w:r>
        <w:rPr>
          <w:rFonts w:eastAsiaTheme="minorEastAsia" w:cstheme="minorHAnsi"/>
        </w:rPr>
        <w:t xml:space="preserve"> </w:t>
      </w:r>
    </w:p>
    <w:p w14:paraId="4D3CDDDA" w14:textId="6F7AE05F" w:rsidR="00AD69A2" w:rsidRDefault="00AD69A2" w:rsidP="00AA2310">
      <w:pPr>
        <w:spacing w:after="0" w:line="240" w:lineRule="auto"/>
        <w:rPr>
          <w:rFonts w:cstheme="minorHAnsi"/>
        </w:rPr>
      </w:pPr>
    </w:p>
    <w:p w14:paraId="1CE81156" w14:textId="463AC8A2" w:rsidR="0020191B" w:rsidRPr="0020191B" w:rsidRDefault="00AA7B0D">
      <w:pPr>
        <w:pStyle w:val="ListParagraph"/>
        <w:numPr>
          <w:ilvl w:val="0"/>
          <w:numId w:val="30"/>
        </w:numPr>
        <w:outlineLvl w:val="2"/>
        <w:rPr>
          <w:rFonts w:eastAsiaTheme="minorEastAsia"/>
        </w:rPr>
      </w:pPr>
      <w:bookmarkStart w:id="97" w:name="_Toc156728663"/>
      <w:r>
        <w:rPr>
          <w:rFonts w:eastAsiaTheme="minorEastAsia"/>
        </w:rPr>
        <w:t>Use the tables to c</w:t>
      </w:r>
      <w:r w:rsidRPr="00FF1816">
        <w:rPr>
          <w:rFonts w:eastAsiaTheme="minorEastAsia"/>
        </w:rPr>
        <w:t xml:space="preserve">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Pr>
          <w:rFonts w:cstheme="minorHAnsi"/>
        </w:rPr>
        <w:t xml:space="preserve"> and populate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bookmarkEnd w:id="97"/>
      <w:r>
        <w:rPr>
          <w:rFonts w:cstheme="minorHAnsi"/>
        </w:rPr>
        <w:fldChar w:fldCharType="end"/>
      </w:r>
    </w:p>
    <w:p w14:paraId="78B33665" w14:textId="77777777" w:rsidR="0020191B" w:rsidRPr="0020191B" w:rsidRDefault="0020191B" w:rsidP="004D6076">
      <w:pPr>
        <w:pStyle w:val="ListParagraph"/>
        <w:ind w:left="864"/>
        <w:rPr>
          <w:rFonts w:eastAsiaTheme="minorEastAsia"/>
        </w:rPr>
      </w:pPr>
    </w:p>
    <w:p w14:paraId="37164A35" w14:textId="0B91C8DB" w:rsidR="00FF1816" w:rsidRPr="00FF1816" w:rsidRDefault="00FF1816">
      <w:pPr>
        <w:pStyle w:val="ListParagraph"/>
        <w:numPr>
          <w:ilvl w:val="1"/>
          <w:numId w:val="30"/>
        </w:numPr>
        <w:rPr>
          <w:rFonts w:eastAsiaTheme="minorEastAsia"/>
        </w:rPr>
      </w:pPr>
      <w:r>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FF1816">
        <w:rPr>
          <w:rFonts w:eastAsiaTheme="minorEastAsia"/>
        </w:rPr>
        <w:t xml:space="preserve"> and </w:t>
      </w:r>
      <m:oMath>
        <m:r>
          <w:rPr>
            <w:rFonts w:ascii="Cambria Math" w:eastAsiaTheme="minorEastAsia" w:hAnsi="Cambria Math"/>
          </w:rPr>
          <m:t>R</m:t>
        </m:r>
      </m:oMath>
      <w:r w:rsidRPr="00FF1816">
        <w:rPr>
          <w:rFonts w:eastAsiaTheme="minorEastAsia"/>
        </w:rPr>
        <w:t xml:space="preserve">, </w:t>
      </w:r>
      <w:r w:rsidR="00B1343F">
        <w:rPr>
          <w:rFonts w:eastAsiaTheme="minorEastAsia"/>
        </w:rPr>
        <w:fldChar w:fldCharType="begin"/>
      </w:r>
      <w:r w:rsidR="00B1343F">
        <w:rPr>
          <w:rFonts w:eastAsiaTheme="minorEastAsia"/>
        </w:rPr>
        <w:instrText xml:space="preserve"> REF _Ref147478194 \h </w:instrText>
      </w:r>
      <w:r w:rsidR="00B1343F">
        <w:rPr>
          <w:rFonts w:eastAsiaTheme="minorEastAsia"/>
        </w:rPr>
      </w:r>
      <w:r w:rsidR="00B1343F">
        <w:rPr>
          <w:rFonts w:eastAsiaTheme="minorEastAsia"/>
        </w:rPr>
        <w:fldChar w:fldCharType="separate"/>
      </w:r>
      <w:r w:rsidR="001E41EA">
        <w:t xml:space="preserve">Table </w:t>
      </w:r>
      <w:r w:rsidR="001E41EA">
        <w:rPr>
          <w:noProof/>
        </w:rPr>
        <w:t>11</w:t>
      </w:r>
      <w:r w:rsidR="00B1343F">
        <w:rPr>
          <w:rFonts w:eastAsiaTheme="minorEastAsia"/>
        </w:rPr>
        <w:fldChar w:fldCharType="end"/>
      </w:r>
      <w:r w:rsidR="00B1343F">
        <w:rPr>
          <w:rFonts w:eastAsiaTheme="minorEastAsia"/>
        </w:rPr>
        <w:t xml:space="preserve"> </w:t>
      </w:r>
      <w:r w:rsidRPr="00FF1816">
        <w:rPr>
          <w:rFonts w:eastAsiaTheme="minorEastAsia"/>
        </w:rPr>
        <w:t xml:space="preserve">and </w:t>
      </w:r>
      <w:r w:rsidR="00B1343F">
        <w:rPr>
          <w:rFonts w:eastAsiaTheme="minorEastAsia"/>
        </w:rPr>
        <w:fldChar w:fldCharType="begin"/>
      </w:r>
      <w:r w:rsidR="00B1343F">
        <w:rPr>
          <w:rFonts w:eastAsiaTheme="minorEastAsia"/>
        </w:rPr>
        <w:instrText xml:space="preserve"> REF _Ref147478214 \h </w:instrText>
      </w:r>
      <w:r w:rsidR="00B1343F">
        <w:rPr>
          <w:rFonts w:eastAsiaTheme="minorEastAsia"/>
        </w:rPr>
      </w:r>
      <w:r w:rsidR="00B1343F">
        <w:rPr>
          <w:rFonts w:eastAsiaTheme="minorEastAsia"/>
        </w:rPr>
        <w:fldChar w:fldCharType="separate"/>
      </w:r>
      <w:r w:rsidR="001E41EA">
        <w:t xml:space="preserve">Table </w:t>
      </w:r>
      <w:r w:rsidR="001E41EA">
        <w:rPr>
          <w:noProof/>
        </w:rPr>
        <w:t>12</w:t>
      </w:r>
      <w:r w:rsidR="00B1343F">
        <w:rPr>
          <w:rFonts w:eastAsiaTheme="minorEastAsia"/>
        </w:rPr>
        <w:fldChar w:fldCharType="end"/>
      </w:r>
      <w:r w:rsidR="00B1343F">
        <w:rPr>
          <w:rFonts w:eastAsiaTheme="minorEastAsia"/>
        </w:rPr>
        <w:t xml:space="preserve"> </w:t>
      </w:r>
      <w:r w:rsidRPr="00FF1816">
        <w:rPr>
          <w:rFonts w:eastAsiaTheme="minorEastAsia"/>
        </w:rPr>
        <w:t xml:space="preserve">above,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FF1816">
        <w:rPr>
          <w:rFonts w:cstheme="minorHAnsi"/>
        </w:rPr>
        <w:t xml:space="preserve">: </w:t>
      </w:r>
    </w:p>
    <w:tbl>
      <w:tblPr>
        <w:tblStyle w:val="TableGrid"/>
        <w:tblW w:w="0" w:type="auto"/>
        <w:jc w:val="center"/>
        <w:tblLayout w:type="fixed"/>
        <w:tblLook w:val="04A0" w:firstRow="1" w:lastRow="0" w:firstColumn="1" w:lastColumn="0" w:noHBand="0" w:noVBand="1"/>
      </w:tblPr>
      <w:tblGrid>
        <w:gridCol w:w="900"/>
        <w:gridCol w:w="630"/>
        <w:gridCol w:w="540"/>
        <w:gridCol w:w="726"/>
        <w:gridCol w:w="595"/>
        <w:gridCol w:w="906"/>
        <w:gridCol w:w="353"/>
        <w:gridCol w:w="930"/>
        <w:gridCol w:w="630"/>
        <w:gridCol w:w="540"/>
        <w:gridCol w:w="692"/>
        <w:gridCol w:w="595"/>
        <w:gridCol w:w="906"/>
        <w:gridCol w:w="295"/>
        <w:gridCol w:w="932"/>
        <w:gridCol w:w="630"/>
        <w:gridCol w:w="540"/>
        <w:gridCol w:w="690"/>
        <w:gridCol w:w="595"/>
        <w:gridCol w:w="906"/>
      </w:tblGrid>
      <w:tr w:rsidR="004D6076" w:rsidRPr="00F60A9B" w14:paraId="799E03EF" w14:textId="77777777" w:rsidTr="004D6076">
        <w:trPr>
          <w:cantSplit/>
          <w:trHeight w:val="432"/>
          <w:tblHeader/>
          <w:jc w:val="center"/>
        </w:trPr>
        <w:tc>
          <w:tcPr>
            <w:tcW w:w="900" w:type="dxa"/>
            <w:tcBorders>
              <w:top w:val="nil"/>
              <w:left w:val="nil"/>
              <w:bottom w:val="single" w:sz="4" w:space="0" w:color="auto"/>
            </w:tcBorders>
            <w:vAlign w:val="center"/>
          </w:tcPr>
          <w:p w14:paraId="6D2998DC" w14:textId="77777777" w:rsidR="00FF1816" w:rsidRPr="00F60A9B" w:rsidRDefault="00000000" w:rsidP="004D6076">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630" w:type="dxa"/>
            <w:tcBorders>
              <w:top w:val="single" w:sz="4" w:space="0" w:color="auto"/>
              <w:bottom w:val="single" w:sz="12" w:space="0" w:color="auto"/>
            </w:tcBorders>
            <w:vAlign w:val="center"/>
          </w:tcPr>
          <w:p w14:paraId="1EFC7E3E" w14:textId="2FEB3A7C" w:rsidR="00FF1816" w:rsidRPr="005B7BEE" w:rsidRDefault="00FF1816" w:rsidP="004A1C5A">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5783C665" w14:textId="77777777" w:rsidR="00FF1816" w:rsidRPr="005B7BEE" w:rsidRDefault="00FF1816" w:rsidP="00FD4A51">
            <w:pPr>
              <w:jc w:val="center"/>
              <w:rPr>
                <w:sz w:val="14"/>
                <w:szCs w:val="14"/>
              </w:rPr>
            </w:pPr>
            <w:r w:rsidRPr="005B7BEE">
              <w:rPr>
                <w:sz w:val="14"/>
                <w:szCs w:val="14"/>
              </w:rPr>
              <w:t>Minor</w:t>
            </w:r>
          </w:p>
        </w:tc>
        <w:tc>
          <w:tcPr>
            <w:tcW w:w="726" w:type="dxa"/>
            <w:tcBorders>
              <w:top w:val="single" w:sz="4" w:space="0" w:color="auto"/>
              <w:bottom w:val="single" w:sz="12" w:space="0" w:color="auto"/>
            </w:tcBorders>
            <w:vAlign w:val="center"/>
          </w:tcPr>
          <w:p w14:paraId="334BB701" w14:textId="77777777" w:rsidR="004A1C5A" w:rsidRDefault="00FF1816" w:rsidP="004A1C5A">
            <w:pPr>
              <w:jc w:val="center"/>
              <w:rPr>
                <w:sz w:val="14"/>
                <w:szCs w:val="14"/>
              </w:rPr>
            </w:pPr>
            <w:r w:rsidRPr="005B7BEE">
              <w:rPr>
                <w:sz w:val="14"/>
                <w:szCs w:val="14"/>
              </w:rPr>
              <w:t>Serious</w:t>
            </w:r>
          </w:p>
          <w:p w14:paraId="58CAAD60" w14:textId="13985898" w:rsidR="00FF1816" w:rsidRPr="005B7BEE" w:rsidRDefault="00FF1816" w:rsidP="004A1C5A">
            <w:pPr>
              <w:jc w:val="center"/>
              <w:rPr>
                <w:sz w:val="14"/>
                <w:szCs w:val="14"/>
              </w:rPr>
            </w:pPr>
            <w:r w:rsidRPr="005B7BEE">
              <w:rPr>
                <w:sz w:val="14"/>
                <w:szCs w:val="14"/>
              </w:rPr>
              <w:t>/Major</w:t>
            </w:r>
          </w:p>
        </w:tc>
        <w:tc>
          <w:tcPr>
            <w:tcW w:w="595" w:type="dxa"/>
            <w:tcBorders>
              <w:top w:val="single" w:sz="4" w:space="0" w:color="auto"/>
              <w:bottom w:val="single" w:sz="12" w:space="0" w:color="auto"/>
            </w:tcBorders>
            <w:vAlign w:val="center"/>
          </w:tcPr>
          <w:p w14:paraId="726A1629" w14:textId="77777777" w:rsidR="00FF1816" w:rsidRPr="005B7BEE" w:rsidRDefault="00FF1816" w:rsidP="00FD4A51">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59572FE6" w14:textId="6E2F7B1D" w:rsidR="00FF1816" w:rsidRPr="005B7BEE" w:rsidRDefault="00FF1816" w:rsidP="004A1C5A">
            <w:pPr>
              <w:jc w:val="center"/>
              <w:rPr>
                <w:sz w:val="14"/>
                <w:szCs w:val="14"/>
              </w:rPr>
            </w:pPr>
            <w:r w:rsidRPr="005B7BEE">
              <w:rPr>
                <w:sz w:val="14"/>
                <w:szCs w:val="14"/>
              </w:rPr>
              <w:t>Catastrophic / Fatal</w:t>
            </w:r>
          </w:p>
        </w:tc>
        <w:tc>
          <w:tcPr>
            <w:tcW w:w="353" w:type="dxa"/>
            <w:tcBorders>
              <w:top w:val="nil"/>
              <w:left w:val="nil"/>
              <w:bottom w:val="nil"/>
              <w:right w:val="nil"/>
            </w:tcBorders>
            <w:vAlign w:val="center"/>
          </w:tcPr>
          <w:p w14:paraId="00D58178" w14:textId="77777777" w:rsidR="00FF1816" w:rsidRPr="005B7BEE" w:rsidRDefault="00FF1816" w:rsidP="00FD4A51">
            <w:pPr>
              <w:jc w:val="center"/>
              <w:rPr>
                <w:sz w:val="14"/>
                <w:szCs w:val="14"/>
              </w:rPr>
            </w:pPr>
          </w:p>
        </w:tc>
        <w:tc>
          <w:tcPr>
            <w:tcW w:w="930" w:type="dxa"/>
            <w:tcBorders>
              <w:top w:val="nil"/>
              <w:left w:val="nil"/>
              <w:bottom w:val="single" w:sz="12" w:space="0" w:color="auto"/>
            </w:tcBorders>
            <w:vAlign w:val="center"/>
          </w:tcPr>
          <w:p w14:paraId="19D49630" w14:textId="77777777" w:rsidR="00FF1816" w:rsidRPr="005B7BEE" w:rsidRDefault="00FF1816" w:rsidP="004D6076">
            <w:pPr>
              <w:jc w:val="center"/>
              <w:rPr>
                <w:sz w:val="14"/>
                <w:szCs w:val="14"/>
              </w:rPr>
            </w:pPr>
            <m:oMathPara>
              <m:oMath>
                <m:r>
                  <w:rPr>
                    <w:rFonts w:ascii="Cambria Math" w:hAnsi="Cambria Math"/>
                  </w:rPr>
                  <m:t>R</m:t>
                </m:r>
              </m:oMath>
            </m:oMathPara>
          </w:p>
        </w:tc>
        <w:tc>
          <w:tcPr>
            <w:tcW w:w="630" w:type="dxa"/>
            <w:tcBorders>
              <w:top w:val="single" w:sz="4" w:space="0" w:color="auto"/>
              <w:bottom w:val="single" w:sz="12" w:space="0" w:color="auto"/>
            </w:tcBorders>
            <w:vAlign w:val="center"/>
          </w:tcPr>
          <w:p w14:paraId="0BAFB3C0" w14:textId="50F0F8C2" w:rsidR="00FF1816" w:rsidRPr="005B7BEE" w:rsidRDefault="00FF1816" w:rsidP="004A1C5A">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6E8F8F79" w14:textId="77777777" w:rsidR="00FF1816" w:rsidRPr="005B7BEE" w:rsidRDefault="00FF1816" w:rsidP="00FD4A51">
            <w:pPr>
              <w:jc w:val="center"/>
              <w:rPr>
                <w:sz w:val="14"/>
                <w:szCs w:val="14"/>
              </w:rPr>
            </w:pPr>
            <w:r w:rsidRPr="005B7BEE">
              <w:rPr>
                <w:sz w:val="14"/>
                <w:szCs w:val="14"/>
              </w:rPr>
              <w:t>Minor</w:t>
            </w:r>
          </w:p>
        </w:tc>
        <w:tc>
          <w:tcPr>
            <w:tcW w:w="692" w:type="dxa"/>
            <w:tcBorders>
              <w:top w:val="single" w:sz="4" w:space="0" w:color="auto"/>
              <w:bottom w:val="single" w:sz="12" w:space="0" w:color="auto"/>
            </w:tcBorders>
            <w:vAlign w:val="center"/>
          </w:tcPr>
          <w:p w14:paraId="0C6A3934" w14:textId="7C75D668" w:rsidR="00FF1816" w:rsidRPr="005B7BEE" w:rsidRDefault="00FF1816" w:rsidP="004D6076">
            <w:pPr>
              <w:jc w:val="center"/>
              <w:rPr>
                <w:sz w:val="14"/>
                <w:szCs w:val="14"/>
              </w:rPr>
            </w:pPr>
            <w:r w:rsidRPr="005B7BEE">
              <w:rPr>
                <w:sz w:val="14"/>
                <w:szCs w:val="14"/>
              </w:rPr>
              <w:t>Serious / Major</w:t>
            </w:r>
          </w:p>
        </w:tc>
        <w:tc>
          <w:tcPr>
            <w:tcW w:w="595" w:type="dxa"/>
            <w:tcBorders>
              <w:top w:val="single" w:sz="4" w:space="0" w:color="auto"/>
              <w:bottom w:val="single" w:sz="12" w:space="0" w:color="auto"/>
            </w:tcBorders>
            <w:vAlign w:val="center"/>
          </w:tcPr>
          <w:p w14:paraId="62213DEE" w14:textId="77777777" w:rsidR="00FF1816" w:rsidRPr="005B7BEE" w:rsidRDefault="00FF1816" w:rsidP="00FD4A51">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4ABC9A43" w14:textId="568B89C5" w:rsidR="00FF1816" w:rsidRPr="005B7BEE" w:rsidRDefault="00FF1816" w:rsidP="004A1C5A">
            <w:pPr>
              <w:jc w:val="center"/>
              <w:rPr>
                <w:sz w:val="14"/>
                <w:szCs w:val="14"/>
              </w:rPr>
            </w:pPr>
            <w:r w:rsidRPr="005B7BEE">
              <w:rPr>
                <w:sz w:val="14"/>
                <w:szCs w:val="14"/>
              </w:rPr>
              <w:t>Catastrophic / Fatal</w:t>
            </w:r>
          </w:p>
        </w:tc>
        <w:tc>
          <w:tcPr>
            <w:tcW w:w="295" w:type="dxa"/>
            <w:tcBorders>
              <w:top w:val="nil"/>
              <w:left w:val="nil"/>
              <w:bottom w:val="nil"/>
              <w:right w:val="nil"/>
            </w:tcBorders>
            <w:vAlign w:val="center"/>
          </w:tcPr>
          <w:p w14:paraId="4076D907" w14:textId="77777777" w:rsidR="00FF1816" w:rsidRPr="005B7BEE" w:rsidRDefault="00FF1816" w:rsidP="00FD4A51">
            <w:pPr>
              <w:jc w:val="center"/>
              <w:rPr>
                <w:sz w:val="14"/>
                <w:szCs w:val="14"/>
              </w:rPr>
            </w:pPr>
          </w:p>
        </w:tc>
        <w:tc>
          <w:tcPr>
            <w:tcW w:w="932" w:type="dxa"/>
            <w:tcBorders>
              <w:top w:val="nil"/>
              <w:left w:val="nil"/>
              <w:bottom w:val="single" w:sz="12" w:space="0" w:color="auto"/>
            </w:tcBorders>
            <w:vAlign w:val="center"/>
          </w:tcPr>
          <w:p w14:paraId="2A70AF78" w14:textId="77777777" w:rsidR="00FF1816" w:rsidRPr="005B7BEE" w:rsidRDefault="00000000" w:rsidP="004D6076">
            <w:pPr>
              <w:jc w:val="cente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 ⋃ R</m:t>
                </m:r>
              </m:oMath>
            </m:oMathPara>
          </w:p>
        </w:tc>
        <w:tc>
          <w:tcPr>
            <w:tcW w:w="630" w:type="dxa"/>
            <w:tcBorders>
              <w:top w:val="single" w:sz="4" w:space="0" w:color="auto"/>
              <w:bottom w:val="single" w:sz="12" w:space="0" w:color="auto"/>
            </w:tcBorders>
            <w:vAlign w:val="center"/>
          </w:tcPr>
          <w:p w14:paraId="1D114235" w14:textId="47840CC8" w:rsidR="00FF1816" w:rsidRPr="005B7BEE" w:rsidRDefault="00FF1816" w:rsidP="004A1C5A">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3A25A446" w14:textId="77777777" w:rsidR="00FF1816" w:rsidRPr="005B7BEE" w:rsidRDefault="00FF1816" w:rsidP="00FD4A51">
            <w:pPr>
              <w:jc w:val="center"/>
              <w:rPr>
                <w:sz w:val="14"/>
                <w:szCs w:val="14"/>
              </w:rPr>
            </w:pPr>
            <w:r w:rsidRPr="005B7BEE">
              <w:rPr>
                <w:sz w:val="14"/>
                <w:szCs w:val="14"/>
              </w:rPr>
              <w:t>Minor</w:t>
            </w:r>
          </w:p>
        </w:tc>
        <w:tc>
          <w:tcPr>
            <w:tcW w:w="690" w:type="dxa"/>
            <w:tcBorders>
              <w:top w:val="single" w:sz="4" w:space="0" w:color="auto"/>
              <w:bottom w:val="single" w:sz="12" w:space="0" w:color="auto"/>
            </w:tcBorders>
            <w:vAlign w:val="center"/>
          </w:tcPr>
          <w:p w14:paraId="386DD89C" w14:textId="08A46429" w:rsidR="00FF1816" w:rsidRPr="005B7BEE" w:rsidRDefault="00FF1816" w:rsidP="004D6076">
            <w:pPr>
              <w:jc w:val="center"/>
              <w:rPr>
                <w:sz w:val="14"/>
                <w:szCs w:val="14"/>
              </w:rPr>
            </w:pPr>
            <w:r w:rsidRPr="005B7BEE">
              <w:rPr>
                <w:sz w:val="14"/>
                <w:szCs w:val="14"/>
              </w:rPr>
              <w:t>Serious / Major</w:t>
            </w:r>
          </w:p>
        </w:tc>
        <w:tc>
          <w:tcPr>
            <w:tcW w:w="595" w:type="dxa"/>
            <w:tcBorders>
              <w:top w:val="single" w:sz="4" w:space="0" w:color="auto"/>
              <w:bottom w:val="single" w:sz="12" w:space="0" w:color="auto"/>
            </w:tcBorders>
            <w:vAlign w:val="center"/>
          </w:tcPr>
          <w:p w14:paraId="691B9C41" w14:textId="77777777" w:rsidR="00FF1816" w:rsidRPr="005B7BEE" w:rsidRDefault="00FF1816" w:rsidP="00FD4A51">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1E6A9334" w14:textId="42314081" w:rsidR="00FF1816" w:rsidRPr="005B7BEE" w:rsidRDefault="00FF1816" w:rsidP="004A1C5A">
            <w:pPr>
              <w:jc w:val="center"/>
              <w:rPr>
                <w:sz w:val="14"/>
                <w:szCs w:val="14"/>
              </w:rPr>
            </w:pPr>
            <w:r w:rsidRPr="005B7BEE">
              <w:rPr>
                <w:sz w:val="14"/>
                <w:szCs w:val="14"/>
              </w:rPr>
              <w:t>Catastrophic / Fatal</w:t>
            </w:r>
          </w:p>
        </w:tc>
      </w:tr>
      <w:tr w:rsidR="001734D9" w:rsidRPr="00F60A9B" w14:paraId="61A0FB83" w14:textId="77777777" w:rsidTr="00102D07">
        <w:trPr>
          <w:cantSplit/>
          <w:jc w:val="center"/>
        </w:trPr>
        <w:tc>
          <w:tcPr>
            <w:tcW w:w="900" w:type="dxa"/>
            <w:tcBorders>
              <w:top w:val="single" w:sz="4" w:space="0" w:color="auto"/>
              <w:right w:val="single" w:sz="12" w:space="0" w:color="auto"/>
            </w:tcBorders>
            <w:vAlign w:val="center"/>
          </w:tcPr>
          <w:p w14:paraId="3E09E40E" w14:textId="77777777" w:rsidR="001734D9" w:rsidRPr="005B7BEE" w:rsidRDefault="001734D9" w:rsidP="001734D9">
            <w:pPr>
              <w:rPr>
                <w:sz w:val="14"/>
                <w:szCs w:val="14"/>
              </w:rPr>
            </w:pPr>
            <w:r>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C7ECD39" w14:textId="3B53D83D" w:rsidR="001734D9" w:rsidRPr="00F60A9B" w:rsidRDefault="001734D9" w:rsidP="001734D9">
            <w:pPr>
              <w:jc w:val="center"/>
            </w:pPr>
            <w:r>
              <w:rPr>
                <w:rFonts w:ascii="Calibri" w:hAnsi="Calibri" w:cs="Calibri"/>
                <w:color w:val="000000"/>
              </w:rPr>
              <w:t>1</w:t>
            </w:r>
          </w:p>
        </w:tc>
        <w:tc>
          <w:tcPr>
            <w:tcW w:w="540" w:type="dxa"/>
            <w:tcBorders>
              <w:top w:val="single" w:sz="8" w:space="0" w:color="auto"/>
              <w:left w:val="nil"/>
              <w:bottom w:val="single" w:sz="4" w:space="0" w:color="auto"/>
              <w:right w:val="single" w:sz="4" w:space="0" w:color="auto"/>
            </w:tcBorders>
            <w:shd w:val="clear" w:color="auto" w:fill="auto"/>
            <w:vAlign w:val="bottom"/>
          </w:tcPr>
          <w:p w14:paraId="4793B8E8" w14:textId="57C2FE6A" w:rsidR="001734D9" w:rsidRPr="00210DD1" w:rsidRDefault="001734D9" w:rsidP="001734D9">
            <w:pPr>
              <w:jc w:val="center"/>
            </w:pPr>
            <w:r>
              <w:rPr>
                <w:rFonts w:ascii="Calibri" w:hAnsi="Calibri" w:cs="Calibri"/>
                <w:color w:val="000000"/>
              </w:rPr>
              <w:t>0</w:t>
            </w:r>
          </w:p>
        </w:tc>
        <w:tc>
          <w:tcPr>
            <w:tcW w:w="726" w:type="dxa"/>
            <w:tcBorders>
              <w:top w:val="single" w:sz="8" w:space="0" w:color="auto"/>
              <w:left w:val="nil"/>
              <w:bottom w:val="single" w:sz="4" w:space="0" w:color="auto"/>
              <w:right w:val="single" w:sz="4" w:space="0" w:color="auto"/>
            </w:tcBorders>
            <w:shd w:val="clear" w:color="auto" w:fill="auto"/>
            <w:vAlign w:val="bottom"/>
          </w:tcPr>
          <w:p w14:paraId="092974C6" w14:textId="196AD27D" w:rsidR="001734D9" w:rsidRPr="00210DD1" w:rsidRDefault="001734D9" w:rsidP="001734D9">
            <w:pPr>
              <w:jc w:val="center"/>
            </w:pPr>
            <w:r>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16719744" w14:textId="206C276A" w:rsidR="001734D9" w:rsidRPr="00210DD1" w:rsidRDefault="001734D9" w:rsidP="001734D9">
            <w:pPr>
              <w:jc w:val="center"/>
            </w:pPr>
            <w:r>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EC4BC2F" w14:textId="1BB87A95" w:rsidR="001734D9" w:rsidRPr="00F60A9B" w:rsidRDefault="001734D9" w:rsidP="001734D9">
            <w:pPr>
              <w:jc w:val="center"/>
            </w:pPr>
            <w:r>
              <w:rPr>
                <w:rFonts w:ascii="Calibri" w:hAnsi="Calibri" w:cs="Calibri"/>
                <w:color w:val="000000"/>
              </w:rPr>
              <w:t>0</w:t>
            </w:r>
          </w:p>
        </w:tc>
        <w:tc>
          <w:tcPr>
            <w:tcW w:w="353" w:type="dxa"/>
            <w:tcBorders>
              <w:top w:val="nil"/>
              <w:left w:val="nil"/>
              <w:bottom w:val="nil"/>
              <w:right w:val="nil"/>
            </w:tcBorders>
          </w:tcPr>
          <w:p w14:paraId="7C741E8D" w14:textId="77777777" w:rsidR="001734D9" w:rsidRPr="00F60A9B" w:rsidRDefault="001734D9" w:rsidP="001734D9">
            <w:pPr>
              <w:jc w:val="center"/>
            </w:pPr>
          </w:p>
        </w:tc>
        <w:tc>
          <w:tcPr>
            <w:tcW w:w="930" w:type="dxa"/>
            <w:tcBorders>
              <w:top w:val="single" w:sz="12" w:space="0" w:color="auto"/>
              <w:left w:val="single" w:sz="4" w:space="0" w:color="auto"/>
              <w:bottom w:val="single" w:sz="4" w:space="0" w:color="auto"/>
            </w:tcBorders>
          </w:tcPr>
          <w:p w14:paraId="0DC5125E" w14:textId="45694C6C" w:rsidR="001734D9" w:rsidRPr="00F60A9B" w:rsidRDefault="001734D9" w:rsidP="001734D9">
            <w:pPr>
              <w:jc w:val="center"/>
            </w:pPr>
            <w:r>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5C5E5F76" w14:textId="369B4FAF" w:rsidR="001734D9" w:rsidRPr="00F60A9B" w:rsidRDefault="001734D9" w:rsidP="001734D9">
            <w:pPr>
              <w:jc w:val="center"/>
            </w:pPr>
            <w:r>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2B811E5D" w14:textId="40C35267" w:rsidR="001734D9" w:rsidRPr="00F60A9B" w:rsidRDefault="001734D9" w:rsidP="001734D9">
            <w:pPr>
              <w:jc w:val="center"/>
            </w:pPr>
            <w:r>
              <w:rPr>
                <w:rFonts w:ascii="Calibri" w:hAnsi="Calibri" w:cs="Calibri"/>
                <w:color w:val="000000"/>
              </w:rPr>
              <w:t>0</w:t>
            </w:r>
          </w:p>
        </w:tc>
        <w:tc>
          <w:tcPr>
            <w:tcW w:w="692" w:type="dxa"/>
            <w:tcBorders>
              <w:top w:val="single" w:sz="8" w:space="0" w:color="auto"/>
              <w:left w:val="nil"/>
              <w:bottom w:val="single" w:sz="4" w:space="0" w:color="auto"/>
              <w:right w:val="single" w:sz="4" w:space="0" w:color="auto"/>
            </w:tcBorders>
            <w:shd w:val="clear" w:color="auto" w:fill="auto"/>
            <w:vAlign w:val="bottom"/>
          </w:tcPr>
          <w:p w14:paraId="1376B03A" w14:textId="616C2468" w:rsidR="001734D9" w:rsidRPr="00F60A9B" w:rsidRDefault="001734D9" w:rsidP="001734D9">
            <w:pPr>
              <w:jc w:val="center"/>
            </w:pPr>
            <w:r>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4B535DC3" w14:textId="5FED5FB9" w:rsidR="001734D9" w:rsidRPr="00F60A9B" w:rsidRDefault="001734D9" w:rsidP="001734D9">
            <w:pPr>
              <w:jc w:val="center"/>
            </w:pPr>
            <w:r>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5840E09F" w14:textId="70EF92B8" w:rsidR="001734D9" w:rsidRPr="00F60A9B" w:rsidRDefault="001734D9" w:rsidP="001734D9">
            <w:pPr>
              <w:jc w:val="center"/>
            </w:pPr>
            <w:r>
              <w:rPr>
                <w:rFonts w:ascii="Calibri" w:hAnsi="Calibri" w:cs="Calibri"/>
                <w:color w:val="000000"/>
              </w:rPr>
              <w:t>0</w:t>
            </w:r>
          </w:p>
        </w:tc>
        <w:tc>
          <w:tcPr>
            <w:tcW w:w="295" w:type="dxa"/>
            <w:tcBorders>
              <w:top w:val="nil"/>
              <w:left w:val="nil"/>
              <w:bottom w:val="nil"/>
              <w:right w:val="nil"/>
            </w:tcBorders>
          </w:tcPr>
          <w:p w14:paraId="4BF62B59" w14:textId="77777777" w:rsidR="001734D9" w:rsidRPr="00F60A9B" w:rsidRDefault="001734D9" w:rsidP="001734D9">
            <w:pPr>
              <w:jc w:val="center"/>
            </w:pPr>
          </w:p>
        </w:tc>
        <w:tc>
          <w:tcPr>
            <w:tcW w:w="932" w:type="dxa"/>
            <w:tcBorders>
              <w:top w:val="single" w:sz="12" w:space="0" w:color="auto"/>
              <w:left w:val="single" w:sz="4" w:space="0" w:color="auto"/>
              <w:bottom w:val="single" w:sz="4" w:space="0" w:color="auto"/>
            </w:tcBorders>
          </w:tcPr>
          <w:p w14:paraId="3DE9CB46" w14:textId="0184ABC4" w:rsidR="001734D9" w:rsidRPr="00F60A9B" w:rsidRDefault="001734D9" w:rsidP="001734D9">
            <w:pPr>
              <w:jc w:val="center"/>
            </w:pPr>
            <w:r>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4D282361" w14:textId="77293E6C" w:rsidR="001734D9" w:rsidRPr="00F60A9B" w:rsidRDefault="001734D9" w:rsidP="001734D9">
            <w:pPr>
              <w:jc w:val="center"/>
            </w:pPr>
            <w:r>
              <w:rPr>
                <w:rFonts w:ascii="Calibri" w:hAnsi="Calibri" w:cs="Calibri"/>
                <w:color w:val="000000"/>
              </w:rPr>
              <w:t>1</w:t>
            </w:r>
          </w:p>
        </w:tc>
        <w:tc>
          <w:tcPr>
            <w:tcW w:w="540" w:type="dxa"/>
            <w:tcBorders>
              <w:top w:val="single" w:sz="8" w:space="0" w:color="auto"/>
              <w:left w:val="nil"/>
              <w:bottom w:val="single" w:sz="4" w:space="0" w:color="auto"/>
              <w:right w:val="single" w:sz="4" w:space="0" w:color="auto"/>
            </w:tcBorders>
            <w:shd w:val="clear" w:color="auto" w:fill="auto"/>
            <w:vAlign w:val="bottom"/>
          </w:tcPr>
          <w:p w14:paraId="17E2301C" w14:textId="0D88DF0F" w:rsidR="001734D9" w:rsidRPr="00F60A9B" w:rsidRDefault="001734D9" w:rsidP="001734D9">
            <w:pPr>
              <w:jc w:val="center"/>
            </w:pPr>
            <w:r>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5B5C5CEA" w14:textId="36A9EB00" w:rsidR="001734D9" w:rsidRPr="00F60A9B" w:rsidRDefault="001734D9" w:rsidP="001734D9">
            <w:pPr>
              <w:jc w:val="center"/>
            </w:pPr>
            <w:r>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01656670" w14:textId="0B2FB3AF" w:rsidR="001734D9" w:rsidRPr="00F60A9B" w:rsidRDefault="001734D9" w:rsidP="001734D9">
            <w:pPr>
              <w:jc w:val="center"/>
            </w:pPr>
            <w:r>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2A17799B" w14:textId="4D9675E7" w:rsidR="001734D9" w:rsidRPr="00F60A9B" w:rsidRDefault="001734D9" w:rsidP="001734D9">
            <w:pPr>
              <w:jc w:val="center"/>
            </w:pPr>
            <w:r>
              <w:rPr>
                <w:rFonts w:ascii="Calibri" w:hAnsi="Calibri" w:cs="Calibri"/>
                <w:color w:val="000000"/>
              </w:rPr>
              <w:t>0</w:t>
            </w:r>
          </w:p>
        </w:tc>
      </w:tr>
      <w:tr w:rsidR="001734D9" w:rsidRPr="00F60A9B" w14:paraId="3D55A0B5" w14:textId="77777777" w:rsidTr="00102D07">
        <w:trPr>
          <w:cantSplit/>
          <w:jc w:val="center"/>
        </w:trPr>
        <w:tc>
          <w:tcPr>
            <w:tcW w:w="900" w:type="dxa"/>
            <w:tcBorders>
              <w:right w:val="single" w:sz="12" w:space="0" w:color="auto"/>
            </w:tcBorders>
            <w:vAlign w:val="center"/>
          </w:tcPr>
          <w:p w14:paraId="77DDAB83" w14:textId="77777777" w:rsidR="001734D9" w:rsidRPr="005B7BEE" w:rsidRDefault="001734D9" w:rsidP="001734D9">
            <w:pPr>
              <w:rPr>
                <w:sz w:val="14"/>
                <w:szCs w:val="14"/>
              </w:rPr>
            </w:pPr>
            <w:r>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0E09BDB9" w14:textId="25026A4B" w:rsidR="001734D9"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6C022DF" w14:textId="71C98507" w:rsidR="001734D9" w:rsidRPr="00210DD1" w:rsidRDefault="001734D9" w:rsidP="001734D9">
            <w:pPr>
              <w:jc w:val="cente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3406957C" w14:textId="5A1AEC50" w:rsidR="001734D9" w:rsidRPr="00210DD1"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BA19308" w14:textId="557B238C" w:rsidR="001734D9" w:rsidRPr="00210DD1"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09283B6" w14:textId="20ED7280" w:rsidR="001734D9" w:rsidRDefault="001734D9" w:rsidP="001734D9">
            <w:pPr>
              <w:jc w:val="center"/>
            </w:pPr>
            <w:r>
              <w:rPr>
                <w:rFonts w:ascii="Calibri" w:hAnsi="Calibri" w:cs="Calibri"/>
                <w:color w:val="000000"/>
              </w:rPr>
              <w:t>0</w:t>
            </w:r>
          </w:p>
        </w:tc>
        <w:tc>
          <w:tcPr>
            <w:tcW w:w="353" w:type="dxa"/>
            <w:tcBorders>
              <w:top w:val="nil"/>
              <w:left w:val="nil"/>
              <w:bottom w:val="nil"/>
              <w:right w:val="nil"/>
            </w:tcBorders>
          </w:tcPr>
          <w:p w14:paraId="0FD37C84" w14:textId="77777777" w:rsidR="001734D9" w:rsidRDefault="001734D9" w:rsidP="001734D9">
            <w:pPr>
              <w:jc w:val="center"/>
            </w:pPr>
          </w:p>
        </w:tc>
        <w:tc>
          <w:tcPr>
            <w:tcW w:w="930" w:type="dxa"/>
            <w:tcBorders>
              <w:left w:val="single" w:sz="4" w:space="0" w:color="auto"/>
            </w:tcBorders>
          </w:tcPr>
          <w:p w14:paraId="3F5C8B8D" w14:textId="2E1316E6" w:rsidR="001734D9" w:rsidRDefault="001734D9" w:rsidP="001734D9">
            <w:pPr>
              <w:jc w:val="center"/>
            </w:pPr>
            <w:r>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5C627D05" w14:textId="73379881" w:rsidR="001734D9" w:rsidRDefault="001734D9" w:rsidP="001734D9">
            <w:pPr>
              <w:jc w:val="center"/>
            </w:pPr>
            <w:r>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4963146A" w14:textId="2D786945" w:rsidR="001734D9" w:rsidRDefault="001734D9" w:rsidP="001734D9">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7912FA0D" w14:textId="521F2A39" w:rsidR="001734D9"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80FB2DD" w14:textId="71335ACA" w:rsidR="001734D9"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D4DC916" w14:textId="52483C01" w:rsidR="001734D9" w:rsidRDefault="001734D9" w:rsidP="001734D9">
            <w:pPr>
              <w:jc w:val="center"/>
            </w:pPr>
            <w:r>
              <w:rPr>
                <w:rFonts w:ascii="Calibri" w:hAnsi="Calibri" w:cs="Calibri"/>
                <w:color w:val="000000"/>
              </w:rPr>
              <w:t>0</w:t>
            </w:r>
          </w:p>
        </w:tc>
        <w:tc>
          <w:tcPr>
            <w:tcW w:w="295" w:type="dxa"/>
            <w:tcBorders>
              <w:top w:val="nil"/>
              <w:left w:val="nil"/>
              <w:bottom w:val="nil"/>
              <w:right w:val="nil"/>
            </w:tcBorders>
          </w:tcPr>
          <w:p w14:paraId="6C28340C" w14:textId="77777777" w:rsidR="001734D9" w:rsidRDefault="001734D9" w:rsidP="001734D9">
            <w:pPr>
              <w:jc w:val="center"/>
            </w:pPr>
          </w:p>
        </w:tc>
        <w:tc>
          <w:tcPr>
            <w:tcW w:w="932" w:type="dxa"/>
            <w:tcBorders>
              <w:left w:val="single" w:sz="4" w:space="0" w:color="auto"/>
            </w:tcBorders>
          </w:tcPr>
          <w:p w14:paraId="5D618F24" w14:textId="5C563533" w:rsidR="001734D9" w:rsidRDefault="001734D9" w:rsidP="001734D9">
            <w:pPr>
              <w:jc w:val="center"/>
            </w:pPr>
            <w:r>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02BD4FBE" w14:textId="4F6FF4D9" w:rsidR="001734D9" w:rsidRDefault="001734D9" w:rsidP="001734D9">
            <w:pPr>
              <w:jc w:val="center"/>
            </w:pPr>
            <w:r>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33A8E293" w14:textId="4B88D0A9" w:rsidR="001734D9" w:rsidRDefault="001734D9" w:rsidP="001734D9">
            <w:pPr>
              <w:jc w:val="cente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7108DDDF" w14:textId="2391CD7A" w:rsidR="001734D9"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3494E4" w14:textId="186F6F03" w:rsidR="001734D9"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840E9CA" w14:textId="27046C9A" w:rsidR="001734D9" w:rsidRDefault="001734D9" w:rsidP="001734D9">
            <w:pPr>
              <w:jc w:val="center"/>
            </w:pPr>
            <w:r>
              <w:rPr>
                <w:rFonts w:ascii="Calibri" w:hAnsi="Calibri" w:cs="Calibri"/>
                <w:color w:val="000000"/>
              </w:rPr>
              <w:t>0</w:t>
            </w:r>
          </w:p>
        </w:tc>
      </w:tr>
      <w:tr w:rsidR="001734D9" w:rsidRPr="00F60A9B" w14:paraId="35695166" w14:textId="77777777" w:rsidTr="00102D07">
        <w:trPr>
          <w:cantSplit/>
          <w:jc w:val="center"/>
        </w:trPr>
        <w:tc>
          <w:tcPr>
            <w:tcW w:w="900" w:type="dxa"/>
            <w:tcBorders>
              <w:top w:val="single" w:sz="4" w:space="0" w:color="auto"/>
              <w:right w:val="single" w:sz="12" w:space="0" w:color="auto"/>
            </w:tcBorders>
            <w:vAlign w:val="center"/>
          </w:tcPr>
          <w:p w14:paraId="19030DAF" w14:textId="77777777" w:rsidR="001734D9" w:rsidRPr="005B7BEE" w:rsidRDefault="001734D9" w:rsidP="001734D9">
            <w:pPr>
              <w:rPr>
                <w:sz w:val="14"/>
                <w:szCs w:val="14"/>
              </w:rPr>
            </w:pPr>
            <w:r w:rsidRPr="005B7BEE">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2530A275" w14:textId="6AD058EF" w:rsidR="001734D9"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5D5189A" w14:textId="0D6ED08F" w:rsidR="001734D9" w:rsidRPr="00210DD1" w:rsidRDefault="001734D9" w:rsidP="001734D9">
            <w:pPr>
              <w:jc w:val="cente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6B1DAB54" w14:textId="11A463AA" w:rsidR="001734D9" w:rsidRPr="00210DD1"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C42981E" w14:textId="357D7279" w:rsidR="001734D9" w:rsidRPr="00210DD1"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51D2B899" w14:textId="362C7941" w:rsidR="001734D9" w:rsidRDefault="001734D9" w:rsidP="001734D9">
            <w:pPr>
              <w:jc w:val="center"/>
            </w:pPr>
            <w:r>
              <w:rPr>
                <w:rFonts w:ascii="Calibri" w:hAnsi="Calibri" w:cs="Calibri"/>
                <w:color w:val="000000"/>
              </w:rPr>
              <w:t>0</w:t>
            </w:r>
          </w:p>
        </w:tc>
        <w:tc>
          <w:tcPr>
            <w:tcW w:w="353" w:type="dxa"/>
            <w:tcBorders>
              <w:top w:val="nil"/>
              <w:left w:val="nil"/>
              <w:bottom w:val="nil"/>
              <w:right w:val="nil"/>
            </w:tcBorders>
            <w:tcMar>
              <w:left w:w="72" w:type="dxa"/>
              <w:right w:w="115" w:type="dxa"/>
            </w:tcMar>
          </w:tcPr>
          <w:p w14:paraId="1C00AF9C" w14:textId="64F6ADF2" w:rsidR="001734D9" w:rsidRDefault="001734D9" w:rsidP="001734D9">
            <w:r>
              <w:rPr>
                <w:rFonts w:ascii="Cambria Math" w:hAnsi="Cambria Math"/>
              </w:rPr>
              <w:t xml:space="preserve">⋃    </w:t>
            </w:r>
          </w:p>
        </w:tc>
        <w:tc>
          <w:tcPr>
            <w:tcW w:w="930" w:type="dxa"/>
            <w:tcBorders>
              <w:top w:val="single" w:sz="4" w:space="0" w:color="auto"/>
              <w:left w:val="single" w:sz="4" w:space="0" w:color="auto"/>
            </w:tcBorders>
          </w:tcPr>
          <w:p w14:paraId="615DA7F8" w14:textId="3F98DA8C" w:rsidR="001734D9" w:rsidRDefault="001734D9" w:rsidP="001734D9">
            <w:pPr>
              <w:jc w:val="center"/>
            </w:pPr>
            <w:r w:rsidRPr="005B7BEE">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6101CD0D" w14:textId="0FCDD8B2" w:rsidR="001734D9"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D246482" w14:textId="5A438869" w:rsidR="001734D9" w:rsidRDefault="001734D9" w:rsidP="001734D9">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1830A193" w14:textId="694AEE3D" w:rsidR="001734D9" w:rsidRDefault="001734D9" w:rsidP="001734D9">
            <w:pPr>
              <w:jc w:val="center"/>
            </w:pPr>
            <w:r>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1CB34FC8" w14:textId="46122C9E" w:rsidR="001734D9"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6087B28" w14:textId="28D76DCC" w:rsidR="001734D9" w:rsidRDefault="001734D9" w:rsidP="001734D9">
            <w:pPr>
              <w:jc w:val="center"/>
            </w:pPr>
            <w:r>
              <w:rPr>
                <w:rFonts w:ascii="Calibri" w:hAnsi="Calibri" w:cs="Calibri"/>
                <w:color w:val="000000"/>
              </w:rPr>
              <w:t>0</w:t>
            </w:r>
          </w:p>
        </w:tc>
        <w:tc>
          <w:tcPr>
            <w:tcW w:w="295" w:type="dxa"/>
            <w:tcBorders>
              <w:top w:val="nil"/>
              <w:left w:val="nil"/>
              <w:bottom w:val="nil"/>
              <w:right w:val="nil"/>
            </w:tcBorders>
            <w:tcMar>
              <w:left w:w="72" w:type="dxa"/>
              <w:right w:w="115" w:type="dxa"/>
            </w:tcMar>
          </w:tcPr>
          <w:p w14:paraId="2E697CA8" w14:textId="3B314209" w:rsidR="001734D9" w:rsidRDefault="001734D9" w:rsidP="001734D9">
            <w:pPr>
              <w:jc w:val="center"/>
            </w:pPr>
            <w:r>
              <w:t>=</w:t>
            </w:r>
          </w:p>
        </w:tc>
        <w:tc>
          <w:tcPr>
            <w:tcW w:w="932" w:type="dxa"/>
            <w:tcBorders>
              <w:top w:val="single" w:sz="4" w:space="0" w:color="auto"/>
              <w:left w:val="single" w:sz="4" w:space="0" w:color="auto"/>
            </w:tcBorders>
          </w:tcPr>
          <w:p w14:paraId="1FE00BAE" w14:textId="21886D75" w:rsidR="001734D9" w:rsidRDefault="001734D9" w:rsidP="001734D9">
            <w:pPr>
              <w:jc w:val="center"/>
            </w:pPr>
            <w:r w:rsidRPr="005B7BEE">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712CD319" w14:textId="42C6A1CB" w:rsidR="001734D9"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FAB4B75" w14:textId="15BD1F42" w:rsidR="001734D9" w:rsidRDefault="001734D9" w:rsidP="001734D9">
            <w:pPr>
              <w:jc w:val="cente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497ABE91" w14:textId="1E207132" w:rsidR="001734D9" w:rsidRDefault="001734D9" w:rsidP="001734D9">
            <w:pPr>
              <w:jc w:val="center"/>
            </w:pPr>
            <w:r>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04ED8C35" w14:textId="5D308E05" w:rsidR="001734D9"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8288454" w14:textId="6DD862A0" w:rsidR="001734D9" w:rsidRDefault="001734D9" w:rsidP="001734D9">
            <w:pPr>
              <w:jc w:val="center"/>
            </w:pPr>
            <w:r>
              <w:rPr>
                <w:rFonts w:ascii="Calibri" w:hAnsi="Calibri" w:cs="Calibri"/>
                <w:color w:val="000000"/>
              </w:rPr>
              <w:t>0</w:t>
            </w:r>
          </w:p>
        </w:tc>
      </w:tr>
      <w:tr w:rsidR="001734D9" w:rsidRPr="00F60A9B" w14:paraId="3F71A233" w14:textId="77777777" w:rsidTr="00102D07">
        <w:trPr>
          <w:cantSplit/>
          <w:jc w:val="center"/>
        </w:trPr>
        <w:tc>
          <w:tcPr>
            <w:tcW w:w="900" w:type="dxa"/>
            <w:tcBorders>
              <w:right w:val="single" w:sz="12" w:space="0" w:color="auto"/>
            </w:tcBorders>
            <w:vAlign w:val="center"/>
          </w:tcPr>
          <w:p w14:paraId="24648974" w14:textId="77777777" w:rsidR="001734D9" w:rsidRPr="005B7BEE" w:rsidRDefault="001734D9" w:rsidP="001734D9">
            <w:pPr>
              <w:rPr>
                <w:sz w:val="14"/>
                <w:szCs w:val="14"/>
              </w:rPr>
            </w:pPr>
            <w:r w:rsidRPr="005B7BEE">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3FF9E0FC" w14:textId="6DDB3F67"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0390613" w14:textId="49D74F53" w:rsidR="001734D9" w:rsidRPr="00210DD1" w:rsidRDefault="001734D9" w:rsidP="001734D9">
            <w:pPr>
              <w:jc w:val="cente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56AB01A2" w14:textId="124568B8" w:rsidR="001734D9" w:rsidRPr="00210DD1"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96A9211" w14:textId="22AFC297" w:rsidR="001734D9" w:rsidRPr="00210DD1"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8729DCD" w14:textId="75469A84" w:rsidR="001734D9" w:rsidRPr="00F60A9B" w:rsidRDefault="001734D9" w:rsidP="001734D9">
            <w:pPr>
              <w:jc w:val="center"/>
            </w:pPr>
            <w:r>
              <w:rPr>
                <w:rFonts w:ascii="Calibri" w:hAnsi="Calibri" w:cs="Calibri"/>
                <w:color w:val="000000"/>
              </w:rPr>
              <w:t>0</w:t>
            </w:r>
          </w:p>
        </w:tc>
        <w:tc>
          <w:tcPr>
            <w:tcW w:w="353" w:type="dxa"/>
            <w:tcBorders>
              <w:top w:val="nil"/>
              <w:left w:val="nil"/>
              <w:bottom w:val="nil"/>
              <w:right w:val="nil"/>
            </w:tcBorders>
          </w:tcPr>
          <w:p w14:paraId="301C6C42" w14:textId="77777777" w:rsidR="001734D9" w:rsidRPr="00F60A9B" w:rsidRDefault="001734D9" w:rsidP="001734D9">
            <w:pPr>
              <w:jc w:val="center"/>
            </w:pPr>
          </w:p>
        </w:tc>
        <w:tc>
          <w:tcPr>
            <w:tcW w:w="930" w:type="dxa"/>
            <w:tcBorders>
              <w:left w:val="single" w:sz="4" w:space="0" w:color="auto"/>
            </w:tcBorders>
          </w:tcPr>
          <w:p w14:paraId="4D71EEF3" w14:textId="05FA2A56" w:rsidR="001734D9" w:rsidRPr="00F60A9B" w:rsidRDefault="001734D9" w:rsidP="001734D9">
            <w:pPr>
              <w:jc w:val="center"/>
            </w:pPr>
            <w:r w:rsidRPr="005B7BEE">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6E8CB5A" w14:textId="56E7A474"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4BCE04D3" w14:textId="1158FA07" w:rsidR="001734D9" w:rsidRPr="00F60A9B" w:rsidRDefault="001734D9" w:rsidP="001734D9">
            <w:pPr>
              <w:jc w:val="center"/>
            </w:pPr>
            <w:r>
              <w:rPr>
                <w:rFonts w:ascii="Calibri" w:hAnsi="Calibri" w:cs="Calibri"/>
                <w:color w:val="000000"/>
              </w:rPr>
              <w:t>1</w:t>
            </w:r>
          </w:p>
        </w:tc>
        <w:tc>
          <w:tcPr>
            <w:tcW w:w="692" w:type="dxa"/>
            <w:tcBorders>
              <w:top w:val="nil"/>
              <w:left w:val="nil"/>
              <w:bottom w:val="single" w:sz="4" w:space="0" w:color="auto"/>
              <w:right w:val="single" w:sz="4" w:space="0" w:color="auto"/>
            </w:tcBorders>
            <w:shd w:val="clear" w:color="auto" w:fill="auto"/>
            <w:vAlign w:val="bottom"/>
          </w:tcPr>
          <w:p w14:paraId="399BF748" w14:textId="4E6AE1F4" w:rsidR="001734D9" w:rsidRPr="00F60A9B"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2F6A5CD3" w14:textId="2CE75390" w:rsidR="001734D9" w:rsidRPr="00F60A9B"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E77D210" w14:textId="055D7E0F" w:rsidR="001734D9" w:rsidRPr="00F60A9B" w:rsidRDefault="001734D9" w:rsidP="001734D9">
            <w:pPr>
              <w:jc w:val="center"/>
            </w:pPr>
            <w:r>
              <w:rPr>
                <w:rFonts w:ascii="Calibri" w:hAnsi="Calibri" w:cs="Calibri"/>
                <w:color w:val="000000"/>
              </w:rPr>
              <w:t>1</w:t>
            </w:r>
          </w:p>
        </w:tc>
        <w:tc>
          <w:tcPr>
            <w:tcW w:w="295" w:type="dxa"/>
            <w:tcBorders>
              <w:top w:val="nil"/>
              <w:left w:val="nil"/>
              <w:bottom w:val="nil"/>
              <w:right w:val="nil"/>
            </w:tcBorders>
          </w:tcPr>
          <w:p w14:paraId="75C26742" w14:textId="77777777" w:rsidR="001734D9" w:rsidRPr="00F60A9B" w:rsidRDefault="001734D9" w:rsidP="001734D9">
            <w:pPr>
              <w:jc w:val="center"/>
            </w:pPr>
          </w:p>
        </w:tc>
        <w:tc>
          <w:tcPr>
            <w:tcW w:w="932" w:type="dxa"/>
            <w:tcBorders>
              <w:left w:val="single" w:sz="4" w:space="0" w:color="auto"/>
            </w:tcBorders>
          </w:tcPr>
          <w:p w14:paraId="3E0038B3" w14:textId="14F5A341" w:rsidR="001734D9" w:rsidRPr="00F60A9B" w:rsidRDefault="001734D9" w:rsidP="001734D9">
            <w:pPr>
              <w:jc w:val="center"/>
            </w:pPr>
            <w:r w:rsidRPr="005B7BEE">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98C1042" w14:textId="113C73C4"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D5876A9" w14:textId="30C5FF5F" w:rsidR="001734D9" w:rsidRPr="00F60A9B" w:rsidRDefault="001734D9" w:rsidP="001734D9">
            <w:pPr>
              <w:jc w:val="center"/>
            </w:pPr>
            <w:r>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45CD248F" w14:textId="32BCA591" w:rsidR="001734D9" w:rsidRPr="00F60A9B"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A0062D4" w14:textId="4E85D6E9" w:rsidR="001734D9" w:rsidRPr="00F60A9B"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2BDC59E6" w14:textId="33C133EB" w:rsidR="001734D9" w:rsidRPr="00F60A9B" w:rsidRDefault="001734D9" w:rsidP="001734D9">
            <w:pPr>
              <w:jc w:val="center"/>
            </w:pPr>
            <w:r>
              <w:rPr>
                <w:rFonts w:ascii="Calibri" w:hAnsi="Calibri" w:cs="Calibri"/>
                <w:color w:val="000000"/>
              </w:rPr>
              <w:t>1</w:t>
            </w:r>
          </w:p>
        </w:tc>
      </w:tr>
      <w:tr w:rsidR="001734D9" w:rsidRPr="00F60A9B" w14:paraId="0E4B26DC" w14:textId="77777777" w:rsidTr="00102D07">
        <w:trPr>
          <w:cantSplit/>
          <w:jc w:val="center"/>
        </w:trPr>
        <w:tc>
          <w:tcPr>
            <w:tcW w:w="900" w:type="dxa"/>
            <w:tcBorders>
              <w:right w:val="single" w:sz="12" w:space="0" w:color="auto"/>
            </w:tcBorders>
            <w:vAlign w:val="center"/>
          </w:tcPr>
          <w:p w14:paraId="0568499C" w14:textId="77777777" w:rsidR="001734D9" w:rsidRPr="005B7BEE" w:rsidRDefault="001734D9" w:rsidP="001734D9">
            <w:pPr>
              <w:rPr>
                <w:sz w:val="14"/>
                <w:szCs w:val="14"/>
              </w:rPr>
            </w:pPr>
            <w:r w:rsidRPr="005B7BEE">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0CDC994D" w14:textId="6E3C7D4F"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5F1D839" w14:textId="16EF2A39" w:rsidR="001734D9" w:rsidRPr="00210DD1" w:rsidRDefault="001734D9" w:rsidP="001734D9">
            <w:pPr>
              <w:jc w:val="cente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2A00AD7E" w14:textId="054A5FE9" w:rsidR="001734D9" w:rsidRPr="00210DD1"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70C89BF" w14:textId="7D8D319A" w:rsidR="001734D9" w:rsidRPr="00210DD1"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70D4F76" w14:textId="327EBCEE" w:rsidR="001734D9" w:rsidRPr="00F60A9B" w:rsidRDefault="001734D9" w:rsidP="001734D9">
            <w:pPr>
              <w:jc w:val="center"/>
            </w:pPr>
            <w:r>
              <w:rPr>
                <w:rFonts w:ascii="Calibri" w:hAnsi="Calibri" w:cs="Calibri"/>
                <w:color w:val="000000"/>
              </w:rPr>
              <w:t>0</w:t>
            </w:r>
          </w:p>
        </w:tc>
        <w:tc>
          <w:tcPr>
            <w:tcW w:w="353" w:type="dxa"/>
            <w:tcBorders>
              <w:top w:val="nil"/>
              <w:left w:val="nil"/>
              <w:bottom w:val="nil"/>
              <w:right w:val="nil"/>
            </w:tcBorders>
          </w:tcPr>
          <w:p w14:paraId="14AE2B13" w14:textId="77777777" w:rsidR="001734D9" w:rsidRPr="00F60A9B" w:rsidRDefault="001734D9" w:rsidP="001734D9">
            <w:pPr>
              <w:jc w:val="center"/>
            </w:pPr>
          </w:p>
        </w:tc>
        <w:tc>
          <w:tcPr>
            <w:tcW w:w="930" w:type="dxa"/>
            <w:tcBorders>
              <w:left w:val="single" w:sz="4" w:space="0" w:color="auto"/>
            </w:tcBorders>
          </w:tcPr>
          <w:p w14:paraId="78B73D22" w14:textId="75C04F98" w:rsidR="001734D9" w:rsidRPr="00F60A9B" w:rsidRDefault="001734D9" w:rsidP="001734D9">
            <w:pPr>
              <w:jc w:val="center"/>
            </w:pPr>
            <w:r w:rsidRPr="005B7BEE">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28B13B43" w14:textId="63408D11"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323B4132" w14:textId="017A2F2A" w:rsidR="001734D9" w:rsidRPr="00F60A9B" w:rsidRDefault="001734D9" w:rsidP="001734D9">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2640FC6C" w14:textId="3084F50F" w:rsidR="001734D9" w:rsidRPr="00F60A9B" w:rsidRDefault="001734D9" w:rsidP="001734D9">
            <w:pPr>
              <w:jc w:val="center"/>
            </w:pPr>
            <w:r>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26208C3C" w14:textId="37A3D0AC" w:rsidR="001734D9" w:rsidRPr="00F60A9B"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9B09AD6" w14:textId="0060DC3F" w:rsidR="001734D9" w:rsidRPr="00F60A9B" w:rsidRDefault="001734D9" w:rsidP="001734D9">
            <w:pPr>
              <w:jc w:val="center"/>
            </w:pPr>
            <w:r>
              <w:rPr>
                <w:rFonts w:ascii="Calibri" w:hAnsi="Calibri" w:cs="Calibri"/>
                <w:color w:val="000000"/>
              </w:rPr>
              <w:t>0</w:t>
            </w:r>
          </w:p>
        </w:tc>
        <w:tc>
          <w:tcPr>
            <w:tcW w:w="295" w:type="dxa"/>
            <w:tcBorders>
              <w:top w:val="nil"/>
              <w:left w:val="nil"/>
              <w:bottom w:val="nil"/>
              <w:right w:val="nil"/>
            </w:tcBorders>
          </w:tcPr>
          <w:p w14:paraId="1730D0B2" w14:textId="77777777" w:rsidR="001734D9" w:rsidRPr="00F60A9B" w:rsidRDefault="001734D9" w:rsidP="001734D9">
            <w:pPr>
              <w:jc w:val="center"/>
            </w:pPr>
          </w:p>
        </w:tc>
        <w:tc>
          <w:tcPr>
            <w:tcW w:w="932" w:type="dxa"/>
            <w:tcBorders>
              <w:left w:val="single" w:sz="4" w:space="0" w:color="auto"/>
            </w:tcBorders>
          </w:tcPr>
          <w:p w14:paraId="46C3050B" w14:textId="0DE779F0" w:rsidR="001734D9" w:rsidRPr="00F60A9B" w:rsidRDefault="001734D9" w:rsidP="001734D9">
            <w:pPr>
              <w:jc w:val="center"/>
            </w:pPr>
            <w:r w:rsidRPr="005B7BEE">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42A562AB" w14:textId="6CB48BF7"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DC714A2" w14:textId="3EF201D1" w:rsidR="001734D9" w:rsidRPr="00F60A9B" w:rsidRDefault="001734D9" w:rsidP="001734D9">
            <w:pPr>
              <w:jc w:val="cente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96F74E0" w14:textId="5EF5B1C3" w:rsidR="001734D9" w:rsidRPr="00F60A9B" w:rsidRDefault="001734D9" w:rsidP="001734D9">
            <w:pPr>
              <w:jc w:val="center"/>
            </w:pPr>
            <w:r>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03E3900B" w14:textId="3A264295" w:rsidR="001734D9" w:rsidRPr="00F60A9B"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C19A13B" w14:textId="5206E250" w:rsidR="001734D9" w:rsidRPr="00F60A9B" w:rsidRDefault="001734D9" w:rsidP="001734D9">
            <w:pPr>
              <w:jc w:val="center"/>
            </w:pPr>
            <w:r>
              <w:rPr>
                <w:rFonts w:ascii="Calibri" w:hAnsi="Calibri" w:cs="Calibri"/>
                <w:color w:val="000000"/>
              </w:rPr>
              <w:t>0</w:t>
            </w:r>
          </w:p>
        </w:tc>
      </w:tr>
      <w:tr w:rsidR="001734D9" w:rsidRPr="00F60A9B" w14:paraId="1D72B95E" w14:textId="77777777" w:rsidTr="00102D07">
        <w:trPr>
          <w:cantSplit/>
          <w:jc w:val="center"/>
        </w:trPr>
        <w:tc>
          <w:tcPr>
            <w:tcW w:w="900" w:type="dxa"/>
            <w:tcBorders>
              <w:right w:val="single" w:sz="12" w:space="0" w:color="auto"/>
            </w:tcBorders>
            <w:vAlign w:val="center"/>
          </w:tcPr>
          <w:p w14:paraId="741E71E7" w14:textId="77777777" w:rsidR="001734D9" w:rsidRPr="005B7BEE" w:rsidRDefault="001734D9" w:rsidP="001734D9">
            <w:pPr>
              <w:rPr>
                <w:sz w:val="14"/>
                <w:szCs w:val="14"/>
              </w:rPr>
            </w:pPr>
            <w:r w:rsidRPr="005B7BEE">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4F049CA9" w14:textId="2A8C80E9"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7EFACF0A" w14:textId="35CC75EF" w:rsidR="001734D9" w:rsidRPr="00210DD1" w:rsidRDefault="001734D9" w:rsidP="001734D9">
            <w:pPr>
              <w:jc w:val="cente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76E5B60E" w14:textId="300FE965" w:rsidR="001734D9" w:rsidRPr="00210DD1"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65862800" w14:textId="6EFA2748" w:rsidR="001734D9" w:rsidRPr="00210DD1" w:rsidRDefault="001734D9" w:rsidP="001734D9">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66B97E03" w14:textId="6322B0DC" w:rsidR="001734D9" w:rsidRPr="00F60A9B" w:rsidRDefault="001734D9" w:rsidP="001734D9">
            <w:pPr>
              <w:jc w:val="center"/>
            </w:pPr>
            <w:r>
              <w:rPr>
                <w:rFonts w:ascii="Calibri" w:hAnsi="Calibri" w:cs="Calibri"/>
                <w:color w:val="000000"/>
              </w:rPr>
              <w:t>0</w:t>
            </w:r>
          </w:p>
        </w:tc>
        <w:tc>
          <w:tcPr>
            <w:tcW w:w="353" w:type="dxa"/>
            <w:tcBorders>
              <w:top w:val="nil"/>
              <w:left w:val="nil"/>
              <w:bottom w:val="nil"/>
              <w:right w:val="nil"/>
            </w:tcBorders>
          </w:tcPr>
          <w:p w14:paraId="75241626" w14:textId="77777777" w:rsidR="001734D9" w:rsidRPr="00F60A9B" w:rsidRDefault="001734D9" w:rsidP="001734D9">
            <w:pPr>
              <w:jc w:val="center"/>
            </w:pPr>
          </w:p>
        </w:tc>
        <w:tc>
          <w:tcPr>
            <w:tcW w:w="930" w:type="dxa"/>
            <w:tcBorders>
              <w:left w:val="single" w:sz="4" w:space="0" w:color="auto"/>
            </w:tcBorders>
          </w:tcPr>
          <w:p w14:paraId="0472A093" w14:textId="49908425" w:rsidR="001734D9" w:rsidRPr="00F60A9B" w:rsidRDefault="001734D9" w:rsidP="001734D9">
            <w:pPr>
              <w:jc w:val="center"/>
            </w:pPr>
            <w:r w:rsidRPr="005B7BEE">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3C86E91D" w14:textId="2F3E42B7"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EA9E2D7" w14:textId="4066D3B4" w:rsidR="001734D9" w:rsidRPr="00F60A9B" w:rsidRDefault="001734D9" w:rsidP="001734D9">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76701BC2" w14:textId="46C1705F" w:rsidR="001734D9" w:rsidRPr="00F60A9B"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45E5D085" w14:textId="662263BD" w:rsidR="001734D9" w:rsidRPr="00F60A9B" w:rsidRDefault="001734D9" w:rsidP="001734D9">
            <w:pPr>
              <w:jc w:val="center"/>
            </w:pPr>
            <w:r>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1C7D5FA7" w14:textId="07578FCE" w:rsidR="001734D9" w:rsidRPr="00F60A9B" w:rsidRDefault="001734D9" w:rsidP="001734D9">
            <w:pPr>
              <w:jc w:val="center"/>
            </w:pPr>
            <w:r>
              <w:rPr>
                <w:rFonts w:ascii="Calibri" w:hAnsi="Calibri" w:cs="Calibri"/>
                <w:color w:val="000000"/>
              </w:rPr>
              <w:t>0</w:t>
            </w:r>
          </w:p>
        </w:tc>
        <w:tc>
          <w:tcPr>
            <w:tcW w:w="295" w:type="dxa"/>
            <w:tcBorders>
              <w:top w:val="nil"/>
              <w:left w:val="nil"/>
              <w:bottom w:val="nil"/>
              <w:right w:val="nil"/>
            </w:tcBorders>
          </w:tcPr>
          <w:p w14:paraId="10CB3B46" w14:textId="77777777" w:rsidR="001734D9" w:rsidRPr="00F60A9B" w:rsidRDefault="001734D9" w:rsidP="001734D9">
            <w:pPr>
              <w:jc w:val="center"/>
            </w:pPr>
          </w:p>
        </w:tc>
        <w:tc>
          <w:tcPr>
            <w:tcW w:w="932" w:type="dxa"/>
            <w:tcBorders>
              <w:left w:val="single" w:sz="4" w:space="0" w:color="auto"/>
            </w:tcBorders>
          </w:tcPr>
          <w:p w14:paraId="5FADA958" w14:textId="2E6F324D" w:rsidR="001734D9" w:rsidRPr="00F60A9B" w:rsidRDefault="001734D9" w:rsidP="001734D9">
            <w:pPr>
              <w:jc w:val="center"/>
            </w:pPr>
            <w:r w:rsidRPr="005B7BEE">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244688A9" w14:textId="3C7A0841" w:rsidR="001734D9" w:rsidRPr="00F60A9B" w:rsidRDefault="001734D9" w:rsidP="001734D9">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40F58041" w14:textId="59894A65" w:rsidR="001734D9" w:rsidRPr="00F60A9B" w:rsidRDefault="001734D9" w:rsidP="001734D9">
            <w:pPr>
              <w:jc w:val="cente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254614AF" w14:textId="7E036C54" w:rsidR="001734D9" w:rsidRPr="00F60A9B" w:rsidRDefault="001734D9" w:rsidP="001734D9">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0C94339A" w14:textId="4A1B516B" w:rsidR="001734D9" w:rsidRPr="00F60A9B" w:rsidRDefault="001734D9" w:rsidP="001734D9">
            <w:pPr>
              <w:jc w:val="center"/>
            </w:pPr>
            <w:r>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2C8C4D00" w14:textId="055842FA" w:rsidR="001734D9" w:rsidRPr="00F60A9B" w:rsidRDefault="001734D9" w:rsidP="001734D9">
            <w:pPr>
              <w:jc w:val="center"/>
            </w:pPr>
            <w:r>
              <w:rPr>
                <w:rFonts w:ascii="Calibri" w:hAnsi="Calibri" w:cs="Calibri"/>
                <w:color w:val="000000"/>
              </w:rPr>
              <w:t>0</w:t>
            </w:r>
          </w:p>
        </w:tc>
      </w:tr>
      <w:tr w:rsidR="001734D9" w:rsidRPr="00F60A9B" w14:paraId="47C37911" w14:textId="77777777" w:rsidTr="00102D07">
        <w:trPr>
          <w:cantSplit/>
          <w:jc w:val="center"/>
        </w:trPr>
        <w:tc>
          <w:tcPr>
            <w:tcW w:w="900" w:type="dxa"/>
            <w:tcBorders>
              <w:right w:val="single" w:sz="12" w:space="0" w:color="auto"/>
            </w:tcBorders>
            <w:vAlign w:val="center"/>
          </w:tcPr>
          <w:p w14:paraId="553DFFBF" w14:textId="77777777" w:rsidR="001734D9" w:rsidRPr="005B7BEE" w:rsidRDefault="001734D9" w:rsidP="001734D9">
            <w:pPr>
              <w:rPr>
                <w:sz w:val="14"/>
                <w:szCs w:val="14"/>
              </w:rPr>
            </w:pPr>
            <w:r w:rsidRPr="005B7BEE">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6892FDB" w14:textId="0C0F2FD9" w:rsidR="001734D9" w:rsidRPr="00F60A9B" w:rsidRDefault="001734D9" w:rsidP="001734D9">
            <w:pPr>
              <w:jc w:val="center"/>
            </w:pPr>
            <w:r>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17FDCCDD" w14:textId="715AB183" w:rsidR="001734D9" w:rsidRPr="00210DD1" w:rsidRDefault="001734D9" w:rsidP="001734D9">
            <w:pPr>
              <w:jc w:val="center"/>
            </w:pPr>
            <w:r>
              <w:rPr>
                <w:rFonts w:ascii="Calibri" w:hAnsi="Calibri" w:cs="Calibri"/>
                <w:color w:val="000000"/>
              </w:rPr>
              <w:t>2</w:t>
            </w:r>
          </w:p>
        </w:tc>
        <w:tc>
          <w:tcPr>
            <w:tcW w:w="726" w:type="dxa"/>
            <w:tcBorders>
              <w:top w:val="nil"/>
              <w:left w:val="nil"/>
              <w:bottom w:val="single" w:sz="8" w:space="0" w:color="auto"/>
              <w:right w:val="single" w:sz="4" w:space="0" w:color="auto"/>
            </w:tcBorders>
            <w:shd w:val="clear" w:color="auto" w:fill="auto"/>
            <w:vAlign w:val="bottom"/>
          </w:tcPr>
          <w:p w14:paraId="7EA8E7C3" w14:textId="50D95E8F" w:rsidR="001734D9" w:rsidRPr="00210DD1" w:rsidRDefault="001734D9" w:rsidP="001734D9">
            <w:pPr>
              <w:jc w:val="center"/>
            </w:pPr>
            <w:r>
              <w:rPr>
                <w:rFonts w:ascii="Calibri" w:hAnsi="Calibri" w:cs="Calibri"/>
                <w:color w:val="000000"/>
              </w:rPr>
              <w:t>1</w:t>
            </w:r>
          </w:p>
        </w:tc>
        <w:tc>
          <w:tcPr>
            <w:tcW w:w="595" w:type="dxa"/>
            <w:tcBorders>
              <w:top w:val="nil"/>
              <w:left w:val="nil"/>
              <w:bottom w:val="single" w:sz="8" w:space="0" w:color="auto"/>
              <w:right w:val="single" w:sz="4" w:space="0" w:color="auto"/>
            </w:tcBorders>
            <w:shd w:val="clear" w:color="auto" w:fill="auto"/>
            <w:vAlign w:val="bottom"/>
          </w:tcPr>
          <w:p w14:paraId="30D02DDC" w14:textId="26FFB01D" w:rsidR="001734D9" w:rsidRPr="00210DD1" w:rsidRDefault="001734D9" w:rsidP="001734D9">
            <w:pPr>
              <w:jc w:val="center"/>
            </w:pPr>
            <w:r>
              <w:rPr>
                <w:rFonts w:ascii="Calibri" w:hAnsi="Calibri" w:cs="Calibri"/>
                <w:color w:val="000000"/>
              </w:rPr>
              <w:t>0</w:t>
            </w:r>
          </w:p>
        </w:tc>
        <w:tc>
          <w:tcPr>
            <w:tcW w:w="906" w:type="dxa"/>
            <w:tcBorders>
              <w:top w:val="nil"/>
              <w:left w:val="nil"/>
              <w:bottom w:val="single" w:sz="8" w:space="0" w:color="auto"/>
              <w:right w:val="single" w:sz="8" w:space="0" w:color="auto"/>
            </w:tcBorders>
            <w:shd w:val="clear" w:color="auto" w:fill="auto"/>
            <w:vAlign w:val="bottom"/>
          </w:tcPr>
          <w:p w14:paraId="3D7C1AE0" w14:textId="2E5592A1" w:rsidR="001734D9" w:rsidRPr="00F60A9B" w:rsidRDefault="001734D9" w:rsidP="001734D9">
            <w:pPr>
              <w:keepNext/>
              <w:jc w:val="center"/>
            </w:pPr>
            <w:r>
              <w:rPr>
                <w:rFonts w:ascii="Calibri" w:hAnsi="Calibri" w:cs="Calibri"/>
                <w:color w:val="000000"/>
              </w:rPr>
              <w:t>1</w:t>
            </w:r>
          </w:p>
        </w:tc>
        <w:tc>
          <w:tcPr>
            <w:tcW w:w="353" w:type="dxa"/>
            <w:tcBorders>
              <w:top w:val="nil"/>
              <w:left w:val="nil"/>
              <w:bottom w:val="nil"/>
              <w:right w:val="nil"/>
            </w:tcBorders>
          </w:tcPr>
          <w:p w14:paraId="5D1FE7ED" w14:textId="77777777" w:rsidR="001734D9" w:rsidRPr="00F60A9B" w:rsidRDefault="001734D9" w:rsidP="001734D9">
            <w:pPr>
              <w:keepNext/>
              <w:jc w:val="center"/>
            </w:pPr>
          </w:p>
        </w:tc>
        <w:tc>
          <w:tcPr>
            <w:tcW w:w="930" w:type="dxa"/>
            <w:tcBorders>
              <w:left w:val="single" w:sz="4" w:space="0" w:color="auto"/>
            </w:tcBorders>
          </w:tcPr>
          <w:p w14:paraId="2C116629" w14:textId="62626338" w:rsidR="001734D9" w:rsidRPr="00F60A9B" w:rsidRDefault="001734D9" w:rsidP="001734D9">
            <w:pPr>
              <w:keepNext/>
              <w:jc w:val="center"/>
            </w:pPr>
            <w:r w:rsidRPr="005B7BEE">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3288FE6C" w14:textId="0A24C8A9" w:rsidR="001734D9" w:rsidRPr="00F60A9B" w:rsidRDefault="001734D9" w:rsidP="001734D9">
            <w:pPr>
              <w:keepNext/>
              <w:jc w:val="center"/>
            </w:pPr>
            <w:r>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4C9552AB" w14:textId="75B8B82B" w:rsidR="001734D9" w:rsidRPr="00F60A9B" w:rsidRDefault="001734D9" w:rsidP="001734D9">
            <w:pPr>
              <w:keepNext/>
              <w:jc w:val="center"/>
            </w:pPr>
            <w:r>
              <w:rPr>
                <w:rFonts w:ascii="Calibri" w:hAnsi="Calibri" w:cs="Calibri"/>
                <w:color w:val="000000"/>
              </w:rPr>
              <w:t>0</w:t>
            </w:r>
          </w:p>
        </w:tc>
        <w:tc>
          <w:tcPr>
            <w:tcW w:w="692" w:type="dxa"/>
            <w:tcBorders>
              <w:top w:val="nil"/>
              <w:left w:val="nil"/>
              <w:bottom w:val="single" w:sz="8" w:space="0" w:color="auto"/>
              <w:right w:val="single" w:sz="4" w:space="0" w:color="auto"/>
            </w:tcBorders>
            <w:shd w:val="clear" w:color="auto" w:fill="auto"/>
            <w:vAlign w:val="bottom"/>
          </w:tcPr>
          <w:p w14:paraId="1791575F" w14:textId="69B217AC" w:rsidR="001734D9" w:rsidRPr="00F60A9B" w:rsidRDefault="001734D9" w:rsidP="001734D9">
            <w:pPr>
              <w:keepNext/>
              <w:jc w:val="center"/>
            </w:pPr>
            <w:r>
              <w:rPr>
                <w:rFonts w:ascii="Calibri" w:hAnsi="Calibri" w:cs="Calibri"/>
                <w:color w:val="000000"/>
              </w:rPr>
              <w:t>3</w:t>
            </w:r>
          </w:p>
        </w:tc>
        <w:tc>
          <w:tcPr>
            <w:tcW w:w="595" w:type="dxa"/>
            <w:tcBorders>
              <w:top w:val="nil"/>
              <w:left w:val="nil"/>
              <w:bottom w:val="single" w:sz="8" w:space="0" w:color="auto"/>
              <w:right w:val="single" w:sz="4" w:space="0" w:color="auto"/>
            </w:tcBorders>
            <w:shd w:val="clear" w:color="auto" w:fill="auto"/>
            <w:vAlign w:val="bottom"/>
          </w:tcPr>
          <w:p w14:paraId="3DD1848B" w14:textId="55B6050E" w:rsidR="001734D9" w:rsidRPr="00F60A9B" w:rsidRDefault="001734D9" w:rsidP="001734D9">
            <w:pPr>
              <w:keepNext/>
              <w:jc w:val="center"/>
            </w:pPr>
            <w:r>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29D6A8B5" w14:textId="11615E8C" w:rsidR="001734D9" w:rsidRPr="00F60A9B" w:rsidRDefault="001734D9" w:rsidP="001734D9">
            <w:pPr>
              <w:keepNext/>
              <w:jc w:val="center"/>
            </w:pPr>
            <w:r>
              <w:rPr>
                <w:rFonts w:ascii="Calibri" w:hAnsi="Calibri" w:cs="Calibri"/>
                <w:color w:val="000000"/>
              </w:rPr>
              <w:t>3</w:t>
            </w:r>
          </w:p>
        </w:tc>
        <w:tc>
          <w:tcPr>
            <w:tcW w:w="295" w:type="dxa"/>
            <w:tcBorders>
              <w:top w:val="nil"/>
              <w:left w:val="nil"/>
              <w:bottom w:val="nil"/>
              <w:right w:val="nil"/>
            </w:tcBorders>
          </w:tcPr>
          <w:p w14:paraId="2B12E3EC" w14:textId="77777777" w:rsidR="001734D9" w:rsidRPr="00F60A9B" w:rsidRDefault="001734D9" w:rsidP="001734D9">
            <w:pPr>
              <w:keepNext/>
              <w:jc w:val="center"/>
            </w:pPr>
          </w:p>
        </w:tc>
        <w:tc>
          <w:tcPr>
            <w:tcW w:w="932" w:type="dxa"/>
            <w:tcBorders>
              <w:left w:val="single" w:sz="4" w:space="0" w:color="auto"/>
            </w:tcBorders>
          </w:tcPr>
          <w:p w14:paraId="0EBEA91B" w14:textId="6F1DAAE7" w:rsidR="001734D9" w:rsidRPr="00F60A9B" w:rsidRDefault="001734D9" w:rsidP="001734D9">
            <w:pPr>
              <w:keepNext/>
              <w:jc w:val="center"/>
            </w:pPr>
            <w:r w:rsidRPr="005B7BEE">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36A3884" w14:textId="0803643E" w:rsidR="001734D9" w:rsidRPr="00F60A9B" w:rsidRDefault="001734D9" w:rsidP="001734D9">
            <w:pPr>
              <w:keepNext/>
              <w:jc w:val="center"/>
            </w:pPr>
            <w:r>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5D06F346" w14:textId="1C1388FF" w:rsidR="001734D9" w:rsidRPr="00F60A9B" w:rsidRDefault="001734D9" w:rsidP="001734D9">
            <w:pPr>
              <w:keepNext/>
              <w:jc w:val="center"/>
            </w:pPr>
            <w:r>
              <w:rPr>
                <w:rFonts w:ascii="Calibri" w:hAnsi="Calibri" w:cs="Calibri"/>
                <w:color w:val="000000"/>
              </w:rPr>
              <w:t>2</w:t>
            </w:r>
          </w:p>
        </w:tc>
        <w:tc>
          <w:tcPr>
            <w:tcW w:w="690" w:type="dxa"/>
            <w:tcBorders>
              <w:top w:val="nil"/>
              <w:left w:val="nil"/>
              <w:bottom w:val="single" w:sz="8" w:space="0" w:color="auto"/>
              <w:right w:val="single" w:sz="4" w:space="0" w:color="auto"/>
            </w:tcBorders>
            <w:shd w:val="clear" w:color="auto" w:fill="auto"/>
            <w:vAlign w:val="bottom"/>
          </w:tcPr>
          <w:p w14:paraId="6EAF9DAB" w14:textId="7A5790B6" w:rsidR="001734D9" w:rsidRPr="00F60A9B" w:rsidRDefault="001734D9" w:rsidP="001734D9">
            <w:pPr>
              <w:keepNext/>
              <w:jc w:val="center"/>
            </w:pPr>
            <w:r>
              <w:rPr>
                <w:rFonts w:ascii="Calibri" w:hAnsi="Calibri" w:cs="Calibri"/>
                <w:color w:val="000000"/>
              </w:rPr>
              <w:t>4</w:t>
            </w:r>
          </w:p>
        </w:tc>
        <w:tc>
          <w:tcPr>
            <w:tcW w:w="595" w:type="dxa"/>
            <w:tcBorders>
              <w:top w:val="nil"/>
              <w:left w:val="nil"/>
              <w:bottom w:val="single" w:sz="8" w:space="0" w:color="auto"/>
              <w:right w:val="single" w:sz="4" w:space="0" w:color="auto"/>
            </w:tcBorders>
            <w:shd w:val="clear" w:color="auto" w:fill="auto"/>
            <w:vAlign w:val="bottom"/>
          </w:tcPr>
          <w:p w14:paraId="62408FC5" w14:textId="17AFF3A5" w:rsidR="001734D9" w:rsidRPr="00F60A9B" w:rsidRDefault="001734D9" w:rsidP="001734D9">
            <w:pPr>
              <w:keepNext/>
              <w:jc w:val="center"/>
            </w:pPr>
            <w:r>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61D87313" w14:textId="53535453" w:rsidR="001734D9" w:rsidRPr="00F60A9B" w:rsidRDefault="001734D9" w:rsidP="001734D9">
            <w:pPr>
              <w:keepNext/>
              <w:jc w:val="center"/>
            </w:pPr>
            <w:r>
              <w:rPr>
                <w:rFonts w:ascii="Calibri" w:hAnsi="Calibri" w:cs="Calibri"/>
                <w:color w:val="000000"/>
              </w:rPr>
              <w:t>4</w:t>
            </w:r>
          </w:p>
        </w:tc>
      </w:tr>
    </w:tbl>
    <w:p w14:paraId="310860DC" w14:textId="114610B9" w:rsidR="00FF1816" w:rsidRDefault="00B1343F" w:rsidP="00B1343F">
      <w:pPr>
        <w:pStyle w:val="Caption"/>
        <w:keepNext/>
        <w:spacing w:before="120"/>
        <w:jc w:val="center"/>
        <w:rPr>
          <w:rFonts w:eastAsiaTheme="minorEastAsia"/>
        </w:rPr>
      </w:pPr>
      <w:bookmarkStart w:id="98" w:name="_Ref147478681"/>
      <w:r>
        <w:t xml:space="preserve">Equation </w:t>
      </w:r>
      <w:r>
        <w:fldChar w:fldCharType="begin"/>
      </w:r>
      <w:r>
        <w:instrText xml:space="preserve"> SEQ Equation \* ARABIC </w:instrText>
      </w:r>
      <w:r>
        <w:fldChar w:fldCharType="separate"/>
      </w:r>
      <w:r w:rsidR="003468AE">
        <w:rPr>
          <w:noProof/>
        </w:rPr>
        <w:t>22</w:t>
      </w:r>
      <w:r>
        <w:rPr>
          <w:noProof/>
        </w:rPr>
        <w:fldChar w:fldCharType="end"/>
      </w:r>
      <w:bookmarkEnd w:id="98"/>
    </w:p>
    <w:p w14:paraId="69FECF23" w14:textId="5F3C3BA5" w:rsidR="00B1343F" w:rsidRDefault="00B1343F" w:rsidP="00B1343F">
      <w:pPr>
        <w:pStyle w:val="ListParagraph"/>
        <w:rPr>
          <w:rFonts w:eastAsiaTheme="minorEastAsia"/>
        </w:rPr>
      </w:pPr>
    </w:p>
    <w:p w14:paraId="2D4A391A" w14:textId="26782AD6" w:rsidR="00B1343F" w:rsidRDefault="00B1343F">
      <w:pPr>
        <w:pStyle w:val="ListParagraph"/>
        <w:numPr>
          <w:ilvl w:val="1"/>
          <w:numId w:val="30"/>
        </w:numPr>
      </w:pPr>
      <w:r>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Pr>
          <w:rFonts w:eastAsiaTheme="minorEastAsia"/>
        </w:rPr>
        <w:t xml:space="preserve"> (</w:t>
      </w:r>
      <w:r w:rsidR="005D39F7">
        <w:rPr>
          <w:rFonts w:eastAsiaTheme="minorEastAsia"/>
        </w:rPr>
        <w:t>per</w:t>
      </w:r>
      <w:r w:rsidR="00AD7075">
        <w:rPr>
          <w:rFonts w:eastAsiaTheme="minorEastAsia"/>
        </w:rPr>
        <w:t xml:space="preserve"> </w:t>
      </w:r>
      <w:r w:rsidR="00AD7075">
        <w:rPr>
          <w:rFonts w:eastAsiaTheme="minorEastAsia"/>
        </w:rPr>
        <w:fldChar w:fldCharType="begin"/>
      </w:r>
      <w:r w:rsidR="00AD7075">
        <w:rPr>
          <w:rFonts w:eastAsiaTheme="minorEastAsia"/>
        </w:rPr>
        <w:instrText xml:space="preserve"> REF _Ref146702767 \h </w:instrText>
      </w:r>
      <w:r w:rsidR="00AD7075">
        <w:rPr>
          <w:rFonts w:eastAsiaTheme="minorEastAsia"/>
        </w:rPr>
      </w:r>
      <w:r w:rsidR="00AD7075">
        <w:rPr>
          <w:rFonts w:eastAsiaTheme="minorEastAsia"/>
        </w:rPr>
        <w:fldChar w:fldCharType="separate"/>
      </w:r>
      <w:r w:rsidR="00AD7075" w:rsidRPr="00F60A9B">
        <w:t xml:space="preserve">Table </w:t>
      </w:r>
      <w:r w:rsidR="00AD7075">
        <w:rPr>
          <w:noProof/>
        </w:rPr>
        <w:t>6</w:t>
      </w:r>
      <w:r w:rsidR="00AD7075">
        <w:rPr>
          <w:rFonts w:eastAsiaTheme="minorEastAsia"/>
        </w:rPr>
        <w:fldChar w:fldCharType="end"/>
      </w:r>
      <w:r w:rsidR="00AD7075">
        <w:rPr>
          <w:rFonts w:eastAsiaTheme="minorEastAsia"/>
        </w:rPr>
        <w:t xml:space="preserve"> and</w:t>
      </w:r>
      <w:r w:rsidR="005D39F7">
        <w:rPr>
          <w:rFonts w:eastAsiaTheme="minorEastAsia"/>
        </w:rPr>
        <w:t xml:space="preserve"> footnote </w:t>
      </w:r>
      <w:r w:rsidR="005D39F7">
        <w:rPr>
          <w:rFonts w:eastAsiaTheme="minorEastAsia"/>
        </w:rPr>
        <w:fldChar w:fldCharType="begin"/>
      </w:r>
      <w:r w:rsidR="005D39F7">
        <w:rPr>
          <w:rFonts w:eastAsiaTheme="minorEastAsia"/>
        </w:rPr>
        <w:instrText xml:space="preserve"> NOTEREF _Ref147412363 \h </w:instrText>
      </w:r>
      <w:r w:rsidR="005D39F7">
        <w:rPr>
          <w:rFonts w:eastAsiaTheme="minorEastAsia"/>
        </w:rPr>
      </w:r>
      <w:r w:rsidR="005D39F7">
        <w:rPr>
          <w:rFonts w:eastAsiaTheme="minorEastAsia"/>
        </w:rPr>
        <w:fldChar w:fldCharType="separate"/>
      </w:r>
      <w:r w:rsidR="005D39F7">
        <w:rPr>
          <w:rFonts w:eastAsiaTheme="minorEastAsia"/>
        </w:rPr>
        <w:t>20</w:t>
      </w:r>
      <w:r w:rsidR="005D39F7">
        <w:rPr>
          <w:rFonts w:eastAsiaTheme="minorEastAsia"/>
        </w:rPr>
        <w:fldChar w:fldCharType="end"/>
      </w:r>
      <w:r>
        <w:rPr>
          <w:rFonts w:eastAsiaTheme="minorEastAsia"/>
        </w:rPr>
        <w:t>)</w:t>
      </w:r>
      <w:r w:rsidRPr="00FF1816">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Pr>
          <w:rFonts w:eastAsiaTheme="minorEastAsia"/>
        </w:rPr>
        <w:t xml:space="preserve"> (</w:t>
      </w:r>
      <w:r w:rsidR="005D39F7">
        <w:rPr>
          <w:rFonts w:eastAsiaTheme="minorEastAsia"/>
        </w:rPr>
        <w:t xml:space="preserve">per </w:t>
      </w:r>
      <w:r>
        <w:rPr>
          <w:rFonts w:eastAsiaTheme="minorEastAsia"/>
        </w:rPr>
        <w:t xml:space="preserve">the result of </w:t>
      </w:r>
      <w:r>
        <w:rPr>
          <w:rFonts w:eastAsiaTheme="minorEastAsia"/>
        </w:rPr>
        <w:fldChar w:fldCharType="begin"/>
      </w:r>
      <w:r>
        <w:rPr>
          <w:rFonts w:eastAsiaTheme="minorEastAsia"/>
        </w:rPr>
        <w:instrText xml:space="preserve"> REF _Ref147478681 \h </w:instrText>
      </w:r>
      <w:r>
        <w:rPr>
          <w:rFonts w:eastAsiaTheme="minorEastAsia"/>
        </w:rPr>
      </w:r>
      <w:r>
        <w:rPr>
          <w:rFonts w:eastAsiaTheme="minorEastAsia"/>
        </w:rPr>
        <w:fldChar w:fldCharType="separate"/>
      </w:r>
      <w:r w:rsidR="001E41EA">
        <w:t xml:space="preserve">Equation </w:t>
      </w:r>
      <w:r w:rsidR="001E41EA">
        <w:rPr>
          <w:noProof/>
        </w:rPr>
        <w:t>22</w:t>
      </w:r>
      <w:r>
        <w:rPr>
          <w:rFonts w:eastAsiaTheme="minorEastAsia"/>
        </w:rPr>
        <w:fldChar w:fldCharType="end"/>
      </w:r>
      <w:r>
        <w:rPr>
          <w:rFonts w:eastAsiaTheme="minorEastAsia"/>
        </w:rPr>
        <w:t>) to populate</w:t>
      </w:r>
      <w:r w:rsidR="00AA7B0D">
        <w:t xml:space="preserve"> </w:t>
      </w:r>
      <w:r w:rsidR="00AA7B0D">
        <w:fldChar w:fldCharType="begin"/>
      </w:r>
      <w:r w:rsidR="00AA7B0D">
        <w:instrText xml:space="preserve"> REF _Ref147639186 \h </w:instrText>
      </w:r>
      <w:r w:rsidR="00AA7B0D">
        <w:fldChar w:fldCharType="separate"/>
      </w:r>
      <w:r w:rsidR="001E41EA">
        <w:t xml:space="preserve">Equation </w:t>
      </w:r>
      <w:r w:rsidR="001E41EA">
        <w:rPr>
          <w:noProof/>
        </w:rPr>
        <w:t>9</w:t>
      </w:r>
      <w:r w:rsidR="00AA7B0D">
        <w:fldChar w:fldCharType="end"/>
      </w:r>
      <w:r>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1343F" w:rsidRPr="00F60A9B" w14:paraId="6E2F25C4" w14:textId="77777777" w:rsidTr="001734D9">
        <w:trPr>
          <w:tblHeader/>
          <w:jc w:val="center"/>
        </w:trPr>
        <w:tc>
          <w:tcPr>
            <w:tcW w:w="0" w:type="auto"/>
            <w:tcBorders>
              <w:top w:val="nil"/>
              <w:left w:val="nil"/>
              <w:bottom w:val="single" w:sz="4" w:space="0" w:color="auto"/>
            </w:tcBorders>
            <w:vAlign w:val="center"/>
          </w:tcPr>
          <w:p w14:paraId="137D5BF0" w14:textId="77777777" w:rsidR="00B1343F" w:rsidRPr="00F60A9B" w:rsidRDefault="00000000" w:rsidP="00FD4A51">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B3CB039" w14:textId="77777777" w:rsidR="00B1343F" w:rsidRPr="005B7BEE" w:rsidRDefault="00B1343F" w:rsidP="00FD4A51">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724150B9" w14:textId="77777777" w:rsidR="00B1343F" w:rsidRPr="005B7BEE" w:rsidRDefault="00B1343F" w:rsidP="00FD4A51">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4EC2B720" w14:textId="77777777" w:rsidR="00B1343F" w:rsidRPr="005B7BEE" w:rsidRDefault="00B1343F" w:rsidP="00FD4A51">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1EF83273" w14:textId="77777777" w:rsidR="00B1343F" w:rsidRPr="005B7BEE" w:rsidRDefault="00B1343F" w:rsidP="00FD4A51">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32B427DE" w14:textId="77777777" w:rsidR="00B1343F" w:rsidRPr="005B7BEE" w:rsidRDefault="00B1343F" w:rsidP="00FD4A51">
            <w:pPr>
              <w:keepNext/>
              <w:jc w:val="center"/>
              <w:rPr>
                <w:sz w:val="14"/>
                <w:szCs w:val="14"/>
              </w:rPr>
            </w:pPr>
            <w:r w:rsidRPr="005B7BEE">
              <w:rPr>
                <w:sz w:val="14"/>
                <w:szCs w:val="14"/>
              </w:rPr>
              <w:t xml:space="preserve">Catastrophic </w:t>
            </w:r>
          </w:p>
          <w:p w14:paraId="446A2B11" w14:textId="77777777" w:rsidR="00B1343F" w:rsidRPr="005B7BEE" w:rsidRDefault="00B1343F" w:rsidP="00FD4A51">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38030697" w14:textId="77777777" w:rsidR="00B1343F" w:rsidRPr="005B7BEE" w:rsidRDefault="00B1343F" w:rsidP="00FD4A51">
            <w:pPr>
              <w:keepNext/>
              <w:jc w:val="center"/>
              <w:rPr>
                <w:sz w:val="14"/>
                <w:szCs w:val="14"/>
              </w:rPr>
            </w:pPr>
          </w:p>
        </w:tc>
        <w:tc>
          <w:tcPr>
            <w:tcW w:w="0" w:type="auto"/>
            <w:tcBorders>
              <w:top w:val="nil"/>
              <w:left w:val="nil"/>
              <w:bottom w:val="single" w:sz="12" w:space="0" w:color="auto"/>
            </w:tcBorders>
            <w:vAlign w:val="center"/>
          </w:tcPr>
          <w:p w14:paraId="67209968" w14:textId="77777777" w:rsidR="00B1343F" w:rsidRPr="005B7BEE" w:rsidRDefault="00000000" w:rsidP="00FD4A51">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8AA20B7" w14:textId="77777777" w:rsidR="00B1343F" w:rsidRPr="005B7BEE" w:rsidRDefault="00B1343F" w:rsidP="00FD4A51">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61B608EF" w14:textId="77777777" w:rsidR="00B1343F" w:rsidRPr="005B7BEE" w:rsidRDefault="00B1343F" w:rsidP="00FD4A51">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1F81ADB7" w14:textId="77777777" w:rsidR="00B1343F" w:rsidRPr="005B7BEE" w:rsidRDefault="00B1343F" w:rsidP="00FD4A51">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CF206BE" w14:textId="77777777" w:rsidR="00B1343F" w:rsidRPr="005B7BEE" w:rsidRDefault="00B1343F" w:rsidP="00FD4A51">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BF988E0" w14:textId="77777777" w:rsidR="00B1343F" w:rsidRPr="005B7BEE" w:rsidRDefault="00B1343F" w:rsidP="00FD4A51">
            <w:pPr>
              <w:keepNext/>
              <w:jc w:val="center"/>
              <w:rPr>
                <w:sz w:val="14"/>
                <w:szCs w:val="14"/>
              </w:rPr>
            </w:pPr>
            <w:r w:rsidRPr="005B7BEE">
              <w:rPr>
                <w:sz w:val="14"/>
                <w:szCs w:val="14"/>
              </w:rPr>
              <w:t xml:space="preserve">Catastrophic </w:t>
            </w:r>
          </w:p>
          <w:p w14:paraId="2F05021F" w14:textId="77777777" w:rsidR="00B1343F" w:rsidRDefault="00B1343F" w:rsidP="00FD4A51">
            <w:pPr>
              <w:keepNext/>
              <w:jc w:val="center"/>
              <w:rPr>
                <w:rFonts w:ascii="Calibri" w:eastAsia="Calibri" w:hAnsi="Calibri" w:cs="Times New Roman"/>
              </w:rPr>
            </w:pPr>
            <w:r w:rsidRPr="005B7BEE">
              <w:rPr>
                <w:sz w:val="14"/>
                <w:szCs w:val="14"/>
              </w:rPr>
              <w:t>/ Fatal</w:t>
            </w:r>
          </w:p>
        </w:tc>
      </w:tr>
      <w:tr w:rsidR="00274522" w:rsidRPr="00F60A9B" w14:paraId="6D109B04" w14:textId="77777777" w:rsidTr="005D6C74">
        <w:trPr>
          <w:jc w:val="center"/>
        </w:trPr>
        <w:tc>
          <w:tcPr>
            <w:tcW w:w="0" w:type="auto"/>
            <w:tcBorders>
              <w:top w:val="single" w:sz="4" w:space="0" w:color="auto"/>
              <w:right w:val="single" w:sz="12" w:space="0" w:color="auto"/>
            </w:tcBorders>
            <w:vAlign w:val="center"/>
          </w:tcPr>
          <w:p w14:paraId="21C8CD7C" w14:textId="77777777" w:rsidR="00274522" w:rsidRPr="005B7BEE" w:rsidRDefault="00274522" w:rsidP="00274522">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2F7FDC80" w14:textId="5A8A04FD" w:rsidR="00274522" w:rsidRPr="00F60A9B" w:rsidRDefault="00274522" w:rsidP="002745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73AD4CB" w14:textId="7DBAE876" w:rsidR="00274522" w:rsidRPr="00210DD1" w:rsidRDefault="00274522" w:rsidP="00274522">
            <w:pPr>
              <w:keepNext/>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070255BA" w14:textId="4E9951E8" w:rsidR="00274522" w:rsidRPr="00210DD1" w:rsidRDefault="00274522" w:rsidP="00274522">
            <w:pPr>
              <w:keepNext/>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7F9F7C36" w14:textId="66AB6BA4" w:rsidR="00274522" w:rsidRPr="00210DD1" w:rsidRDefault="00274522" w:rsidP="002745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46D13F0" w14:textId="0A6FFD62" w:rsidR="00274522" w:rsidRPr="00F60A9B" w:rsidRDefault="00274522" w:rsidP="00274522">
            <w:pPr>
              <w:keepNext/>
              <w:jc w:val="center"/>
            </w:pPr>
            <w:r>
              <w:rPr>
                <w:rFonts w:ascii="Calibri" w:hAnsi="Calibri" w:cs="Calibri"/>
                <w:color w:val="000000"/>
              </w:rPr>
              <w:t>1</w:t>
            </w:r>
          </w:p>
        </w:tc>
        <w:tc>
          <w:tcPr>
            <w:tcW w:w="0" w:type="auto"/>
            <w:tcBorders>
              <w:top w:val="nil"/>
              <w:left w:val="nil"/>
              <w:bottom w:val="nil"/>
              <w:right w:val="nil"/>
            </w:tcBorders>
            <w:vAlign w:val="center"/>
          </w:tcPr>
          <w:p w14:paraId="07A29C75" w14:textId="77777777" w:rsidR="00274522" w:rsidRDefault="00274522" w:rsidP="00274522">
            <w:pPr>
              <w:keepNext/>
              <w:jc w:val="center"/>
            </w:pPr>
          </w:p>
        </w:tc>
        <w:tc>
          <w:tcPr>
            <w:tcW w:w="0" w:type="auto"/>
            <w:tcBorders>
              <w:top w:val="single" w:sz="12" w:space="0" w:color="auto"/>
            </w:tcBorders>
            <w:vAlign w:val="center"/>
          </w:tcPr>
          <w:p w14:paraId="0458E5D0" w14:textId="77777777" w:rsidR="00274522" w:rsidRDefault="00274522" w:rsidP="00274522">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174FD9B" w14:textId="7ECC8AAC" w:rsidR="00274522" w:rsidRDefault="00274522" w:rsidP="00274522">
            <w:pPr>
              <w:keepNext/>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6032011E" w14:textId="41746A2A" w:rsidR="00274522" w:rsidRDefault="00274522" w:rsidP="002745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961C59E" w14:textId="36C74943" w:rsidR="00274522" w:rsidRDefault="00274522" w:rsidP="002745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6E749EA" w14:textId="7074D415" w:rsidR="00274522" w:rsidRDefault="00274522" w:rsidP="002745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20B783D" w14:textId="0AEF62EC" w:rsidR="00274522" w:rsidRDefault="00274522" w:rsidP="00274522">
            <w:pPr>
              <w:keepNext/>
              <w:jc w:val="center"/>
            </w:pPr>
            <w:r>
              <w:rPr>
                <w:rFonts w:ascii="Calibri" w:hAnsi="Calibri" w:cs="Calibri"/>
                <w:color w:val="000000"/>
              </w:rPr>
              <w:t>0</w:t>
            </w:r>
          </w:p>
        </w:tc>
      </w:tr>
      <w:tr w:rsidR="00274522" w:rsidRPr="00F60A9B" w14:paraId="5B988FB3" w14:textId="77777777" w:rsidTr="005D6C74">
        <w:trPr>
          <w:jc w:val="center"/>
        </w:trPr>
        <w:tc>
          <w:tcPr>
            <w:tcW w:w="0" w:type="auto"/>
            <w:tcBorders>
              <w:right w:val="single" w:sz="12" w:space="0" w:color="auto"/>
            </w:tcBorders>
            <w:vAlign w:val="center"/>
          </w:tcPr>
          <w:p w14:paraId="3117E702" w14:textId="77777777" w:rsidR="00274522" w:rsidRPr="005B7BEE" w:rsidRDefault="00274522" w:rsidP="00274522">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D06099F" w14:textId="2A56CB50" w:rsidR="00274522"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BAC070E" w14:textId="6A53CCB5"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978C50" w14:textId="796D0731"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DEEA603" w14:textId="03943722" w:rsidR="00274522" w:rsidRPr="00210DD1"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763AFD5" w14:textId="58C56FF0" w:rsidR="00274522" w:rsidRDefault="00274522" w:rsidP="00274522">
            <w:pPr>
              <w:keepNext/>
              <w:jc w:val="center"/>
            </w:pPr>
            <w:r>
              <w:rPr>
                <w:rFonts w:ascii="Calibri" w:hAnsi="Calibri" w:cs="Calibri"/>
                <w:color w:val="000000"/>
              </w:rPr>
              <w:t>0</w:t>
            </w:r>
          </w:p>
        </w:tc>
        <w:tc>
          <w:tcPr>
            <w:tcW w:w="0" w:type="auto"/>
            <w:tcBorders>
              <w:top w:val="nil"/>
              <w:left w:val="nil"/>
              <w:bottom w:val="nil"/>
              <w:right w:val="nil"/>
            </w:tcBorders>
            <w:vAlign w:val="center"/>
          </w:tcPr>
          <w:p w14:paraId="465D6A33" w14:textId="77777777" w:rsidR="00274522" w:rsidRDefault="00274522" w:rsidP="00274522">
            <w:pPr>
              <w:keepNext/>
              <w:jc w:val="center"/>
            </w:pPr>
          </w:p>
        </w:tc>
        <w:tc>
          <w:tcPr>
            <w:tcW w:w="0" w:type="auto"/>
            <w:vAlign w:val="center"/>
          </w:tcPr>
          <w:p w14:paraId="08C00F0E" w14:textId="77777777" w:rsidR="00274522" w:rsidRPr="005B7BEE" w:rsidRDefault="00274522" w:rsidP="00274522">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B0E4E79" w14:textId="106A053F" w:rsidR="00274522"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EE54F3F" w14:textId="1EB7AA9B"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1E152E" w14:textId="5D74F1A4"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1F51C4" w14:textId="0E05F100"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3908DB2" w14:textId="068372E2" w:rsidR="00274522" w:rsidRDefault="00274522" w:rsidP="00274522">
            <w:pPr>
              <w:keepNext/>
              <w:jc w:val="center"/>
            </w:pPr>
            <w:r>
              <w:rPr>
                <w:rFonts w:ascii="Calibri" w:hAnsi="Calibri" w:cs="Calibri"/>
                <w:color w:val="000000"/>
              </w:rPr>
              <w:t>0</w:t>
            </w:r>
          </w:p>
        </w:tc>
      </w:tr>
      <w:tr w:rsidR="00274522" w:rsidRPr="00F60A9B" w14:paraId="4546C98B" w14:textId="77777777" w:rsidTr="005D6C74">
        <w:trPr>
          <w:jc w:val="center"/>
        </w:trPr>
        <w:tc>
          <w:tcPr>
            <w:tcW w:w="0" w:type="auto"/>
            <w:tcBorders>
              <w:right w:val="single" w:sz="12" w:space="0" w:color="auto"/>
            </w:tcBorders>
            <w:vAlign w:val="center"/>
          </w:tcPr>
          <w:p w14:paraId="06CD9C0D" w14:textId="77777777" w:rsidR="00274522" w:rsidRPr="005B7BEE" w:rsidRDefault="00274522" w:rsidP="00274522">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18E83FEB" w14:textId="03B27C1B"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E8DFC2" w14:textId="1B05FA6A"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DCD099" w14:textId="599A045B"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3B3D1F" w14:textId="6F8A1D08"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5A4A94D" w14:textId="362CEC5F" w:rsidR="00274522" w:rsidRDefault="00274522" w:rsidP="00274522">
            <w:pPr>
              <w:keepNext/>
              <w:jc w:val="center"/>
            </w:pPr>
            <w:r>
              <w:rPr>
                <w:rFonts w:ascii="Calibri" w:hAnsi="Calibri" w:cs="Calibri"/>
                <w:color w:val="000000"/>
              </w:rPr>
              <w:t>1</w:t>
            </w:r>
          </w:p>
        </w:tc>
        <w:tc>
          <w:tcPr>
            <w:tcW w:w="0" w:type="auto"/>
            <w:tcBorders>
              <w:top w:val="nil"/>
              <w:left w:val="nil"/>
              <w:bottom w:val="nil"/>
              <w:right w:val="nil"/>
            </w:tcBorders>
            <w:vAlign w:val="center"/>
          </w:tcPr>
          <w:p w14:paraId="58FFBD0C" w14:textId="77777777" w:rsidR="00274522" w:rsidRDefault="00274522" w:rsidP="00274522">
            <w:pPr>
              <w:keepNext/>
              <w:jc w:val="center"/>
            </w:pPr>
          </w:p>
        </w:tc>
        <w:tc>
          <w:tcPr>
            <w:tcW w:w="0" w:type="auto"/>
            <w:vAlign w:val="center"/>
          </w:tcPr>
          <w:p w14:paraId="66045989" w14:textId="77777777" w:rsidR="00274522" w:rsidRPr="005B7BEE" w:rsidRDefault="00274522" w:rsidP="00274522">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FEBD75A" w14:textId="1B680923"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B177D5" w14:textId="28377DAD"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4EDB94" w14:textId="061C9FE4" w:rsidR="00274522" w:rsidRPr="00210DD1"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4A9543" w14:textId="01AC5F75"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84CCC4F" w14:textId="6421C399" w:rsidR="00274522" w:rsidRDefault="00274522" w:rsidP="00274522">
            <w:pPr>
              <w:keepNext/>
              <w:jc w:val="center"/>
            </w:pPr>
            <w:r>
              <w:rPr>
                <w:rFonts w:ascii="Calibri" w:hAnsi="Calibri" w:cs="Calibri"/>
                <w:color w:val="000000"/>
              </w:rPr>
              <w:t>0</w:t>
            </w:r>
          </w:p>
        </w:tc>
      </w:tr>
      <w:tr w:rsidR="00274522" w:rsidRPr="00F60A9B" w14:paraId="4711708A" w14:textId="77777777" w:rsidTr="005D6C74">
        <w:trPr>
          <w:jc w:val="center"/>
        </w:trPr>
        <w:tc>
          <w:tcPr>
            <w:tcW w:w="0" w:type="auto"/>
            <w:tcBorders>
              <w:right w:val="single" w:sz="12" w:space="0" w:color="auto"/>
            </w:tcBorders>
            <w:vAlign w:val="center"/>
          </w:tcPr>
          <w:p w14:paraId="47AEAF5D" w14:textId="77777777" w:rsidR="00274522" w:rsidRPr="005B7BEE" w:rsidRDefault="00274522" w:rsidP="00274522">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38A62C5" w14:textId="3F94456E" w:rsidR="00274522" w:rsidRPr="00F60A9B"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FBED31" w14:textId="2BE0E2C0"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75188" w14:textId="3E1CB4FA"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68FBB5A" w14:textId="36ABFE34"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3134995" w14:textId="6B62DBAC" w:rsidR="00274522" w:rsidRPr="00F60A9B" w:rsidRDefault="00274522" w:rsidP="00274522">
            <w:pPr>
              <w:keepNext/>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55FAA375" w14:textId="77777777" w:rsidR="00274522" w:rsidRDefault="00000000" w:rsidP="00274522">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0B5DA08A" w14:textId="77777777" w:rsidR="00274522" w:rsidRDefault="00274522" w:rsidP="00274522">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1E48A3A" w14:textId="53EACFAF"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97A078" w14:textId="75025A29" w:rsidR="00274522"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EF40DC8" w14:textId="05F0D852"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C1AAF8" w14:textId="4B027B19"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7C8A291" w14:textId="662FB2E7" w:rsidR="00274522" w:rsidRDefault="00274522" w:rsidP="00274522">
            <w:pPr>
              <w:keepNext/>
              <w:jc w:val="center"/>
            </w:pPr>
            <w:r>
              <w:rPr>
                <w:rFonts w:ascii="Calibri" w:hAnsi="Calibri" w:cs="Calibri"/>
                <w:color w:val="000000"/>
              </w:rPr>
              <w:t>1</w:t>
            </w:r>
          </w:p>
        </w:tc>
      </w:tr>
      <w:tr w:rsidR="00274522" w:rsidRPr="00F60A9B" w14:paraId="78ADC400" w14:textId="77777777" w:rsidTr="005D6C74">
        <w:trPr>
          <w:jc w:val="center"/>
        </w:trPr>
        <w:tc>
          <w:tcPr>
            <w:tcW w:w="0" w:type="auto"/>
            <w:tcBorders>
              <w:right w:val="single" w:sz="12" w:space="0" w:color="auto"/>
            </w:tcBorders>
            <w:vAlign w:val="center"/>
          </w:tcPr>
          <w:p w14:paraId="03172C23" w14:textId="77777777" w:rsidR="00274522" w:rsidRPr="005B7BEE" w:rsidRDefault="00274522" w:rsidP="00274522">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B04F190" w14:textId="6944A5D3" w:rsidR="00274522" w:rsidRPr="00F60A9B"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7B3F9A7" w14:textId="043273EC"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7D726E" w14:textId="76E4B228"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D9BBC0E" w14:textId="3E674C87"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A8A339D" w14:textId="56DA2ED5" w:rsidR="00274522" w:rsidRPr="00F60A9B" w:rsidRDefault="00274522" w:rsidP="00274522">
            <w:pPr>
              <w:keepNext/>
              <w:jc w:val="center"/>
            </w:pPr>
            <w:r>
              <w:rPr>
                <w:rFonts w:ascii="Calibri" w:hAnsi="Calibri" w:cs="Calibri"/>
                <w:color w:val="000000"/>
              </w:rPr>
              <w:t>0</w:t>
            </w:r>
          </w:p>
        </w:tc>
        <w:tc>
          <w:tcPr>
            <w:tcW w:w="0" w:type="auto"/>
            <w:tcBorders>
              <w:top w:val="nil"/>
              <w:left w:val="nil"/>
              <w:bottom w:val="nil"/>
              <w:right w:val="nil"/>
            </w:tcBorders>
            <w:vAlign w:val="center"/>
          </w:tcPr>
          <w:p w14:paraId="42EACF4C" w14:textId="77777777" w:rsidR="00274522" w:rsidRDefault="00274522" w:rsidP="00274522">
            <w:pPr>
              <w:keepNext/>
              <w:jc w:val="center"/>
            </w:pPr>
          </w:p>
        </w:tc>
        <w:tc>
          <w:tcPr>
            <w:tcW w:w="0" w:type="auto"/>
            <w:vAlign w:val="center"/>
          </w:tcPr>
          <w:p w14:paraId="451F7877" w14:textId="77777777" w:rsidR="00274522" w:rsidRDefault="00274522" w:rsidP="00274522">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35D4F9C" w14:textId="4B4A2EF8"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DC40079" w14:textId="1DC80311"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52CB8B" w14:textId="7C62154D" w:rsidR="00274522" w:rsidRDefault="00274522" w:rsidP="00274522">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0A576612" w14:textId="55BAE68F"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5F37A75" w14:textId="732B52C0" w:rsidR="00274522" w:rsidRDefault="00274522" w:rsidP="00274522">
            <w:pPr>
              <w:keepNext/>
              <w:jc w:val="center"/>
            </w:pPr>
            <w:r>
              <w:rPr>
                <w:rFonts w:ascii="Calibri" w:hAnsi="Calibri" w:cs="Calibri"/>
                <w:color w:val="000000"/>
              </w:rPr>
              <w:t>0</w:t>
            </w:r>
          </w:p>
        </w:tc>
      </w:tr>
      <w:tr w:rsidR="00274522" w:rsidRPr="00F60A9B" w14:paraId="00322782" w14:textId="77777777" w:rsidTr="005D6C74">
        <w:trPr>
          <w:jc w:val="center"/>
        </w:trPr>
        <w:tc>
          <w:tcPr>
            <w:tcW w:w="0" w:type="auto"/>
            <w:tcBorders>
              <w:right w:val="single" w:sz="12" w:space="0" w:color="auto"/>
            </w:tcBorders>
            <w:vAlign w:val="center"/>
          </w:tcPr>
          <w:p w14:paraId="3D452A9D" w14:textId="77777777" w:rsidR="00274522" w:rsidRPr="005B7BEE" w:rsidRDefault="00274522" w:rsidP="00274522">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1809131" w14:textId="365F4A94" w:rsidR="00274522" w:rsidRPr="00F60A9B"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C4EDB91" w14:textId="6818EAF9"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4A308D" w14:textId="2834F656"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357A20" w14:textId="79F2CE93"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9ADC7D" w14:textId="5CD81E1B" w:rsidR="00274522" w:rsidRPr="00F60A9B" w:rsidRDefault="00274522" w:rsidP="00274522">
            <w:pPr>
              <w:keepNext/>
              <w:jc w:val="center"/>
            </w:pPr>
            <w:r>
              <w:rPr>
                <w:rFonts w:ascii="Calibri" w:hAnsi="Calibri" w:cs="Calibri"/>
                <w:color w:val="000000"/>
              </w:rPr>
              <w:t>0</w:t>
            </w:r>
          </w:p>
        </w:tc>
        <w:tc>
          <w:tcPr>
            <w:tcW w:w="0" w:type="auto"/>
            <w:tcBorders>
              <w:top w:val="nil"/>
              <w:left w:val="nil"/>
              <w:bottom w:val="nil"/>
              <w:right w:val="nil"/>
            </w:tcBorders>
            <w:vAlign w:val="center"/>
          </w:tcPr>
          <w:p w14:paraId="2F099076" w14:textId="77777777" w:rsidR="00274522" w:rsidRDefault="00274522" w:rsidP="00274522">
            <w:pPr>
              <w:keepNext/>
              <w:jc w:val="center"/>
            </w:pPr>
          </w:p>
        </w:tc>
        <w:tc>
          <w:tcPr>
            <w:tcW w:w="0" w:type="auto"/>
            <w:vAlign w:val="center"/>
          </w:tcPr>
          <w:p w14:paraId="1CF7CBD2" w14:textId="77777777" w:rsidR="00274522" w:rsidRDefault="00274522" w:rsidP="00274522">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952FFAB" w14:textId="40C7F0CE"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0272ECB" w14:textId="0030AA46"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3AFC42" w14:textId="4E0BD91A" w:rsidR="00274522" w:rsidRDefault="00274522" w:rsidP="002745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EC59FF" w14:textId="5823BC0C" w:rsidR="00274522" w:rsidRDefault="00274522" w:rsidP="00274522">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D458CAA" w14:textId="76B736C1" w:rsidR="00274522" w:rsidRDefault="00274522" w:rsidP="00274522">
            <w:pPr>
              <w:keepNext/>
              <w:jc w:val="center"/>
            </w:pPr>
            <w:r>
              <w:rPr>
                <w:rFonts w:ascii="Calibri" w:hAnsi="Calibri" w:cs="Calibri"/>
                <w:color w:val="000000"/>
              </w:rPr>
              <w:t>0</w:t>
            </w:r>
          </w:p>
        </w:tc>
      </w:tr>
      <w:tr w:rsidR="00274522" w:rsidRPr="00F60A9B" w14:paraId="3994CE26" w14:textId="77777777" w:rsidTr="005D6C74">
        <w:trPr>
          <w:jc w:val="center"/>
        </w:trPr>
        <w:tc>
          <w:tcPr>
            <w:tcW w:w="0" w:type="auto"/>
            <w:tcBorders>
              <w:right w:val="single" w:sz="12" w:space="0" w:color="auto"/>
            </w:tcBorders>
            <w:vAlign w:val="center"/>
          </w:tcPr>
          <w:p w14:paraId="1F226039" w14:textId="77777777" w:rsidR="00274522" w:rsidRPr="005B7BEE" w:rsidRDefault="00274522" w:rsidP="00274522">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4D234D1" w14:textId="4C160332" w:rsidR="00274522" w:rsidRPr="00F60A9B" w:rsidRDefault="00274522" w:rsidP="002745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F40EA14" w14:textId="30C6CD9F"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4860C4ED" w14:textId="6E5DEA90"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436F92C3" w14:textId="29193AE1" w:rsidR="00274522" w:rsidRPr="00210DD1" w:rsidRDefault="00274522" w:rsidP="00274522">
            <w:pPr>
              <w:keepNext/>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2A5E1470" w14:textId="0BB07EEC" w:rsidR="00274522" w:rsidRPr="00F60A9B" w:rsidRDefault="00274522" w:rsidP="00274522">
            <w:pPr>
              <w:keepNext/>
              <w:jc w:val="center"/>
            </w:pPr>
            <w:r>
              <w:rPr>
                <w:rFonts w:ascii="Calibri" w:hAnsi="Calibri" w:cs="Calibri"/>
                <w:color w:val="000000"/>
              </w:rPr>
              <w:t>0</w:t>
            </w:r>
          </w:p>
        </w:tc>
        <w:tc>
          <w:tcPr>
            <w:tcW w:w="0" w:type="auto"/>
            <w:tcBorders>
              <w:top w:val="nil"/>
              <w:left w:val="nil"/>
              <w:bottom w:val="nil"/>
              <w:right w:val="nil"/>
            </w:tcBorders>
            <w:vAlign w:val="center"/>
          </w:tcPr>
          <w:p w14:paraId="7642DF1B" w14:textId="77777777" w:rsidR="00274522" w:rsidRDefault="00274522" w:rsidP="00274522">
            <w:pPr>
              <w:keepNext/>
              <w:jc w:val="center"/>
            </w:pPr>
          </w:p>
        </w:tc>
        <w:tc>
          <w:tcPr>
            <w:tcW w:w="0" w:type="auto"/>
            <w:vAlign w:val="center"/>
          </w:tcPr>
          <w:p w14:paraId="7E760784" w14:textId="77777777" w:rsidR="00274522" w:rsidRDefault="00274522" w:rsidP="00274522">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110B44C6" w14:textId="75ED8D57" w:rsidR="00274522" w:rsidRDefault="00274522" w:rsidP="002745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85A101B" w14:textId="7C9F506D" w:rsidR="00274522" w:rsidRDefault="00274522" w:rsidP="00274522">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3228D425" w14:textId="7518EC7E" w:rsidR="00274522" w:rsidRDefault="00274522" w:rsidP="00274522">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635F5E7D" w14:textId="19E68992" w:rsidR="00274522" w:rsidRDefault="00274522" w:rsidP="00274522">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5CB8D373" w14:textId="5A197FC0" w:rsidR="00274522" w:rsidRDefault="00274522" w:rsidP="00274522">
            <w:pPr>
              <w:keepNext/>
              <w:jc w:val="center"/>
            </w:pPr>
            <w:r>
              <w:rPr>
                <w:rFonts w:ascii="Calibri" w:hAnsi="Calibri" w:cs="Calibri"/>
                <w:color w:val="000000"/>
              </w:rPr>
              <w:t>4</w:t>
            </w:r>
          </w:p>
        </w:tc>
      </w:tr>
    </w:tbl>
    <w:p w14:paraId="2ED5481F" w14:textId="772339BA" w:rsidR="00B1343F" w:rsidRDefault="00B1343F" w:rsidP="00B1343F">
      <w:pPr>
        <w:pStyle w:val="Caption"/>
        <w:keepNext/>
        <w:spacing w:before="120"/>
        <w:jc w:val="center"/>
      </w:pPr>
      <w:bookmarkStart w:id="99" w:name="_Ref147478729"/>
      <w:r>
        <w:t xml:space="preserve">Equation </w:t>
      </w:r>
      <w:r>
        <w:fldChar w:fldCharType="begin"/>
      </w:r>
      <w:r>
        <w:instrText xml:space="preserve"> SEQ Equation \* ARABIC </w:instrText>
      </w:r>
      <w:r>
        <w:fldChar w:fldCharType="separate"/>
      </w:r>
      <w:r w:rsidR="003468AE">
        <w:rPr>
          <w:noProof/>
        </w:rPr>
        <w:t>23</w:t>
      </w:r>
      <w:r>
        <w:rPr>
          <w:noProof/>
        </w:rPr>
        <w:fldChar w:fldCharType="end"/>
      </w:r>
      <w:bookmarkEnd w:id="99"/>
    </w:p>
    <w:p w14:paraId="3BE39035" w14:textId="7B947E91" w:rsidR="00B1343F" w:rsidRPr="00B1343F" w:rsidRDefault="00B1343F" w:rsidP="00AA2310">
      <w:pPr>
        <w:spacing w:after="0" w:line="240" w:lineRule="auto"/>
        <w:rPr>
          <w:rFonts w:eastAsiaTheme="minorEastAsia"/>
        </w:rPr>
      </w:pPr>
    </w:p>
    <w:p w14:paraId="4E143F32" w14:textId="3990FFE8" w:rsidR="0020191B" w:rsidRPr="0020191B" w:rsidRDefault="00AA7B0D">
      <w:pPr>
        <w:pStyle w:val="ListParagraph"/>
        <w:numPr>
          <w:ilvl w:val="0"/>
          <w:numId w:val="30"/>
        </w:numPr>
        <w:outlineLvl w:val="2"/>
        <w:rPr>
          <w:rFonts w:eastAsiaTheme="minorEastAsia"/>
        </w:rPr>
      </w:pPr>
      <w:bookmarkStart w:id="100" w:name="_Toc156728664"/>
      <w:r>
        <w:t xml:space="preserve">Simplify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r>
        <w:rPr>
          <w:rFonts w:cstheme="minorHAnsi"/>
        </w:rPr>
        <w:fldChar w:fldCharType="end"/>
      </w:r>
      <w:r>
        <w:rPr>
          <w:rFonts w:cstheme="minorHAnsi"/>
        </w:rPr>
        <w:t xml:space="preserve"> until it is clear whether benefit exceeds risk</w:t>
      </w:r>
      <w:bookmarkEnd w:id="100"/>
    </w:p>
    <w:p w14:paraId="37219FFD" w14:textId="77777777" w:rsidR="0020191B" w:rsidRPr="0020191B" w:rsidRDefault="0020191B" w:rsidP="0020191B">
      <w:pPr>
        <w:pStyle w:val="ListParagraph"/>
        <w:rPr>
          <w:rFonts w:eastAsiaTheme="minorEastAsia"/>
        </w:rPr>
      </w:pPr>
    </w:p>
    <w:p w14:paraId="248B2FEB" w14:textId="49BE71F0" w:rsidR="00B1343F" w:rsidRPr="00FF1816" w:rsidRDefault="00B1343F">
      <w:pPr>
        <w:pStyle w:val="ListParagraph"/>
        <w:numPr>
          <w:ilvl w:val="1"/>
          <w:numId w:val="30"/>
        </w:numPr>
        <w:rPr>
          <w:rFonts w:eastAsiaTheme="minorEastAsia"/>
        </w:rPr>
      </w:pPr>
      <w:r>
        <w:rPr>
          <w:rFonts w:eastAsiaTheme="minorEastAsia"/>
        </w:rPr>
        <w:t xml:space="preserve">Use “Removing Identical </w:t>
      </w:r>
      <w:r w:rsidR="00750036">
        <w:rPr>
          <w:rFonts w:eastAsiaTheme="minorEastAsia"/>
        </w:rPr>
        <w:t>Risks</w:t>
      </w:r>
      <w:r>
        <w:rPr>
          <w:rFonts w:eastAsiaTheme="minorEastAsia"/>
        </w:rPr>
        <w:t xml:space="preserve">” to simplify </w:t>
      </w:r>
      <w:r>
        <w:rPr>
          <w:rFonts w:eastAsiaTheme="minorEastAsia"/>
        </w:rPr>
        <w:fldChar w:fldCharType="begin"/>
      </w:r>
      <w:r>
        <w:rPr>
          <w:rFonts w:eastAsiaTheme="minorEastAsia"/>
        </w:rPr>
        <w:instrText xml:space="preserve"> REF _Ref147478729 \h </w:instrText>
      </w:r>
      <w:r>
        <w:rPr>
          <w:rFonts w:eastAsiaTheme="minorEastAsia"/>
        </w:rPr>
      </w:r>
      <w:r>
        <w:rPr>
          <w:rFonts w:eastAsiaTheme="minorEastAsia"/>
        </w:rPr>
        <w:fldChar w:fldCharType="separate"/>
      </w:r>
      <w:r w:rsidR="001E41EA">
        <w:t xml:space="preserve">Equation </w:t>
      </w:r>
      <w:r w:rsidR="001E41EA">
        <w:rPr>
          <w:noProof/>
        </w:rPr>
        <w:t>23</w:t>
      </w:r>
      <w:r>
        <w:rPr>
          <w:rFonts w:eastAsiaTheme="minorEastAsia"/>
        </w:rPr>
        <w:fldChar w:fldCharType="end"/>
      </w:r>
      <w:r>
        <w:rPr>
          <w:rFonts w:eastAsiaTheme="minorEastAsia"/>
        </w:rPr>
        <w:t xml:space="preserve">: </w:t>
      </w:r>
    </w:p>
    <w:p w14:paraId="661C8EB0" w14:textId="5BA23E90" w:rsidR="003B0D56" w:rsidRDefault="003B0D56" w:rsidP="0020191B">
      <w:pPr>
        <w:ind w:left="864"/>
      </w:pPr>
      <w:r>
        <w:rPr>
          <w:rFonts w:eastAsiaTheme="minorEastAsia" w:cs="Arial"/>
        </w:rPr>
        <w:t xml:space="preserve">If you look at </w:t>
      </w:r>
      <w:r w:rsidR="00B1343F">
        <w:rPr>
          <w:rFonts w:eastAsiaTheme="minorEastAsia"/>
        </w:rPr>
        <w:fldChar w:fldCharType="begin"/>
      </w:r>
      <w:r w:rsidR="00B1343F">
        <w:rPr>
          <w:rFonts w:eastAsiaTheme="minorEastAsia"/>
        </w:rPr>
        <w:instrText xml:space="preserve"> REF _Ref147478729 \h </w:instrText>
      </w:r>
      <w:r w:rsidR="00B1343F">
        <w:rPr>
          <w:rFonts w:eastAsiaTheme="minorEastAsia"/>
        </w:rPr>
      </w:r>
      <w:r w:rsidR="00B1343F">
        <w:rPr>
          <w:rFonts w:eastAsiaTheme="minorEastAsia"/>
        </w:rPr>
        <w:fldChar w:fldCharType="separate"/>
      </w:r>
      <w:r w:rsidR="001E41EA">
        <w:t xml:space="preserve">Equation </w:t>
      </w:r>
      <w:r w:rsidR="001E41EA">
        <w:rPr>
          <w:noProof/>
        </w:rPr>
        <w:t>23</w:t>
      </w:r>
      <w:r w:rsidR="00B1343F">
        <w:rPr>
          <w:rFonts w:eastAsiaTheme="minorEastAsia"/>
        </w:rPr>
        <w:fldChar w:fldCharType="end"/>
      </w:r>
      <w:r>
        <w:t xml:space="preserve">, you can see that the cell at the junction of ‘Often’ and ‘Negligible’ has 1 risk on the left-hand side of </w:t>
      </w:r>
      <w:r w:rsidR="00B1343F">
        <w:rPr>
          <w:rFonts w:eastAsiaTheme="minorEastAsia"/>
        </w:rPr>
        <w:fldChar w:fldCharType="begin"/>
      </w:r>
      <w:r w:rsidR="00B1343F">
        <w:rPr>
          <w:rFonts w:eastAsiaTheme="minorEastAsia"/>
        </w:rPr>
        <w:instrText xml:space="preserve"> REF _Ref147478729 \h </w:instrText>
      </w:r>
      <w:r w:rsidR="00B1343F">
        <w:rPr>
          <w:rFonts w:eastAsiaTheme="minorEastAsia"/>
        </w:rPr>
      </w:r>
      <w:r w:rsidR="00B1343F">
        <w:rPr>
          <w:rFonts w:eastAsiaTheme="minorEastAsia"/>
        </w:rPr>
        <w:fldChar w:fldCharType="separate"/>
      </w:r>
      <w:r w:rsidR="001E41EA">
        <w:t xml:space="preserve">Equation </w:t>
      </w:r>
      <w:r w:rsidR="001E41EA">
        <w:rPr>
          <w:noProof/>
        </w:rPr>
        <w:t>23</w:t>
      </w:r>
      <w:r w:rsidR="00B1343F">
        <w:rPr>
          <w:rFonts w:eastAsiaTheme="minorEastAsia"/>
        </w:rPr>
        <w:fldChar w:fldCharType="end"/>
      </w:r>
      <w:r>
        <w:t xml:space="preserve"> and 1 risk on the right-hand side.  By applying “Removing Identical </w:t>
      </w:r>
      <w:r w:rsidR="00750036">
        <w:t>Risks</w:t>
      </w:r>
      <w:r>
        <w:t xml:space="preserve">” to both sides of </w:t>
      </w:r>
      <w:r w:rsidR="00B1343F">
        <w:rPr>
          <w:rFonts w:eastAsiaTheme="minorEastAsia"/>
        </w:rPr>
        <w:fldChar w:fldCharType="begin"/>
      </w:r>
      <w:r w:rsidR="00B1343F">
        <w:rPr>
          <w:rFonts w:eastAsiaTheme="minorEastAsia"/>
        </w:rPr>
        <w:instrText xml:space="preserve"> REF _Ref147478729 \h </w:instrText>
      </w:r>
      <w:r w:rsidR="00B1343F">
        <w:rPr>
          <w:rFonts w:eastAsiaTheme="minorEastAsia"/>
        </w:rPr>
      </w:r>
      <w:r w:rsidR="00B1343F">
        <w:rPr>
          <w:rFonts w:eastAsiaTheme="minorEastAsia"/>
        </w:rPr>
        <w:fldChar w:fldCharType="separate"/>
      </w:r>
      <w:r w:rsidR="001E41EA">
        <w:t xml:space="preserve">Equation </w:t>
      </w:r>
      <w:r w:rsidR="001E41EA">
        <w:rPr>
          <w:noProof/>
        </w:rPr>
        <w:t>23</w:t>
      </w:r>
      <w:r w:rsidR="00B1343F">
        <w:rPr>
          <w:rFonts w:eastAsiaTheme="minorEastAsia"/>
        </w:rPr>
        <w:fldChar w:fldCharType="end"/>
      </w:r>
      <w:r>
        <w:t xml:space="preserve">, we can remove one Often/Negligible risk from each side of </w:t>
      </w:r>
      <w:r w:rsidR="00B1343F">
        <w:rPr>
          <w:rFonts w:eastAsiaTheme="minorEastAsia"/>
        </w:rPr>
        <w:fldChar w:fldCharType="begin"/>
      </w:r>
      <w:r w:rsidR="00B1343F">
        <w:rPr>
          <w:rFonts w:eastAsiaTheme="minorEastAsia"/>
        </w:rPr>
        <w:instrText xml:space="preserve"> REF _Ref147478729 \h </w:instrText>
      </w:r>
      <w:r w:rsidR="00B1343F">
        <w:rPr>
          <w:rFonts w:eastAsiaTheme="minorEastAsia"/>
        </w:rPr>
      </w:r>
      <w:r w:rsidR="00B1343F">
        <w:rPr>
          <w:rFonts w:eastAsiaTheme="minorEastAsia"/>
        </w:rPr>
        <w:fldChar w:fldCharType="separate"/>
      </w:r>
      <w:r w:rsidR="001E41EA">
        <w:t xml:space="preserve">Equation </w:t>
      </w:r>
      <w:r w:rsidR="001E41EA">
        <w:rPr>
          <w:noProof/>
        </w:rPr>
        <w:t>23</w:t>
      </w:r>
      <w:r w:rsidR="00B1343F">
        <w:rPr>
          <w:rFonts w:eastAsiaTheme="minorEastAsia"/>
        </w:rPr>
        <w:fldChar w:fldCharType="end"/>
      </w:r>
      <w:r>
        <w:t xml:space="preserve"> without changing which side of the equation has the most risk.  Therefore, we will remove the Often/Negligible risk from both sides of </w:t>
      </w:r>
      <w:r w:rsidR="00634B2A">
        <w:rPr>
          <w:rFonts w:eastAsiaTheme="minorEastAsia"/>
        </w:rPr>
        <w:fldChar w:fldCharType="begin"/>
      </w:r>
      <w:r w:rsidR="00634B2A">
        <w:rPr>
          <w:rFonts w:eastAsiaTheme="minorEastAsia"/>
        </w:rPr>
        <w:instrText xml:space="preserve"> REF _Ref147478729 \h </w:instrText>
      </w:r>
      <w:r w:rsidR="00634B2A">
        <w:rPr>
          <w:rFonts w:eastAsiaTheme="minorEastAsia"/>
        </w:rPr>
      </w:r>
      <w:r w:rsidR="00634B2A">
        <w:rPr>
          <w:rFonts w:eastAsiaTheme="minorEastAsia"/>
        </w:rPr>
        <w:fldChar w:fldCharType="separate"/>
      </w:r>
      <w:r w:rsidR="001E41EA">
        <w:t xml:space="preserve">Equation </w:t>
      </w:r>
      <w:r w:rsidR="001E41EA">
        <w:rPr>
          <w:noProof/>
        </w:rPr>
        <w:t>23</w:t>
      </w:r>
      <w:r w:rsidR="00634B2A">
        <w:rPr>
          <w:rFonts w:eastAsiaTheme="minorEastAsia"/>
        </w:rPr>
        <w:fldChar w:fldCharType="end"/>
      </w:r>
      <w:r>
        <w:t xml:space="preserve"> by subtracting 1 from the Often/Negligible cell on each side of </w:t>
      </w:r>
      <w:r w:rsidR="00634B2A">
        <w:rPr>
          <w:rFonts w:eastAsiaTheme="minorEastAsia"/>
        </w:rPr>
        <w:fldChar w:fldCharType="begin"/>
      </w:r>
      <w:r w:rsidR="00634B2A">
        <w:rPr>
          <w:rFonts w:eastAsiaTheme="minorEastAsia"/>
        </w:rPr>
        <w:instrText xml:space="preserve"> REF _Ref147478729 \h </w:instrText>
      </w:r>
      <w:r w:rsidR="00634B2A">
        <w:rPr>
          <w:rFonts w:eastAsiaTheme="minorEastAsia"/>
        </w:rPr>
      </w:r>
      <w:r w:rsidR="00634B2A">
        <w:rPr>
          <w:rFonts w:eastAsiaTheme="minorEastAsia"/>
        </w:rPr>
        <w:fldChar w:fldCharType="separate"/>
      </w:r>
      <w:r w:rsidR="001E41EA">
        <w:t xml:space="preserve">Equation </w:t>
      </w:r>
      <w:r w:rsidR="001E41EA">
        <w:rPr>
          <w:noProof/>
        </w:rPr>
        <w:t>23</w:t>
      </w:r>
      <w:r w:rsidR="00634B2A">
        <w:rPr>
          <w:rFonts w:eastAsiaTheme="minorEastAsia"/>
        </w:rPr>
        <w:fldChar w:fldCharType="end"/>
      </w:r>
      <w:r>
        <w:t xml:space="preserve">, as is shown in </w:t>
      </w:r>
      <w:r w:rsidR="00393F06">
        <w:fldChar w:fldCharType="begin"/>
      </w:r>
      <w:r w:rsidR="00393F06">
        <w:instrText xml:space="preserve"> REF _Ref147478861 \h </w:instrText>
      </w:r>
      <w:r w:rsidR="00393F06">
        <w:fldChar w:fldCharType="separate"/>
      </w:r>
      <w:r w:rsidR="001E41EA">
        <w:t xml:space="preserve">Equation </w:t>
      </w:r>
      <w:r w:rsidR="001E41EA">
        <w:rPr>
          <w:noProof/>
        </w:rPr>
        <w:t>24</w:t>
      </w:r>
      <w:r w:rsidR="00393F06">
        <w:fldChar w:fldCharType="end"/>
      </w:r>
      <w:r w:rsidRPr="00F60A9B">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3B0D56" w:rsidRPr="00F60A9B" w14:paraId="26464D11" w14:textId="77777777" w:rsidTr="00274522">
        <w:trPr>
          <w:tblHeader/>
          <w:jc w:val="center"/>
        </w:trPr>
        <w:tc>
          <w:tcPr>
            <w:tcW w:w="0" w:type="auto"/>
            <w:tcBorders>
              <w:top w:val="nil"/>
              <w:left w:val="nil"/>
              <w:bottom w:val="single" w:sz="4" w:space="0" w:color="auto"/>
            </w:tcBorders>
            <w:vAlign w:val="center"/>
          </w:tcPr>
          <w:p w14:paraId="709AF2C4" w14:textId="77777777" w:rsidR="003B0D56" w:rsidRPr="00F60A9B" w:rsidRDefault="00000000" w:rsidP="00FD4A51">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3603A93" w14:textId="77777777" w:rsidR="003B0D56" w:rsidRPr="005B7BEE" w:rsidRDefault="003B0D56" w:rsidP="00FD4A51">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DB3C623" w14:textId="77777777" w:rsidR="003B0D56" w:rsidRPr="005B7BEE" w:rsidRDefault="003B0D56" w:rsidP="00FD4A51">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14C4F10D" w14:textId="77777777" w:rsidR="003B0D56" w:rsidRPr="005B7BEE" w:rsidRDefault="003B0D56" w:rsidP="00FD4A51">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2604C5F" w14:textId="77777777" w:rsidR="003B0D56" w:rsidRPr="005B7BEE" w:rsidRDefault="003B0D56" w:rsidP="00FD4A51">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235ED1BF" w14:textId="77777777" w:rsidR="003B0D56" w:rsidRPr="005B7BEE" w:rsidRDefault="003B0D56" w:rsidP="00FD4A51">
            <w:pPr>
              <w:jc w:val="center"/>
              <w:rPr>
                <w:sz w:val="14"/>
                <w:szCs w:val="14"/>
              </w:rPr>
            </w:pPr>
            <w:r w:rsidRPr="005B7BEE">
              <w:rPr>
                <w:sz w:val="14"/>
                <w:szCs w:val="14"/>
              </w:rPr>
              <w:t xml:space="preserve">Catastrophic </w:t>
            </w:r>
          </w:p>
          <w:p w14:paraId="07A1622F" w14:textId="77777777" w:rsidR="003B0D56" w:rsidRPr="005B7BEE" w:rsidRDefault="003B0D56" w:rsidP="00FD4A51">
            <w:pPr>
              <w:jc w:val="center"/>
              <w:rPr>
                <w:sz w:val="14"/>
                <w:szCs w:val="14"/>
              </w:rPr>
            </w:pPr>
            <w:r w:rsidRPr="005B7BEE">
              <w:rPr>
                <w:sz w:val="14"/>
                <w:szCs w:val="14"/>
              </w:rPr>
              <w:t>/ Fatal</w:t>
            </w:r>
          </w:p>
        </w:tc>
        <w:tc>
          <w:tcPr>
            <w:tcW w:w="0" w:type="auto"/>
            <w:tcBorders>
              <w:top w:val="nil"/>
              <w:left w:val="nil"/>
              <w:bottom w:val="nil"/>
              <w:right w:val="nil"/>
            </w:tcBorders>
            <w:vAlign w:val="center"/>
          </w:tcPr>
          <w:p w14:paraId="554057BA" w14:textId="77777777" w:rsidR="003B0D56" w:rsidRPr="005B7BEE" w:rsidRDefault="003B0D56" w:rsidP="00FD4A51">
            <w:pPr>
              <w:jc w:val="center"/>
              <w:rPr>
                <w:sz w:val="14"/>
                <w:szCs w:val="14"/>
              </w:rPr>
            </w:pPr>
          </w:p>
        </w:tc>
        <w:tc>
          <w:tcPr>
            <w:tcW w:w="0" w:type="auto"/>
            <w:tcBorders>
              <w:top w:val="nil"/>
              <w:left w:val="nil"/>
              <w:bottom w:val="single" w:sz="12" w:space="0" w:color="auto"/>
            </w:tcBorders>
            <w:vAlign w:val="center"/>
          </w:tcPr>
          <w:p w14:paraId="20724C52" w14:textId="77777777" w:rsidR="003B0D56" w:rsidRPr="005B7BEE" w:rsidRDefault="00000000" w:rsidP="00FD4A51">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BE69FC8" w14:textId="77777777" w:rsidR="003B0D56" w:rsidRPr="005B7BEE" w:rsidRDefault="003B0D56" w:rsidP="00FD4A51">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398CAC20" w14:textId="77777777" w:rsidR="003B0D56" w:rsidRPr="005B7BEE" w:rsidRDefault="003B0D56" w:rsidP="00FD4A51">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64B413C0" w14:textId="77777777" w:rsidR="003B0D56" w:rsidRPr="005B7BEE" w:rsidRDefault="003B0D56" w:rsidP="00FD4A51">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B669B91" w14:textId="77777777" w:rsidR="003B0D56" w:rsidRPr="005B7BEE" w:rsidRDefault="003B0D56" w:rsidP="00FD4A51">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A6AFC51" w14:textId="77777777" w:rsidR="003B0D56" w:rsidRPr="005B7BEE" w:rsidRDefault="003B0D56" w:rsidP="00FD4A51">
            <w:pPr>
              <w:jc w:val="center"/>
              <w:rPr>
                <w:sz w:val="14"/>
                <w:szCs w:val="14"/>
              </w:rPr>
            </w:pPr>
            <w:r w:rsidRPr="005B7BEE">
              <w:rPr>
                <w:sz w:val="14"/>
                <w:szCs w:val="14"/>
              </w:rPr>
              <w:t xml:space="preserve">Catastrophic </w:t>
            </w:r>
          </w:p>
          <w:p w14:paraId="555E85F8" w14:textId="77777777" w:rsidR="003B0D56" w:rsidRDefault="003B0D56" w:rsidP="00FD4A51">
            <w:pPr>
              <w:jc w:val="center"/>
              <w:rPr>
                <w:rFonts w:ascii="Calibri" w:eastAsia="Calibri" w:hAnsi="Calibri" w:cs="Times New Roman"/>
              </w:rPr>
            </w:pPr>
            <w:r w:rsidRPr="005B7BEE">
              <w:rPr>
                <w:sz w:val="14"/>
                <w:szCs w:val="14"/>
              </w:rPr>
              <w:t>/ Fatal</w:t>
            </w:r>
          </w:p>
        </w:tc>
      </w:tr>
      <w:tr w:rsidR="00274522" w:rsidRPr="00F60A9B" w14:paraId="71C8A301" w14:textId="77777777" w:rsidTr="00AB6395">
        <w:trPr>
          <w:jc w:val="center"/>
        </w:trPr>
        <w:tc>
          <w:tcPr>
            <w:tcW w:w="0" w:type="auto"/>
            <w:tcBorders>
              <w:top w:val="single" w:sz="4" w:space="0" w:color="auto"/>
              <w:right w:val="single" w:sz="12" w:space="0" w:color="auto"/>
            </w:tcBorders>
            <w:vAlign w:val="center"/>
          </w:tcPr>
          <w:p w14:paraId="72075413" w14:textId="77777777" w:rsidR="00274522" w:rsidRPr="005B7BEE" w:rsidRDefault="00274522" w:rsidP="00274522">
            <w:pPr>
              <w:rPr>
                <w:sz w:val="14"/>
                <w:szCs w:val="14"/>
              </w:rPr>
            </w:pPr>
            <w:r>
              <w:rPr>
                <w:sz w:val="14"/>
                <w:szCs w:val="14"/>
              </w:rPr>
              <w:t>Expected</w:t>
            </w:r>
          </w:p>
        </w:tc>
        <w:tc>
          <w:tcPr>
            <w:tcW w:w="0" w:type="auto"/>
            <w:tcBorders>
              <w:top w:val="single" w:sz="12" w:space="0" w:color="auto"/>
              <w:left w:val="single" w:sz="12" w:space="0" w:color="auto"/>
            </w:tcBorders>
            <w:vAlign w:val="center"/>
          </w:tcPr>
          <w:p w14:paraId="1E314102" w14:textId="77777777" w:rsidR="00274522" w:rsidRPr="00F60A9B" w:rsidRDefault="00274522" w:rsidP="00274522">
            <w:pPr>
              <w:jc w:val="center"/>
            </w:pPr>
            <w:r>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297B6FA" w14:textId="24D2E028" w:rsidR="00274522" w:rsidRPr="00210DD1" w:rsidRDefault="00274522" w:rsidP="00274522">
            <w:pPr>
              <w:jc w:val="center"/>
            </w:pPr>
            <w:r>
              <w:rPr>
                <w:rFonts w:ascii="Calibri" w:hAnsi="Calibri" w:cs="Calibri"/>
                <w:color w:val="000000"/>
              </w:rPr>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71537912" w14:textId="75A209EE" w:rsidR="00274522" w:rsidRPr="00210DD1" w:rsidRDefault="00274522" w:rsidP="00274522">
            <w:pPr>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2A58A917" w14:textId="69867793" w:rsidR="00274522" w:rsidRPr="00210DD1"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65BB372" w14:textId="0F4854AC" w:rsidR="00274522" w:rsidRPr="00F60A9B" w:rsidRDefault="00274522" w:rsidP="00274522">
            <w:pPr>
              <w:jc w:val="center"/>
            </w:pPr>
            <w:r>
              <w:rPr>
                <w:rFonts w:ascii="Calibri" w:hAnsi="Calibri" w:cs="Calibri"/>
                <w:color w:val="000000"/>
              </w:rPr>
              <w:t>1</w:t>
            </w:r>
          </w:p>
        </w:tc>
        <w:tc>
          <w:tcPr>
            <w:tcW w:w="0" w:type="auto"/>
            <w:tcBorders>
              <w:top w:val="nil"/>
              <w:left w:val="nil"/>
              <w:bottom w:val="nil"/>
              <w:right w:val="nil"/>
            </w:tcBorders>
            <w:vAlign w:val="center"/>
          </w:tcPr>
          <w:p w14:paraId="26FFD8F5" w14:textId="77777777" w:rsidR="00274522" w:rsidRDefault="00274522" w:rsidP="00274522">
            <w:pPr>
              <w:jc w:val="center"/>
            </w:pPr>
          </w:p>
        </w:tc>
        <w:tc>
          <w:tcPr>
            <w:tcW w:w="0" w:type="auto"/>
            <w:tcBorders>
              <w:top w:val="single" w:sz="12" w:space="0" w:color="auto"/>
            </w:tcBorders>
            <w:vAlign w:val="center"/>
          </w:tcPr>
          <w:p w14:paraId="4032FFDA" w14:textId="77777777" w:rsidR="00274522" w:rsidRDefault="00274522" w:rsidP="00274522">
            <w:pPr>
              <w:jc w:val="center"/>
            </w:pPr>
            <w:r>
              <w:rPr>
                <w:sz w:val="14"/>
                <w:szCs w:val="14"/>
              </w:rPr>
              <w:t>Expected</w:t>
            </w:r>
          </w:p>
        </w:tc>
        <w:tc>
          <w:tcPr>
            <w:tcW w:w="0" w:type="auto"/>
            <w:tcBorders>
              <w:top w:val="single" w:sz="12" w:space="0" w:color="auto"/>
            </w:tcBorders>
            <w:vAlign w:val="center"/>
          </w:tcPr>
          <w:p w14:paraId="7F8E27A8" w14:textId="1052B2A0" w:rsidR="00274522" w:rsidRDefault="00274522" w:rsidP="00274522">
            <w:pPr>
              <w:jc w:val="center"/>
            </w:pPr>
            <w:r>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B945397" w14:textId="38896C8E" w:rsid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4578F90" w14:textId="7092B83B" w:rsid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E2B5AA2" w14:textId="28546813" w:rsid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040D218" w14:textId="5753BCD3" w:rsidR="00274522" w:rsidRDefault="00274522" w:rsidP="00274522">
            <w:pPr>
              <w:jc w:val="center"/>
            </w:pPr>
            <w:r>
              <w:rPr>
                <w:rFonts w:ascii="Calibri" w:hAnsi="Calibri" w:cs="Calibri"/>
                <w:color w:val="000000"/>
              </w:rPr>
              <w:t>0</w:t>
            </w:r>
          </w:p>
        </w:tc>
      </w:tr>
      <w:tr w:rsidR="00274522" w:rsidRPr="00F60A9B" w14:paraId="53A482F6" w14:textId="77777777" w:rsidTr="00274522">
        <w:trPr>
          <w:jc w:val="center"/>
        </w:trPr>
        <w:tc>
          <w:tcPr>
            <w:tcW w:w="0" w:type="auto"/>
            <w:tcBorders>
              <w:right w:val="single" w:sz="12" w:space="0" w:color="auto"/>
            </w:tcBorders>
            <w:vAlign w:val="center"/>
          </w:tcPr>
          <w:p w14:paraId="392257B9" w14:textId="77777777" w:rsidR="00274522" w:rsidRPr="005B7BEE" w:rsidRDefault="00274522" w:rsidP="00274522">
            <w:pPr>
              <w:rPr>
                <w:sz w:val="14"/>
                <w:szCs w:val="14"/>
              </w:rPr>
            </w:pPr>
            <w:r>
              <w:rPr>
                <w:sz w:val="14"/>
                <w:szCs w:val="14"/>
              </w:rPr>
              <w:t>Often</w:t>
            </w:r>
          </w:p>
        </w:tc>
        <w:tc>
          <w:tcPr>
            <w:tcW w:w="0" w:type="auto"/>
            <w:tcBorders>
              <w:left w:val="single" w:sz="12" w:space="0" w:color="auto"/>
            </w:tcBorders>
            <w:shd w:val="clear" w:color="auto" w:fill="D5DCE4" w:themeFill="text2" w:themeFillTint="33"/>
            <w:vAlign w:val="center"/>
          </w:tcPr>
          <w:p w14:paraId="758C1F82" w14:textId="449B7F71" w:rsidR="00274522" w:rsidRDefault="00274522" w:rsidP="00274522">
            <w:pPr>
              <w:jc w:val="center"/>
            </w:pPr>
            <w:r>
              <w:t>(1-1= 0)</w:t>
            </w:r>
          </w:p>
        </w:tc>
        <w:tc>
          <w:tcPr>
            <w:tcW w:w="0" w:type="auto"/>
            <w:tcBorders>
              <w:top w:val="nil"/>
              <w:left w:val="single" w:sz="4" w:space="0" w:color="auto"/>
              <w:bottom w:val="single" w:sz="4" w:space="0" w:color="auto"/>
              <w:right w:val="single" w:sz="4" w:space="0" w:color="auto"/>
            </w:tcBorders>
            <w:shd w:val="clear" w:color="auto" w:fill="auto"/>
            <w:vAlign w:val="center"/>
          </w:tcPr>
          <w:p w14:paraId="1BA1AD1F" w14:textId="3E99876E"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247B5182" w14:textId="06571948"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29F2BA80" w14:textId="5B869FE1" w:rsidR="00274522" w:rsidRPr="00210DD1"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center"/>
          </w:tcPr>
          <w:p w14:paraId="5FE984E8" w14:textId="47CE8ABC" w:rsidR="00274522" w:rsidRDefault="00274522" w:rsidP="00274522">
            <w:pPr>
              <w:jc w:val="center"/>
            </w:pPr>
            <w:r>
              <w:rPr>
                <w:rFonts w:ascii="Calibri" w:hAnsi="Calibri" w:cs="Calibri"/>
                <w:color w:val="000000"/>
              </w:rPr>
              <w:t>0</w:t>
            </w:r>
          </w:p>
        </w:tc>
        <w:tc>
          <w:tcPr>
            <w:tcW w:w="0" w:type="auto"/>
            <w:tcBorders>
              <w:top w:val="nil"/>
              <w:left w:val="nil"/>
              <w:bottom w:val="nil"/>
              <w:right w:val="nil"/>
            </w:tcBorders>
            <w:vAlign w:val="center"/>
          </w:tcPr>
          <w:p w14:paraId="1C9CB244" w14:textId="77777777" w:rsidR="00274522" w:rsidRDefault="00274522" w:rsidP="00274522">
            <w:pPr>
              <w:jc w:val="center"/>
            </w:pPr>
          </w:p>
        </w:tc>
        <w:tc>
          <w:tcPr>
            <w:tcW w:w="0" w:type="auto"/>
            <w:vAlign w:val="center"/>
          </w:tcPr>
          <w:p w14:paraId="426FA974" w14:textId="77777777" w:rsidR="00274522" w:rsidRPr="005B7BEE" w:rsidRDefault="00274522" w:rsidP="00274522">
            <w:pPr>
              <w:jc w:val="center"/>
              <w:rPr>
                <w:sz w:val="14"/>
                <w:szCs w:val="14"/>
              </w:rPr>
            </w:pPr>
            <w:r>
              <w:rPr>
                <w:sz w:val="14"/>
                <w:szCs w:val="14"/>
              </w:rPr>
              <w:t>Often</w:t>
            </w:r>
          </w:p>
        </w:tc>
        <w:tc>
          <w:tcPr>
            <w:tcW w:w="0" w:type="auto"/>
            <w:shd w:val="clear" w:color="auto" w:fill="D5DCE4" w:themeFill="text2" w:themeFillTint="33"/>
            <w:vAlign w:val="center"/>
          </w:tcPr>
          <w:p w14:paraId="50C49D4F" w14:textId="0A9567F1" w:rsidR="00274522" w:rsidRDefault="00274522" w:rsidP="00274522">
            <w:pPr>
              <w:jc w:val="center"/>
            </w:pPr>
            <w:r>
              <w:t>(1-1= 0)</w:t>
            </w:r>
          </w:p>
        </w:tc>
        <w:tc>
          <w:tcPr>
            <w:tcW w:w="0" w:type="auto"/>
            <w:tcBorders>
              <w:top w:val="nil"/>
              <w:left w:val="single" w:sz="4" w:space="0" w:color="auto"/>
              <w:bottom w:val="single" w:sz="4" w:space="0" w:color="auto"/>
              <w:right w:val="single" w:sz="4" w:space="0" w:color="auto"/>
            </w:tcBorders>
            <w:shd w:val="clear" w:color="auto" w:fill="auto"/>
            <w:vAlign w:val="center"/>
          </w:tcPr>
          <w:p w14:paraId="21D3B532" w14:textId="3B2EC11C"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1DAFC4E" w14:textId="71A3DBFE"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90E1E91" w14:textId="29283412"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center"/>
          </w:tcPr>
          <w:p w14:paraId="0DB77F8A" w14:textId="070E46FA" w:rsidR="00274522" w:rsidRDefault="00274522" w:rsidP="00274522">
            <w:pPr>
              <w:jc w:val="center"/>
            </w:pPr>
            <w:r>
              <w:rPr>
                <w:rFonts w:ascii="Calibri" w:hAnsi="Calibri" w:cs="Calibri"/>
                <w:color w:val="000000"/>
              </w:rPr>
              <w:t>0</w:t>
            </w:r>
          </w:p>
        </w:tc>
      </w:tr>
      <w:tr w:rsidR="00274522" w:rsidRPr="00F60A9B" w14:paraId="2C5AE190" w14:textId="77777777" w:rsidTr="00EC6D26">
        <w:trPr>
          <w:jc w:val="center"/>
        </w:trPr>
        <w:tc>
          <w:tcPr>
            <w:tcW w:w="0" w:type="auto"/>
            <w:tcBorders>
              <w:right w:val="single" w:sz="12" w:space="0" w:color="auto"/>
            </w:tcBorders>
            <w:vAlign w:val="center"/>
          </w:tcPr>
          <w:p w14:paraId="6940E930" w14:textId="77777777" w:rsidR="00274522" w:rsidRPr="005B7BEE" w:rsidRDefault="00274522" w:rsidP="00274522">
            <w:pPr>
              <w:rPr>
                <w:sz w:val="14"/>
                <w:szCs w:val="14"/>
              </w:rPr>
            </w:pPr>
            <w:r w:rsidRPr="005B7BEE">
              <w:rPr>
                <w:sz w:val="14"/>
                <w:szCs w:val="14"/>
              </w:rPr>
              <w:t>Frequent</w:t>
            </w:r>
          </w:p>
        </w:tc>
        <w:tc>
          <w:tcPr>
            <w:tcW w:w="0" w:type="auto"/>
            <w:tcBorders>
              <w:left w:val="single" w:sz="12" w:space="0" w:color="auto"/>
            </w:tcBorders>
            <w:vAlign w:val="center"/>
          </w:tcPr>
          <w:p w14:paraId="7A3EBDC3"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5402CE2F" w14:textId="659E5938"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AACD418" w14:textId="319ADD27"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51493A" w14:textId="5F32CDDC"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0730BDE" w14:textId="7AC90FBE" w:rsidR="00274522" w:rsidRDefault="00274522" w:rsidP="00274522">
            <w:pPr>
              <w:jc w:val="center"/>
            </w:pPr>
            <w:r>
              <w:rPr>
                <w:rFonts w:ascii="Calibri" w:hAnsi="Calibri" w:cs="Calibri"/>
                <w:color w:val="000000"/>
              </w:rPr>
              <w:t>1</w:t>
            </w:r>
          </w:p>
        </w:tc>
        <w:tc>
          <w:tcPr>
            <w:tcW w:w="0" w:type="auto"/>
            <w:tcBorders>
              <w:top w:val="nil"/>
              <w:left w:val="nil"/>
              <w:bottom w:val="nil"/>
              <w:right w:val="nil"/>
            </w:tcBorders>
            <w:vAlign w:val="center"/>
          </w:tcPr>
          <w:p w14:paraId="589AF64C" w14:textId="77777777" w:rsidR="00274522" w:rsidRDefault="00274522" w:rsidP="00274522">
            <w:pPr>
              <w:jc w:val="center"/>
            </w:pPr>
          </w:p>
        </w:tc>
        <w:tc>
          <w:tcPr>
            <w:tcW w:w="0" w:type="auto"/>
            <w:vAlign w:val="center"/>
          </w:tcPr>
          <w:p w14:paraId="4BE7B9B8" w14:textId="77777777" w:rsidR="00274522" w:rsidRPr="005B7BEE" w:rsidRDefault="00274522" w:rsidP="00274522">
            <w:pPr>
              <w:jc w:val="center"/>
              <w:rPr>
                <w:sz w:val="14"/>
                <w:szCs w:val="14"/>
              </w:rPr>
            </w:pPr>
            <w:r w:rsidRPr="005B7BEE">
              <w:rPr>
                <w:sz w:val="14"/>
                <w:szCs w:val="14"/>
              </w:rPr>
              <w:t>Frequent</w:t>
            </w:r>
          </w:p>
        </w:tc>
        <w:tc>
          <w:tcPr>
            <w:tcW w:w="0" w:type="auto"/>
            <w:vAlign w:val="center"/>
          </w:tcPr>
          <w:p w14:paraId="13CCB3AB"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2F156936" w14:textId="3E28397F"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71F809" w14:textId="3544841C" w:rsidR="00274522" w:rsidRPr="00210DD1"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6454CAF" w14:textId="59E7C00C"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B9BA021" w14:textId="0F8378E1" w:rsidR="00274522" w:rsidRDefault="00274522" w:rsidP="00274522">
            <w:pPr>
              <w:jc w:val="center"/>
            </w:pPr>
            <w:r>
              <w:rPr>
                <w:rFonts w:ascii="Calibri" w:hAnsi="Calibri" w:cs="Calibri"/>
                <w:color w:val="000000"/>
              </w:rPr>
              <w:t>0</w:t>
            </w:r>
          </w:p>
        </w:tc>
      </w:tr>
      <w:tr w:rsidR="00274522" w:rsidRPr="00F60A9B" w14:paraId="5FD1A463" w14:textId="77777777" w:rsidTr="00EC6D26">
        <w:trPr>
          <w:jc w:val="center"/>
        </w:trPr>
        <w:tc>
          <w:tcPr>
            <w:tcW w:w="0" w:type="auto"/>
            <w:tcBorders>
              <w:right w:val="single" w:sz="12" w:space="0" w:color="auto"/>
            </w:tcBorders>
            <w:vAlign w:val="center"/>
          </w:tcPr>
          <w:p w14:paraId="358C2768" w14:textId="77777777" w:rsidR="00274522" w:rsidRPr="005B7BEE" w:rsidRDefault="00274522" w:rsidP="00274522">
            <w:pPr>
              <w:rPr>
                <w:sz w:val="14"/>
                <w:szCs w:val="14"/>
              </w:rPr>
            </w:pPr>
            <w:r w:rsidRPr="005B7BEE">
              <w:rPr>
                <w:sz w:val="14"/>
                <w:szCs w:val="14"/>
              </w:rPr>
              <w:t>Probable</w:t>
            </w:r>
          </w:p>
        </w:tc>
        <w:tc>
          <w:tcPr>
            <w:tcW w:w="0" w:type="auto"/>
            <w:tcBorders>
              <w:left w:val="single" w:sz="12" w:space="0" w:color="auto"/>
            </w:tcBorders>
            <w:vAlign w:val="center"/>
          </w:tcPr>
          <w:p w14:paraId="5CD08F4E" w14:textId="77777777" w:rsidR="00274522" w:rsidRPr="00F60A9B"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8168AF6" w14:textId="282C3457"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DDE13A" w14:textId="43E5D6DF"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2162A17" w14:textId="01509954"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597AC9" w14:textId="64A0A601" w:rsidR="00274522" w:rsidRPr="00F60A9B" w:rsidRDefault="00274522" w:rsidP="00274522">
            <w:pPr>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3EC86755" w14:textId="5879039B" w:rsidR="00274522" w:rsidRDefault="00000000" w:rsidP="00274522">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2930FA87" w14:textId="77777777" w:rsidR="00274522" w:rsidRDefault="00274522" w:rsidP="00274522">
            <w:pPr>
              <w:jc w:val="center"/>
            </w:pPr>
            <w:r w:rsidRPr="005B7BEE">
              <w:rPr>
                <w:sz w:val="14"/>
                <w:szCs w:val="14"/>
              </w:rPr>
              <w:t>Probable</w:t>
            </w:r>
          </w:p>
        </w:tc>
        <w:tc>
          <w:tcPr>
            <w:tcW w:w="0" w:type="auto"/>
            <w:vAlign w:val="center"/>
          </w:tcPr>
          <w:p w14:paraId="5707CDEE"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617408D6" w14:textId="24A80686" w:rsidR="00274522"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B83F0BB" w14:textId="271693E1"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B6FA7E" w14:textId="6A3095D4"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9B49555" w14:textId="045316D8" w:rsidR="00274522" w:rsidRDefault="00274522" w:rsidP="00274522">
            <w:pPr>
              <w:jc w:val="center"/>
            </w:pPr>
            <w:r>
              <w:rPr>
                <w:rFonts w:ascii="Calibri" w:hAnsi="Calibri" w:cs="Calibri"/>
                <w:color w:val="000000"/>
              </w:rPr>
              <w:t>0</w:t>
            </w:r>
          </w:p>
        </w:tc>
      </w:tr>
      <w:tr w:rsidR="00274522" w:rsidRPr="00F60A9B" w14:paraId="523FD28C" w14:textId="77777777" w:rsidTr="00EC6D26">
        <w:trPr>
          <w:jc w:val="center"/>
        </w:trPr>
        <w:tc>
          <w:tcPr>
            <w:tcW w:w="0" w:type="auto"/>
            <w:tcBorders>
              <w:right w:val="single" w:sz="12" w:space="0" w:color="auto"/>
            </w:tcBorders>
            <w:vAlign w:val="center"/>
          </w:tcPr>
          <w:p w14:paraId="089C40E3" w14:textId="77777777" w:rsidR="00274522" w:rsidRPr="005B7BEE" w:rsidRDefault="00274522" w:rsidP="00274522">
            <w:pPr>
              <w:rPr>
                <w:sz w:val="14"/>
                <w:szCs w:val="14"/>
              </w:rPr>
            </w:pPr>
            <w:r w:rsidRPr="005B7BEE">
              <w:rPr>
                <w:sz w:val="14"/>
                <w:szCs w:val="14"/>
              </w:rPr>
              <w:t>Occasional</w:t>
            </w:r>
          </w:p>
        </w:tc>
        <w:tc>
          <w:tcPr>
            <w:tcW w:w="0" w:type="auto"/>
            <w:tcBorders>
              <w:left w:val="single" w:sz="12" w:space="0" w:color="auto"/>
            </w:tcBorders>
            <w:vAlign w:val="center"/>
          </w:tcPr>
          <w:p w14:paraId="6D71EC8D" w14:textId="77777777" w:rsidR="00274522" w:rsidRPr="00F60A9B"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68CBDE1" w14:textId="5761F5B6"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5D46DE" w14:textId="2A0BD2EF"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5747C3B" w14:textId="1DFDAAFA"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CEA525" w14:textId="1C3917BC" w:rsidR="00274522" w:rsidRPr="00F60A9B" w:rsidRDefault="00274522" w:rsidP="00274522">
            <w:pPr>
              <w:jc w:val="center"/>
            </w:pPr>
            <w:r>
              <w:rPr>
                <w:rFonts w:ascii="Calibri" w:hAnsi="Calibri" w:cs="Calibri"/>
                <w:color w:val="000000"/>
              </w:rPr>
              <w:t>0</w:t>
            </w:r>
          </w:p>
        </w:tc>
        <w:tc>
          <w:tcPr>
            <w:tcW w:w="0" w:type="auto"/>
            <w:tcBorders>
              <w:top w:val="nil"/>
              <w:left w:val="nil"/>
              <w:bottom w:val="nil"/>
              <w:right w:val="nil"/>
            </w:tcBorders>
            <w:vAlign w:val="center"/>
          </w:tcPr>
          <w:p w14:paraId="22A261BF" w14:textId="77777777" w:rsidR="00274522" w:rsidRDefault="00274522" w:rsidP="00274522">
            <w:pPr>
              <w:jc w:val="center"/>
            </w:pPr>
          </w:p>
        </w:tc>
        <w:tc>
          <w:tcPr>
            <w:tcW w:w="0" w:type="auto"/>
            <w:vAlign w:val="center"/>
          </w:tcPr>
          <w:p w14:paraId="4A8CA60A" w14:textId="77777777" w:rsidR="00274522" w:rsidRDefault="00274522" w:rsidP="00274522">
            <w:pPr>
              <w:jc w:val="center"/>
            </w:pPr>
            <w:r w:rsidRPr="005B7BEE">
              <w:rPr>
                <w:sz w:val="14"/>
                <w:szCs w:val="14"/>
              </w:rPr>
              <w:t>Occasional</w:t>
            </w:r>
          </w:p>
        </w:tc>
        <w:tc>
          <w:tcPr>
            <w:tcW w:w="0" w:type="auto"/>
            <w:vAlign w:val="center"/>
          </w:tcPr>
          <w:p w14:paraId="10CABCAE"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CB51A07" w14:textId="52BE5B02"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B46EEF" w14:textId="4685979F" w:rsidR="00274522" w:rsidRDefault="00274522" w:rsidP="00274522">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710B258" w14:textId="101EDDA8"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696CCE9" w14:textId="6D4D5D76" w:rsidR="00274522" w:rsidRDefault="00274522" w:rsidP="00274522">
            <w:pPr>
              <w:jc w:val="center"/>
            </w:pPr>
            <w:r>
              <w:rPr>
                <w:rFonts w:ascii="Calibri" w:hAnsi="Calibri" w:cs="Calibri"/>
                <w:color w:val="000000"/>
              </w:rPr>
              <w:t>0</w:t>
            </w:r>
          </w:p>
        </w:tc>
      </w:tr>
      <w:tr w:rsidR="00274522" w:rsidRPr="00F60A9B" w14:paraId="73AF9DB9" w14:textId="77777777" w:rsidTr="00EC6D26">
        <w:trPr>
          <w:jc w:val="center"/>
        </w:trPr>
        <w:tc>
          <w:tcPr>
            <w:tcW w:w="0" w:type="auto"/>
            <w:tcBorders>
              <w:right w:val="single" w:sz="12" w:space="0" w:color="auto"/>
            </w:tcBorders>
            <w:vAlign w:val="center"/>
          </w:tcPr>
          <w:p w14:paraId="757D1EC5" w14:textId="77777777" w:rsidR="00274522" w:rsidRPr="005B7BEE" w:rsidRDefault="00274522" w:rsidP="00274522">
            <w:pPr>
              <w:rPr>
                <w:sz w:val="14"/>
                <w:szCs w:val="14"/>
              </w:rPr>
            </w:pPr>
            <w:r w:rsidRPr="005B7BEE">
              <w:rPr>
                <w:sz w:val="14"/>
                <w:szCs w:val="14"/>
              </w:rPr>
              <w:t>Remote</w:t>
            </w:r>
          </w:p>
        </w:tc>
        <w:tc>
          <w:tcPr>
            <w:tcW w:w="0" w:type="auto"/>
            <w:tcBorders>
              <w:left w:val="single" w:sz="12" w:space="0" w:color="auto"/>
            </w:tcBorders>
            <w:vAlign w:val="center"/>
          </w:tcPr>
          <w:p w14:paraId="5C126A92" w14:textId="77777777" w:rsidR="00274522" w:rsidRPr="00F60A9B"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98F3862" w14:textId="02FCA352"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672DD2C" w14:textId="212CD4BC"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9BA518" w14:textId="5DC512B7"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11967D5" w14:textId="03FD7399" w:rsidR="00274522" w:rsidRPr="00F60A9B" w:rsidRDefault="00274522" w:rsidP="00274522">
            <w:pPr>
              <w:jc w:val="center"/>
            </w:pPr>
            <w:r>
              <w:rPr>
                <w:rFonts w:ascii="Calibri" w:hAnsi="Calibri" w:cs="Calibri"/>
                <w:color w:val="000000"/>
              </w:rPr>
              <w:t>0</w:t>
            </w:r>
          </w:p>
        </w:tc>
        <w:tc>
          <w:tcPr>
            <w:tcW w:w="0" w:type="auto"/>
            <w:tcBorders>
              <w:top w:val="nil"/>
              <w:left w:val="nil"/>
              <w:bottom w:val="nil"/>
              <w:right w:val="nil"/>
            </w:tcBorders>
            <w:vAlign w:val="center"/>
          </w:tcPr>
          <w:p w14:paraId="66B10F3F" w14:textId="77777777" w:rsidR="00274522" w:rsidRDefault="00274522" w:rsidP="00274522">
            <w:pPr>
              <w:jc w:val="center"/>
            </w:pPr>
          </w:p>
        </w:tc>
        <w:tc>
          <w:tcPr>
            <w:tcW w:w="0" w:type="auto"/>
            <w:vAlign w:val="center"/>
          </w:tcPr>
          <w:p w14:paraId="31A2DEEC" w14:textId="77777777" w:rsidR="00274522" w:rsidRDefault="00274522" w:rsidP="00274522">
            <w:pPr>
              <w:jc w:val="center"/>
            </w:pPr>
            <w:r w:rsidRPr="005B7BEE">
              <w:rPr>
                <w:sz w:val="14"/>
                <w:szCs w:val="14"/>
              </w:rPr>
              <w:t>Remote</w:t>
            </w:r>
          </w:p>
        </w:tc>
        <w:tc>
          <w:tcPr>
            <w:tcW w:w="0" w:type="auto"/>
            <w:vAlign w:val="center"/>
          </w:tcPr>
          <w:p w14:paraId="504EC0F3"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784D1379" w14:textId="55AD1B40"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F10A0F" w14:textId="7F9F8F76"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1BBA18" w14:textId="3485243C" w:rsidR="00274522"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BBED9A0" w14:textId="14BF7685" w:rsidR="00274522" w:rsidRDefault="00274522" w:rsidP="00274522">
            <w:pPr>
              <w:jc w:val="center"/>
            </w:pPr>
            <w:r>
              <w:rPr>
                <w:rFonts w:ascii="Calibri" w:hAnsi="Calibri" w:cs="Calibri"/>
                <w:color w:val="000000"/>
              </w:rPr>
              <w:t>0</w:t>
            </w:r>
          </w:p>
        </w:tc>
      </w:tr>
      <w:tr w:rsidR="00274522" w:rsidRPr="00F60A9B" w14:paraId="30DAE2D2" w14:textId="77777777" w:rsidTr="00EC6D26">
        <w:trPr>
          <w:jc w:val="center"/>
        </w:trPr>
        <w:tc>
          <w:tcPr>
            <w:tcW w:w="0" w:type="auto"/>
            <w:tcBorders>
              <w:right w:val="single" w:sz="12" w:space="0" w:color="auto"/>
            </w:tcBorders>
            <w:vAlign w:val="center"/>
          </w:tcPr>
          <w:p w14:paraId="3342B0CD" w14:textId="77777777" w:rsidR="00274522" w:rsidRPr="005B7BEE" w:rsidRDefault="00274522" w:rsidP="00274522">
            <w:pPr>
              <w:rPr>
                <w:sz w:val="14"/>
                <w:szCs w:val="14"/>
              </w:rPr>
            </w:pPr>
            <w:r w:rsidRPr="005B7BEE">
              <w:rPr>
                <w:sz w:val="14"/>
                <w:szCs w:val="14"/>
              </w:rPr>
              <w:t>Improbable</w:t>
            </w:r>
          </w:p>
        </w:tc>
        <w:tc>
          <w:tcPr>
            <w:tcW w:w="0" w:type="auto"/>
            <w:tcBorders>
              <w:left w:val="single" w:sz="12" w:space="0" w:color="auto"/>
            </w:tcBorders>
            <w:vAlign w:val="center"/>
          </w:tcPr>
          <w:p w14:paraId="20858636" w14:textId="77777777" w:rsidR="00274522" w:rsidRPr="00F60A9B" w:rsidRDefault="00274522" w:rsidP="00274522">
            <w:pPr>
              <w:jc w:val="center"/>
            </w:pPr>
            <w:r>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3D7A8203" w14:textId="4B6B748A" w:rsidR="00274522" w:rsidRPr="00210DD1" w:rsidRDefault="00274522" w:rsidP="00274522">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FDA7001" w14:textId="070D90E9" w:rsidR="00274522" w:rsidRPr="00210DD1" w:rsidRDefault="00274522" w:rsidP="00274522">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A0791B6" w14:textId="0A51E6BB" w:rsidR="00274522" w:rsidRPr="00210DD1" w:rsidRDefault="00274522" w:rsidP="00274522">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2F6DA133" w14:textId="2E8223F1" w:rsidR="00274522" w:rsidRPr="00F60A9B" w:rsidRDefault="00274522" w:rsidP="00274522">
            <w:pPr>
              <w:keepNext/>
              <w:jc w:val="center"/>
            </w:pPr>
            <w:r>
              <w:rPr>
                <w:rFonts w:ascii="Calibri" w:hAnsi="Calibri" w:cs="Calibri"/>
                <w:color w:val="000000"/>
              </w:rPr>
              <w:t>0</w:t>
            </w:r>
          </w:p>
        </w:tc>
        <w:tc>
          <w:tcPr>
            <w:tcW w:w="0" w:type="auto"/>
            <w:tcBorders>
              <w:top w:val="nil"/>
              <w:left w:val="nil"/>
              <w:bottom w:val="nil"/>
              <w:right w:val="nil"/>
            </w:tcBorders>
            <w:vAlign w:val="center"/>
          </w:tcPr>
          <w:p w14:paraId="1BCDF034" w14:textId="77777777" w:rsidR="00274522" w:rsidRDefault="00274522" w:rsidP="00274522">
            <w:pPr>
              <w:keepNext/>
              <w:jc w:val="center"/>
            </w:pPr>
          </w:p>
        </w:tc>
        <w:tc>
          <w:tcPr>
            <w:tcW w:w="0" w:type="auto"/>
            <w:vAlign w:val="center"/>
          </w:tcPr>
          <w:p w14:paraId="4684CA17" w14:textId="77777777" w:rsidR="00274522" w:rsidRDefault="00274522" w:rsidP="00274522">
            <w:pPr>
              <w:keepNext/>
              <w:jc w:val="center"/>
            </w:pPr>
            <w:r w:rsidRPr="005B7BEE">
              <w:rPr>
                <w:sz w:val="14"/>
                <w:szCs w:val="14"/>
              </w:rPr>
              <w:t>Improbable</w:t>
            </w:r>
          </w:p>
        </w:tc>
        <w:tc>
          <w:tcPr>
            <w:tcW w:w="0" w:type="auto"/>
            <w:vAlign w:val="center"/>
          </w:tcPr>
          <w:p w14:paraId="6F49ADF8" w14:textId="18EEF8EB" w:rsidR="00274522" w:rsidRDefault="00274522" w:rsidP="00274522">
            <w:pPr>
              <w:keepNext/>
              <w:jc w:val="center"/>
            </w:pPr>
            <w:r>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78A3E639" w14:textId="7B99E935" w:rsidR="00274522" w:rsidRDefault="00274522" w:rsidP="00274522">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42C3FE89" w14:textId="130C04DB" w:rsidR="00274522" w:rsidRDefault="00274522" w:rsidP="00274522">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7408A1E9" w14:textId="0C0BFC32" w:rsidR="00274522" w:rsidRDefault="00274522" w:rsidP="00274522">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0A38672D" w14:textId="427B36A8" w:rsidR="00274522" w:rsidRDefault="00274522" w:rsidP="00274522">
            <w:pPr>
              <w:keepNext/>
              <w:jc w:val="center"/>
            </w:pPr>
            <w:r>
              <w:rPr>
                <w:rFonts w:ascii="Calibri" w:hAnsi="Calibri" w:cs="Calibri"/>
                <w:color w:val="000000"/>
              </w:rPr>
              <w:t>4</w:t>
            </w:r>
          </w:p>
        </w:tc>
      </w:tr>
    </w:tbl>
    <w:p w14:paraId="583C51FA" w14:textId="3BFD3A0A" w:rsidR="003B0D56" w:rsidRDefault="003B0D56" w:rsidP="003B0D56">
      <w:pPr>
        <w:pStyle w:val="Caption"/>
        <w:keepNext/>
        <w:spacing w:before="120"/>
        <w:jc w:val="center"/>
      </w:pPr>
      <w:bookmarkStart w:id="101" w:name="_Ref147478861"/>
      <w:r>
        <w:t xml:space="preserve">Equation </w:t>
      </w:r>
      <w:r>
        <w:fldChar w:fldCharType="begin"/>
      </w:r>
      <w:r>
        <w:instrText xml:space="preserve"> SEQ Equation \* ARABIC </w:instrText>
      </w:r>
      <w:r>
        <w:fldChar w:fldCharType="separate"/>
      </w:r>
      <w:r w:rsidR="003468AE">
        <w:rPr>
          <w:noProof/>
        </w:rPr>
        <w:t>24</w:t>
      </w:r>
      <w:r>
        <w:rPr>
          <w:noProof/>
        </w:rPr>
        <w:fldChar w:fldCharType="end"/>
      </w:r>
      <w:bookmarkEnd w:id="101"/>
    </w:p>
    <w:p w14:paraId="513E8260" w14:textId="2297038E" w:rsidR="003B0D56" w:rsidRDefault="0020191B" w:rsidP="0020191B">
      <w:pPr>
        <w:ind w:left="864"/>
        <w:rPr>
          <w:rFonts w:cstheme="minorHAnsi"/>
        </w:rPr>
      </w:pPr>
      <w:r>
        <w:rPr>
          <w:rFonts w:cstheme="minorHAnsi"/>
        </w:rPr>
        <w:t xml:space="preserve">Careful examination of </w:t>
      </w:r>
      <w:r>
        <w:rPr>
          <w:rFonts w:cstheme="minorHAnsi"/>
        </w:rPr>
        <w:fldChar w:fldCharType="begin"/>
      </w:r>
      <w:r>
        <w:rPr>
          <w:rFonts w:cstheme="minorHAnsi"/>
        </w:rPr>
        <w:instrText xml:space="preserve"> REF _Ref147478861 \h </w:instrText>
      </w:r>
      <w:r>
        <w:rPr>
          <w:rFonts w:cstheme="minorHAnsi"/>
        </w:rPr>
      </w:r>
      <w:r>
        <w:rPr>
          <w:rFonts w:cstheme="minorHAnsi"/>
        </w:rPr>
        <w:fldChar w:fldCharType="separate"/>
      </w:r>
      <w:r w:rsidR="001E41EA">
        <w:t xml:space="preserve">Equation </w:t>
      </w:r>
      <w:r w:rsidR="001E41EA">
        <w:rPr>
          <w:noProof/>
        </w:rPr>
        <w:t>24</w:t>
      </w:r>
      <w:r>
        <w:rPr>
          <w:rFonts w:cstheme="minorHAnsi"/>
        </w:rPr>
        <w:fldChar w:fldCharType="end"/>
      </w:r>
      <w:r>
        <w:rPr>
          <w:rFonts w:cstheme="minorHAnsi"/>
        </w:rPr>
        <w:t xml:space="preserve"> shows there are no additional opportunities to simplify the equation with the “Removing Identical </w:t>
      </w:r>
      <w:r w:rsidR="00750036">
        <w:rPr>
          <w:rFonts w:cstheme="minorHAnsi"/>
        </w:rPr>
        <w:t>Risks</w:t>
      </w:r>
      <w:r>
        <w:rPr>
          <w:rFonts w:cstheme="minorHAnsi"/>
        </w:rPr>
        <w:t xml:space="preserve">” rule of ‘Risk Algebra’.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20191B" w:rsidRPr="00F60A9B" w14:paraId="39D4E5EC" w14:textId="77777777" w:rsidTr="00274522">
        <w:trPr>
          <w:tblHeader/>
          <w:jc w:val="center"/>
        </w:trPr>
        <w:tc>
          <w:tcPr>
            <w:tcW w:w="0" w:type="auto"/>
            <w:tcBorders>
              <w:top w:val="nil"/>
              <w:left w:val="nil"/>
              <w:bottom w:val="single" w:sz="4" w:space="0" w:color="auto"/>
            </w:tcBorders>
            <w:vAlign w:val="center"/>
          </w:tcPr>
          <w:p w14:paraId="1ABC6440" w14:textId="77777777" w:rsidR="0020191B" w:rsidRPr="00F60A9B" w:rsidRDefault="00000000" w:rsidP="00FD4A51">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85EA671" w14:textId="77777777" w:rsidR="0020191B" w:rsidRPr="00274522" w:rsidRDefault="0020191B" w:rsidP="00FD4A51">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722429EB" w14:textId="77777777" w:rsidR="0020191B" w:rsidRPr="00274522" w:rsidRDefault="0020191B" w:rsidP="00FD4A51">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706919A6" w14:textId="77777777" w:rsidR="0020191B" w:rsidRPr="00274522" w:rsidRDefault="0020191B" w:rsidP="00FD4A51">
            <w:pPr>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0B09EA1F" w14:textId="77777777" w:rsidR="0020191B" w:rsidRPr="00274522" w:rsidRDefault="0020191B" w:rsidP="00FD4A51">
            <w:pPr>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166761A2" w14:textId="77777777" w:rsidR="0020191B" w:rsidRPr="00274522" w:rsidRDefault="0020191B" w:rsidP="00FD4A51">
            <w:pPr>
              <w:jc w:val="center"/>
              <w:rPr>
                <w:sz w:val="14"/>
                <w:szCs w:val="14"/>
              </w:rPr>
            </w:pPr>
            <w:r w:rsidRPr="00274522">
              <w:rPr>
                <w:sz w:val="14"/>
                <w:szCs w:val="14"/>
              </w:rPr>
              <w:t xml:space="preserve">Catastrophic </w:t>
            </w:r>
          </w:p>
          <w:p w14:paraId="17194A70" w14:textId="77777777" w:rsidR="0020191B" w:rsidRPr="00274522" w:rsidRDefault="0020191B" w:rsidP="00FD4A51">
            <w:pPr>
              <w:jc w:val="center"/>
              <w:rPr>
                <w:sz w:val="14"/>
                <w:szCs w:val="14"/>
              </w:rPr>
            </w:pPr>
            <w:r w:rsidRPr="00274522">
              <w:rPr>
                <w:sz w:val="14"/>
                <w:szCs w:val="14"/>
              </w:rPr>
              <w:t>/ Fatal</w:t>
            </w:r>
          </w:p>
        </w:tc>
        <w:tc>
          <w:tcPr>
            <w:tcW w:w="0" w:type="auto"/>
            <w:tcBorders>
              <w:top w:val="nil"/>
              <w:left w:val="nil"/>
              <w:bottom w:val="nil"/>
              <w:right w:val="nil"/>
            </w:tcBorders>
            <w:vAlign w:val="center"/>
          </w:tcPr>
          <w:p w14:paraId="40496236" w14:textId="77777777" w:rsidR="0020191B" w:rsidRPr="00274522" w:rsidRDefault="0020191B" w:rsidP="00FD4A51">
            <w:pPr>
              <w:jc w:val="center"/>
              <w:rPr>
                <w:sz w:val="14"/>
                <w:szCs w:val="14"/>
              </w:rPr>
            </w:pPr>
          </w:p>
        </w:tc>
        <w:tc>
          <w:tcPr>
            <w:tcW w:w="0" w:type="auto"/>
            <w:tcBorders>
              <w:top w:val="nil"/>
              <w:left w:val="nil"/>
              <w:bottom w:val="single" w:sz="12" w:space="0" w:color="auto"/>
            </w:tcBorders>
            <w:vAlign w:val="center"/>
          </w:tcPr>
          <w:p w14:paraId="5A497BF2" w14:textId="77777777" w:rsidR="0020191B" w:rsidRPr="00274522" w:rsidRDefault="00000000" w:rsidP="00FD4A51">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024D3F2" w14:textId="77777777" w:rsidR="0020191B" w:rsidRPr="00274522" w:rsidRDefault="0020191B" w:rsidP="00FD4A51">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2FE3CD5F" w14:textId="77777777" w:rsidR="0020191B" w:rsidRPr="00274522" w:rsidRDefault="0020191B" w:rsidP="00FD4A51">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514A82E9" w14:textId="77777777" w:rsidR="0020191B" w:rsidRPr="005B7BEE" w:rsidRDefault="0020191B" w:rsidP="00FD4A51">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328D16D6" w14:textId="77777777" w:rsidR="0020191B" w:rsidRPr="005B7BEE" w:rsidRDefault="0020191B" w:rsidP="00FD4A51">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9B1E2B0" w14:textId="77777777" w:rsidR="0020191B" w:rsidRPr="005B7BEE" w:rsidRDefault="0020191B" w:rsidP="00FD4A51">
            <w:pPr>
              <w:jc w:val="center"/>
              <w:rPr>
                <w:sz w:val="14"/>
                <w:szCs w:val="14"/>
              </w:rPr>
            </w:pPr>
            <w:r w:rsidRPr="005B7BEE">
              <w:rPr>
                <w:sz w:val="14"/>
                <w:szCs w:val="14"/>
              </w:rPr>
              <w:t xml:space="preserve">Catastrophic </w:t>
            </w:r>
          </w:p>
          <w:p w14:paraId="685256B2" w14:textId="77777777" w:rsidR="0020191B" w:rsidRDefault="0020191B" w:rsidP="00FD4A51">
            <w:pPr>
              <w:jc w:val="center"/>
              <w:rPr>
                <w:rFonts w:ascii="Calibri" w:eastAsia="Calibri" w:hAnsi="Calibri" w:cs="Times New Roman"/>
              </w:rPr>
            </w:pPr>
            <w:r w:rsidRPr="005B7BEE">
              <w:rPr>
                <w:sz w:val="14"/>
                <w:szCs w:val="14"/>
              </w:rPr>
              <w:t>/ Fatal</w:t>
            </w:r>
          </w:p>
        </w:tc>
      </w:tr>
      <w:tr w:rsidR="00274522" w:rsidRPr="00F60A9B" w14:paraId="3453F554" w14:textId="77777777" w:rsidTr="00274522">
        <w:trPr>
          <w:jc w:val="center"/>
        </w:trPr>
        <w:tc>
          <w:tcPr>
            <w:tcW w:w="0" w:type="auto"/>
            <w:tcBorders>
              <w:top w:val="single" w:sz="4" w:space="0" w:color="auto"/>
              <w:right w:val="single" w:sz="12" w:space="0" w:color="auto"/>
            </w:tcBorders>
            <w:vAlign w:val="center"/>
          </w:tcPr>
          <w:p w14:paraId="378560DB" w14:textId="77777777" w:rsidR="00274522" w:rsidRPr="005B7BEE" w:rsidRDefault="00274522" w:rsidP="00274522">
            <w:pPr>
              <w:rPr>
                <w:sz w:val="14"/>
                <w:szCs w:val="14"/>
              </w:rPr>
            </w:pPr>
            <w:r>
              <w:rPr>
                <w:sz w:val="14"/>
                <w:szCs w:val="14"/>
              </w:rPr>
              <w:t>Expected</w:t>
            </w:r>
          </w:p>
        </w:tc>
        <w:tc>
          <w:tcPr>
            <w:tcW w:w="0" w:type="auto"/>
            <w:tcBorders>
              <w:top w:val="single" w:sz="12" w:space="0" w:color="auto"/>
              <w:left w:val="single" w:sz="12" w:space="0" w:color="auto"/>
            </w:tcBorders>
            <w:shd w:val="clear" w:color="auto" w:fill="auto"/>
            <w:vAlign w:val="center"/>
          </w:tcPr>
          <w:p w14:paraId="12E18E66" w14:textId="77777777" w:rsidR="00274522" w:rsidRPr="00274522" w:rsidRDefault="00274522" w:rsidP="00274522">
            <w:pPr>
              <w:jc w:val="center"/>
            </w:pPr>
            <w:r w:rsidRPr="00274522">
              <w:t>0</w:t>
            </w:r>
          </w:p>
        </w:tc>
        <w:tc>
          <w:tcPr>
            <w:tcW w:w="0" w:type="auto"/>
            <w:tcBorders>
              <w:top w:val="single" w:sz="12" w:space="0" w:color="auto"/>
            </w:tcBorders>
            <w:vAlign w:val="center"/>
          </w:tcPr>
          <w:p w14:paraId="7220948D" w14:textId="77777777" w:rsidR="00274522" w:rsidRPr="00274522" w:rsidRDefault="00274522" w:rsidP="00274522">
            <w:pPr>
              <w:jc w:val="center"/>
            </w:pPr>
            <w:r w:rsidRPr="00274522">
              <w:t>1</w:t>
            </w:r>
          </w:p>
        </w:tc>
        <w:tc>
          <w:tcPr>
            <w:tcW w:w="0" w:type="auto"/>
            <w:tcBorders>
              <w:top w:val="single" w:sz="12" w:space="0" w:color="auto"/>
            </w:tcBorders>
            <w:vAlign w:val="center"/>
          </w:tcPr>
          <w:p w14:paraId="66EFD996" w14:textId="77777777" w:rsidR="00274522" w:rsidRPr="00274522" w:rsidRDefault="00274522" w:rsidP="00274522">
            <w:pPr>
              <w:jc w:val="center"/>
            </w:pPr>
            <w:r w:rsidRPr="00274522">
              <w:t>2</w:t>
            </w:r>
          </w:p>
        </w:tc>
        <w:tc>
          <w:tcPr>
            <w:tcW w:w="0" w:type="auto"/>
            <w:tcBorders>
              <w:top w:val="single" w:sz="12" w:space="0" w:color="auto"/>
            </w:tcBorders>
            <w:vAlign w:val="center"/>
          </w:tcPr>
          <w:p w14:paraId="1A7B2CC8" w14:textId="77777777" w:rsidR="00274522" w:rsidRPr="00274522" w:rsidRDefault="00274522" w:rsidP="00274522">
            <w:pPr>
              <w:jc w:val="center"/>
            </w:pPr>
            <w:r w:rsidRPr="00274522">
              <w:t>0</w:t>
            </w:r>
          </w:p>
        </w:tc>
        <w:tc>
          <w:tcPr>
            <w:tcW w:w="0" w:type="auto"/>
            <w:tcBorders>
              <w:top w:val="single" w:sz="12" w:space="0" w:color="auto"/>
            </w:tcBorders>
            <w:vAlign w:val="center"/>
          </w:tcPr>
          <w:p w14:paraId="0271AD9B" w14:textId="77777777" w:rsidR="00274522" w:rsidRPr="00274522" w:rsidRDefault="00274522" w:rsidP="00274522">
            <w:pPr>
              <w:jc w:val="center"/>
            </w:pPr>
            <w:r w:rsidRPr="00274522">
              <w:t>1</w:t>
            </w:r>
          </w:p>
        </w:tc>
        <w:tc>
          <w:tcPr>
            <w:tcW w:w="0" w:type="auto"/>
            <w:tcBorders>
              <w:top w:val="nil"/>
              <w:left w:val="nil"/>
              <w:bottom w:val="nil"/>
              <w:right w:val="nil"/>
            </w:tcBorders>
            <w:vAlign w:val="center"/>
          </w:tcPr>
          <w:p w14:paraId="5E1DC895" w14:textId="77777777" w:rsidR="00274522" w:rsidRPr="00274522" w:rsidRDefault="00274522" w:rsidP="00274522">
            <w:pPr>
              <w:jc w:val="center"/>
            </w:pPr>
          </w:p>
        </w:tc>
        <w:tc>
          <w:tcPr>
            <w:tcW w:w="0" w:type="auto"/>
            <w:tcBorders>
              <w:top w:val="single" w:sz="12" w:space="0" w:color="auto"/>
            </w:tcBorders>
            <w:vAlign w:val="center"/>
          </w:tcPr>
          <w:p w14:paraId="37A4DB97" w14:textId="77777777" w:rsidR="00274522" w:rsidRPr="00274522" w:rsidRDefault="00274522" w:rsidP="00274522">
            <w:pPr>
              <w:jc w:val="center"/>
            </w:pPr>
            <w:r w:rsidRPr="00274522">
              <w:rPr>
                <w:sz w:val="14"/>
                <w:szCs w:val="14"/>
              </w:rPr>
              <w:t>Expected</w:t>
            </w:r>
          </w:p>
        </w:tc>
        <w:tc>
          <w:tcPr>
            <w:tcW w:w="0" w:type="auto"/>
            <w:tcBorders>
              <w:top w:val="single" w:sz="12" w:space="0" w:color="auto"/>
            </w:tcBorders>
            <w:shd w:val="clear" w:color="auto" w:fill="auto"/>
            <w:vAlign w:val="center"/>
          </w:tcPr>
          <w:p w14:paraId="4A890A12" w14:textId="75C43E32" w:rsidR="00274522" w:rsidRPr="00274522" w:rsidRDefault="00274522" w:rsidP="00274522">
            <w:pPr>
              <w:jc w:val="center"/>
            </w:pPr>
            <w:r>
              <w:t>1</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65422B1" w14:textId="6BE374B0" w:rsidR="00274522" w:rsidRP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4C3A515" w14:textId="7F6CC44D" w:rsid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0A10D17" w14:textId="2BD8BE94" w:rsidR="00274522" w:rsidRDefault="00274522" w:rsidP="00274522">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D800BDC" w14:textId="59869114" w:rsidR="00274522" w:rsidRDefault="00274522" w:rsidP="00274522">
            <w:pPr>
              <w:jc w:val="center"/>
            </w:pPr>
            <w:r>
              <w:rPr>
                <w:rFonts w:ascii="Calibri" w:hAnsi="Calibri" w:cs="Calibri"/>
                <w:color w:val="000000"/>
              </w:rPr>
              <w:t>0</w:t>
            </w:r>
          </w:p>
        </w:tc>
      </w:tr>
      <w:tr w:rsidR="00274522" w:rsidRPr="00F60A9B" w14:paraId="678884C9" w14:textId="77777777" w:rsidTr="00274522">
        <w:trPr>
          <w:jc w:val="center"/>
        </w:trPr>
        <w:tc>
          <w:tcPr>
            <w:tcW w:w="0" w:type="auto"/>
            <w:tcBorders>
              <w:right w:val="single" w:sz="12" w:space="0" w:color="auto"/>
            </w:tcBorders>
            <w:vAlign w:val="center"/>
          </w:tcPr>
          <w:p w14:paraId="13F75B7B" w14:textId="77777777" w:rsidR="00274522" w:rsidRPr="005B7BEE" w:rsidRDefault="00274522" w:rsidP="00274522">
            <w:pPr>
              <w:rPr>
                <w:sz w:val="14"/>
                <w:szCs w:val="14"/>
              </w:rPr>
            </w:pPr>
            <w:r>
              <w:rPr>
                <w:sz w:val="14"/>
                <w:szCs w:val="14"/>
              </w:rPr>
              <w:t>Often</w:t>
            </w:r>
          </w:p>
        </w:tc>
        <w:tc>
          <w:tcPr>
            <w:tcW w:w="0" w:type="auto"/>
            <w:tcBorders>
              <w:left w:val="single" w:sz="12" w:space="0" w:color="auto"/>
            </w:tcBorders>
            <w:shd w:val="clear" w:color="auto" w:fill="BFBFBF" w:themeFill="background1" w:themeFillShade="BF"/>
            <w:vAlign w:val="center"/>
          </w:tcPr>
          <w:p w14:paraId="137D277F" w14:textId="29C62B35" w:rsidR="00274522" w:rsidRDefault="00274522" w:rsidP="00274522">
            <w:pPr>
              <w:jc w:val="center"/>
            </w:pPr>
            <w:r>
              <w:t>0</w:t>
            </w:r>
          </w:p>
        </w:tc>
        <w:tc>
          <w:tcPr>
            <w:tcW w:w="0" w:type="auto"/>
            <w:vAlign w:val="center"/>
          </w:tcPr>
          <w:p w14:paraId="4360F440" w14:textId="77777777" w:rsidR="00274522" w:rsidRPr="00210DD1" w:rsidRDefault="00274522" w:rsidP="00274522">
            <w:pPr>
              <w:jc w:val="center"/>
            </w:pPr>
            <w:r>
              <w:t>0</w:t>
            </w:r>
          </w:p>
        </w:tc>
        <w:tc>
          <w:tcPr>
            <w:tcW w:w="0" w:type="auto"/>
            <w:vAlign w:val="center"/>
          </w:tcPr>
          <w:p w14:paraId="79870F2B" w14:textId="77777777" w:rsidR="00274522" w:rsidRPr="00210DD1" w:rsidRDefault="00274522" w:rsidP="00274522">
            <w:pPr>
              <w:jc w:val="center"/>
            </w:pPr>
            <w:r>
              <w:t>0</w:t>
            </w:r>
          </w:p>
        </w:tc>
        <w:tc>
          <w:tcPr>
            <w:tcW w:w="0" w:type="auto"/>
            <w:vAlign w:val="center"/>
          </w:tcPr>
          <w:p w14:paraId="4D5DCF3E" w14:textId="77777777" w:rsidR="00274522" w:rsidRPr="00210DD1" w:rsidRDefault="00274522" w:rsidP="00274522">
            <w:pPr>
              <w:jc w:val="center"/>
            </w:pPr>
            <w:r>
              <w:t>1</w:t>
            </w:r>
          </w:p>
        </w:tc>
        <w:tc>
          <w:tcPr>
            <w:tcW w:w="0" w:type="auto"/>
            <w:vAlign w:val="center"/>
          </w:tcPr>
          <w:p w14:paraId="22E469A6" w14:textId="77777777" w:rsidR="00274522" w:rsidRDefault="00274522" w:rsidP="00274522">
            <w:pPr>
              <w:jc w:val="center"/>
            </w:pPr>
            <w:r>
              <w:t>0</w:t>
            </w:r>
          </w:p>
        </w:tc>
        <w:tc>
          <w:tcPr>
            <w:tcW w:w="0" w:type="auto"/>
            <w:tcBorders>
              <w:top w:val="nil"/>
              <w:left w:val="nil"/>
              <w:bottom w:val="nil"/>
              <w:right w:val="nil"/>
            </w:tcBorders>
            <w:vAlign w:val="center"/>
          </w:tcPr>
          <w:p w14:paraId="2FB5BCE7" w14:textId="77777777" w:rsidR="00274522" w:rsidRDefault="00274522" w:rsidP="00274522">
            <w:pPr>
              <w:jc w:val="center"/>
            </w:pPr>
          </w:p>
        </w:tc>
        <w:tc>
          <w:tcPr>
            <w:tcW w:w="0" w:type="auto"/>
            <w:vAlign w:val="center"/>
          </w:tcPr>
          <w:p w14:paraId="6A1CBB37" w14:textId="77777777" w:rsidR="00274522" w:rsidRPr="005B7BEE" w:rsidRDefault="00274522" w:rsidP="00274522">
            <w:pPr>
              <w:jc w:val="center"/>
              <w:rPr>
                <w:sz w:val="14"/>
                <w:szCs w:val="14"/>
              </w:rPr>
            </w:pPr>
            <w:r>
              <w:rPr>
                <w:sz w:val="14"/>
                <w:szCs w:val="14"/>
              </w:rPr>
              <w:t>Often</w:t>
            </w:r>
          </w:p>
        </w:tc>
        <w:tc>
          <w:tcPr>
            <w:tcW w:w="0" w:type="auto"/>
            <w:shd w:val="clear" w:color="auto" w:fill="BFBFBF" w:themeFill="background1" w:themeFillShade="BF"/>
            <w:vAlign w:val="center"/>
          </w:tcPr>
          <w:p w14:paraId="6B4709E4" w14:textId="0D864425"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1F5352A9" w14:textId="204CC27D"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5A96E759" w14:textId="650D4267"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center"/>
          </w:tcPr>
          <w:p w14:paraId="6A3625E2" w14:textId="0966C959"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center"/>
          </w:tcPr>
          <w:p w14:paraId="3A58462A" w14:textId="0A1EA340" w:rsidR="00274522" w:rsidRDefault="00274522" w:rsidP="00274522">
            <w:pPr>
              <w:jc w:val="center"/>
            </w:pPr>
            <w:r>
              <w:rPr>
                <w:rFonts w:ascii="Calibri" w:hAnsi="Calibri" w:cs="Calibri"/>
                <w:color w:val="000000"/>
              </w:rPr>
              <w:t>0</w:t>
            </w:r>
          </w:p>
        </w:tc>
      </w:tr>
      <w:tr w:rsidR="00274522" w:rsidRPr="00F60A9B" w14:paraId="3D0A934E" w14:textId="77777777" w:rsidTr="00274522">
        <w:trPr>
          <w:jc w:val="center"/>
        </w:trPr>
        <w:tc>
          <w:tcPr>
            <w:tcW w:w="0" w:type="auto"/>
            <w:tcBorders>
              <w:right w:val="single" w:sz="12" w:space="0" w:color="auto"/>
            </w:tcBorders>
            <w:vAlign w:val="center"/>
          </w:tcPr>
          <w:p w14:paraId="7B5AF074" w14:textId="77777777" w:rsidR="00274522" w:rsidRPr="005B7BEE" w:rsidRDefault="00274522" w:rsidP="00274522">
            <w:pPr>
              <w:rPr>
                <w:sz w:val="14"/>
                <w:szCs w:val="14"/>
              </w:rPr>
            </w:pPr>
            <w:r w:rsidRPr="005B7BEE">
              <w:rPr>
                <w:sz w:val="14"/>
                <w:szCs w:val="14"/>
              </w:rPr>
              <w:t>Frequent</w:t>
            </w:r>
          </w:p>
        </w:tc>
        <w:tc>
          <w:tcPr>
            <w:tcW w:w="0" w:type="auto"/>
            <w:tcBorders>
              <w:left w:val="single" w:sz="12" w:space="0" w:color="auto"/>
            </w:tcBorders>
            <w:vAlign w:val="center"/>
          </w:tcPr>
          <w:p w14:paraId="6AC77F62" w14:textId="77777777" w:rsidR="00274522" w:rsidRDefault="00274522" w:rsidP="00274522">
            <w:pPr>
              <w:jc w:val="center"/>
            </w:pPr>
            <w:r>
              <w:t>0</w:t>
            </w:r>
          </w:p>
        </w:tc>
        <w:tc>
          <w:tcPr>
            <w:tcW w:w="0" w:type="auto"/>
            <w:vAlign w:val="center"/>
          </w:tcPr>
          <w:p w14:paraId="026ECC84" w14:textId="77777777" w:rsidR="00274522" w:rsidRPr="00210DD1" w:rsidRDefault="00274522" w:rsidP="00274522">
            <w:pPr>
              <w:jc w:val="center"/>
            </w:pPr>
            <w:r>
              <w:t>0</w:t>
            </w:r>
          </w:p>
        </w:tc>
        <w:tc>
          <w:tcPr>
            <w:tcW w:w="0" w:type="auto"/>
            <w:vAlign w:val="center"/>
          </w:tcPr>
          <w:p w14:paraId="6FA88572" w14:textId="77777777" w:rsidR="00274522" w:rsidRPr="00210DD1" w:rsidRDefault="00274522" w:rsidP="00274522">
            <w:pPr>
              <w:jc w:val="center"/>
            </w:pPr>
            <w:r>
              <w:t>0</w:t>
            </w:r>
          </w:p>
        </w:tc>
        <w:tc>
          <w:tcPr>
            <w:tcW w:w="0" w:type="auto"/>
            <w:vAlign w:val="center"/>
          </w:tcPr>
          <w:p w14:paraId="2F1447AD" w14:textId="77777777" w:rsidR="00274522" w:rsidRPr="00210DD1" w:rsidRDefault="00274522" w:rsidP="00274522">
            <w:pPr>
              <w:jc w:val="center"/>
            </w:pPr>
            <w:r>
              <w:t>0</w:t>
            </w:r>
          </w:p>
        </w:tc>
        <w:tc>
          <w:tcPr>
            <w:tcW w:w="0" w:type="auto"/>
            <w:vAlign w:val="center"/>
          </w:tcPr>
          <w:p w14:paraId="380E7990" w14:textId="77777777" w:rsidR="00274522" w:rsidRDefault="00274522" w:rsidP="00274522">
            <w:pPr>
              <w:jc w:val="center"/>
            </w:pPr>
            <w:r>
              <w:t>1</w:t>
            </w:r>
          </w:p>
        </w:tc>
        <w:tc>
          <w:tcPr>
            <w:tcW w:w="0" w:type="auto"/>
            <w:tcBorders>
              <w:top w:val="nil"/>
              <w:left w:val="nil"/>
              <w:bottom w:val="nil"/>
              <w:right w:val="nil"/>
            </w:tcBorders>
            <w:vAlign w:val="center"/>
          </w:tcPr>
          <w:p w14:paraId="1E5A4841" w14:textId="77777777" w:rsidR="00274522" w:rsidRDefault="00274522" w:rsidP="00274522">
            <w:pPr>
              <w:jc w:val="center"/>
            </w:pPr>
          </w:p>
        </w:tc>
        <w:tc>
          <w:tcPr>
            <w:tcW w:w="0" w:type="auto"/>
            <w:vAlign w:val="center"/>
          </w:tcPr>
          <w:p w14:paraId="0892AF46" w14:textId="77777777" w:rsidR="00274522" w:rsidRPr="005B7BEE" w:rsidRDefault="00274522" w:rsidP="00274522">
            <w:pPr>
              <w:jc w:val="center"/>
              <w:rPr>
                <w:sz w:val="14"/>
                <w:szCs w:val="14"/>
              </w:rPr>
            </w:pPr>
            <w:r w:rsidRPr="005B7BEE">
              <w:rPr>
                <w:sz w:val="14"/>
                <w:szCs w:val="14"/>
              </w:rPr>
              <w:t>Frequent</w:t>
            </w:r>
          </w:p>
        </w:tc>
        <w:tc>
          <w:tcPr>
            <w:tcW w:w="0" w:type="auto"/>
            <w:vAlign w:val="center"/>
          </w:tcPr>
          <w:p w14:paraId="7E5AB2BE"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78882A91" w14:textId="6C2D0A90"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D5ED25" w14:textId="3B9B77FA" w:rsidR="00274522" w:rsidRPr="00210DD1"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F770A5" w14:textId="51CB3D78" w:rsidR="00274522" w:rsidRPr="00210DD1"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EA9395D" w14:textId="5378F83E" w:rsidR="00274522" w:rsidRDefault="00274522" w:rsidP="00274522">
            <w:pPr>
              <w:jc w:val="center"/>
            </w:pPr>
            <w:r>
              <w:rPr>
                <w:rFonts w:ascii="Calibri" w:hAnsi="Calibri" w:cs="Calibri"/>
                <w:color w:val="000000"/>
              </w:rPr>
              <w:t>0</w:t>
            </w:r>
          </w:p>
        </w:tc>
      </w:tr>
      <w:tr w:rsidR="00274522" w:rsidRPr="00F60A9B" w14:paraId="07376A5E" w14:textId="77777777" w:rsidTr="00274522">
        <w:trPr>
          <w:jc w:val="center"/>
        </w:trPr>
        <w:tc>
          <w:tcPr>
            <w:tcW w:w="0" w:type="auto"/>
            <w:tcBorders>
              <w:right w:val="single" w:sz="12" w:space="0" w:color="auto"/>
            </w:tcBorders>
            <w:vAlign w:val="center"/>
          </w:tcPr>
          <w:p w14:paraId="59C1EE2D" w14:textId="77777777" w:rsidR="00274522" w:rsidRPr="005B7BEE" w:rsidRDefault="00274522" w:rsidP="00274522">
            <w:pPr>
              <w:rPr>
                <w:sz w:val="14"/>
                <w:szCs w:val="14"/>
              </w:rPr>
            </w:pPr>
            <w:r w:rsidRPr="005B7BEE">
              <w:rPr>
                <w:sz w:val="14"/>
                <w:szCs w:val="14"/>
              </w:rPr>
              <w:t>Probable</w:t>
            </w:r>
          </w:p>
        </w:tc>
        <w:tc>
          <w:tcPr>
            <w:tcW w:w="0" w:type="auto"/>
            <w:tcBorders>
              <w:left w:val="single" w:sz="12" w:space="0" w:color="auto"/>
            </w:tcBorders>
            <w:vAlign w:val="center"/>
          </w:tcPr>
          <w:p w14:paraId="7FDB2230" w14:textId="77777777" w:rsidR="00274522" w:rsidRPr="00F60A9B" w:rsidRDefault="00274522" w:rsidP="00274522">
            <w:pPr>
              <w:jc w:val="center"/>
            </w:pPr>
            <w:r>
              <w:t>0</w:t>
            </w:r>
          </w:p>
        </w:tc>
        <w:tc>
          <w:tcPr>
            <w:tcW w:w="0" w:type="auto"/>
            <w:vAlign w:val="center"/>
          </w:tcPr>
          <w:p w14:paraId="14BB9695" w14:textId="77777777" w:rsidR="00274522" w:rsidRPr="00210DD1" w:rsidRDefault="00274522" w:rsidP="00274522">
            <w:pPr>
              <w:jc w:val="center"/>
            </w:pPr>
            <w:r>
              <w:t>0</w:t>
            </w:r>
          </w:p>
        </w:tc>
        <w:tc>
          <w:tcPr>
            <w:tcW w:w="0" w:type="auto"/>
            <w:vAlign w:val="center"/>
          </w:tcPr>
          <w:p w14:paraId="7B8C9171" w14:textId="77777777" w:rsidR="00274522" w:rsidRPr="00210DD1" w:rsidRDefault="00274522" w:rsidP="00274522">
            <w:pPr>
              <w:jc w:val="center"/>
            </w:pPr>
            <w:r>
              <w:t>0</w:t>
            </w:r>
          </w:p>
        </w:tc>
        <w:tc>
          <w:tcPr>
            <w:tcW w:w="0" w:type="auto"/>
            <w:vAlign w:val="center"/>
          </w:tcPr>
          <w:p w14:paraId="5AB4888C" w14:textId="77777777" w:rsidR="00274522" w:rsidRPr="00210DD1" w:rsidRDefault="00274522" w:rsidP="00274522">
            <w:pPr>
              <w:jc w:val="center"/>
            </w:pPr>
            <w:r>
              <w:t>0</w:t>
            </w:r>
          </w:p>
        </w:tc>
        <w:tc>
          <w:tcPr>
            <w:tcW w:w="0" w:type="auto"/>
            <w:vAlign w:val="center"/>
          </w:tcPr>
          <w:p w14:paraId="5AE73D4C" w14:textId="77777777" w:rsidR="00274522" w:rsidRPr="00F60A9B" w:rsidRDefault="00274522" w:rsidP="00274522">
            <w:pPr>
              <w:jc w:val="center"/>
            </w:pPr>
            <w:r>
              <w:t>0</w:t>
            </w:r>
          </w:p>
        </w:tc>
        <w:tc>
          <w:tcPr>
            <w:tcW w:w="0" w:type="auto"/>
            <w:tcBorders>
              <w:top w:val="nil"/>
              <w:left w:val="nil"/>
              <w:bottom w:val="nil"/>
              <w:right w:val="nil"/>
            </w:tcBorders>
            <w:tcMar>
              <w:left w:w="115" w:type="dxa"/>
              <w:right w:w="144" w:type="dxa"/>
            </w:tcMar>
            <w:vAlign w:val="center"/>
          </w:tcPr>
          <w:p w14:paraId="74276FA9" w14:textId="77777777" w:rsidR="00274522" w:rsidRDefault="00000000" w:rsidP="00274522">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27F3AB8B" w14:textId="77777777" w:rsidR="00274522" w:rsidRDefault="00274522" w:rsidP="00274522">
            <w:pPr>
              <w:jc w:val="center"/>
            </w:pPr>
            <w:r w:rsidRPr="005B7BEE">
              <w:rPr>
                <w:sz w:val="14"/>
                <w:szCs w:val="14"/>
              </w:rPr>
              <w:t>Probable</w:t>
            </w:r>
          </w:p>
        </w:tc>
        <w:tc>
          <w:tcPr>
            <w:tcW w:w="0" w:type="auto"/>
            <w:vAlign w:val="center"/>
          </w:tcPr>
          <w:p w14:paraId="4A08C4CB"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4D727CA8" w14:textId="1C4B9090" w:rsidR="00274522"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C251BDD" w14:textId="010E8C8E"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AAB729" w14:textId="067FDD5A"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E41A3D9" w14:textId="3C0EDA08" w:rsidR="00274522" w:rsidRDefault="00274522" w:rsidP="00274522">
            <w:pPr>
              <w:jc w:val="center"/>
            </w:pPr>
            <w:r>
              <w:rPr>
                <w:rFonts w:ascii="Calibri" w:hAnsi="Calibri" w:cs="Calibri"/>
                <w:color w:val="000000"/>
              </w:rPr>
              <w:t>0</w:t>
            </w:r>
          </w:p>
        </w:tc>
      </w:tr>
      <w:tr w:rsidR="00274522" w:rsidRPr="00F60A9B" w14:paraId="5F6428F4" w14:textId="77777777" w:rsidTr="00274522">
        <w:trPr>
          <w:jc w:val="center"/>
        </w:trPr>
        <w:tc>
          <w:tcPr>
            <w:tcW w:w="0" w:type="auto"/>
            <w:tcBorders>
              <w:right w:val="single" w:sz="12" w:space="0" w:color="auto"/>
            </w:tcBorders>
            <w:vAlign w:val="center"/>
          </w:tcPr>
          <w:p w14:paraId="73F843E7" w14:textId="77777777" w:rsidR="00274522" w:rsidRPr="005B7BEE" w:rsidRDefault="00274522" w:rsidP="00274522">
            <w:pPr>
              <w:rPr>
                <w:sz w:val="14"/>
                <w:szCs w:val="14"/>
              </w:rPr>
            </w:pPr>
            <w:r w:rsidRPr="005B7BEE">
              <w:rPr>
                <w:sz w:val="14"/>
                <w:szCs w:val="14"/>
              </w:rPr>
              <w:t>Occasional</w:t>
            </w:r>
          </w:p>
        </w:tc>
        <w:tc>
          <w:tcPr>
            <w:tcW w:w="0" w:type="auto"/>
            <w:tcBorders>
              <w:left w:val="single" w:sz="12" w:space="0" w:color="auto"/>
            </w:tcBorders>
            <w:vAlign w:val="center"/>
          </w:tcPr>
          <w:p w14:paraId="1651F81F" w14:textId="77777777" w:rsidR="00274522" w:rsidRPr="00F60A9B" w:rsidRDefault="00274522" w:rsidP="00274522">
            <w:pPr>
              <w:jc w:val="center"/>
            </w:pPr>
            <w:r>
              <w:t>0</w:t>
            </w:r>
          </w:p>
        </w:tc>
        <w:tc>
          <w:tcPr>
            <w:tcW w:w="0" w:type="auto"/>
            <w:vAlign w:val="center"/>
          </w:tcPr>
          <w:p w14:paraId="61A872D5" w14:textId="77777777" w:rsidR="00274522" w:rsidRPr="00210DD1" w:rsidRDefault="00274522" w:rsidP="00274522">
            <w:pPr>
              <w:jc w:val="center"/>
            </w:pPr>
            <w:r>
              <w:t>0</w:t>
            </w:r>
          </w:p>
        </w:tc>
        <w:tc>
          <w:tcPr>
            <w:tcW w:w="0" w:type="auto"/>
            <w:vAlign w:val="center"/>
          </w:tcPr>
          <w:p w14:paraId="164A50B7" w14:textId="77777777" w:rsidR="00274522" w:rsidRPr="00210DD1" w:rsidRDefault="00274522" w:rsidP="00274522">
            <w:pPr>
              <w:jc w:val="center"/>
            </w:pPr>
            <w:r>
              <w:t>0</w:t>
            </w:r>
          </w:p>
        </w:tc>
        <w:tc>
          <w:tcPr>
            <w:tcW w:w="0" w:type="auto"/>
            <w:vAlign w:val="center"/>
          </w:tcPr>
          <w:p w14:paraId="3C072F35" w14:textId="77777777" w:rsidR="00274522" w:rsidRPr="00210DD1" w:rsidRDefault="00274522" w:rsidP="00274522">
            <w:pPr>
              <w:jc w:val="center"/>
            </w:pPr>
            <w:r>
              <w:t>0</w:t>
            </w:r>
          </w:p>
        </w:tc>
        <w:tc>
          <w:tcPr>
            <w:tcW w:w="0" w:type="auto"/>
            <w:vAlign w:val="center"/>
          </w:tcPr>
          <w:p w14:paraId="7AAADCF7" w14:textId="77777777" w:rsidR="00274522" w:rsidRPr="00F60A9B" w:rsidRDefault="00274522" w:rsidP="00274522">
            <w:pPr>
              <w:jc w:val="center"/>
            </w:pPr>
            <w:r>
              <w:t>0</w:t>
            </w:r>
          </w:p>
        </w:tc>
        <w:tc>
          <w:tcPr>
            <w:tcW w:w="0" w:type="auto"/>
            <w:tcBorders>
              <w:top w:val="nil"/>
              <w:left w:val="nil"/>
              <w:bottom w:val="nil"/>
              <w:right w:val="nil"/>
            </w:tcBorders>
            <w:vAlign w:val="center"/>
          </w:tcPr>
          <w:p w14:paraId="07EBF256" w14:textId="77777777" w:rsidR="00274522" w:rsidRDefault="00274522" w:rsidP="00274522">
            <w:pPr>
              <w:jc w:val="center"/>
            </w:pPr>
          </w:p>
        </w:tc>
        <w:tc>
          <w:tcPr>
            <w:tcW w:w="0" w:type="auto"/>
            <w:vAlign w:val="center"/>
          </w:tcPr>
          <w:p w14:paraId="01BC7170" w14:textId="77777777" w:rsidR="00274522" w:rsidRDefault="00274522" w:rsidP="00274522">
            <w:pPr>
              <w:jc w:val="center"/>
            </w:pPr>
            <w:r w:rsidRPr="005B7BEE">
              <w:rPr>
                <w:sz w:val="14"/>
                <w:szCs w:val="14"/>
              </w:rPr>
              <w:t>Occasional</w:t>
            </w:r>
          </w:p>
        </w:tc>
        <w:tc>
          <w:tcPr>
            <w:tcW w:w="0" w:type="auto"/>
            <w:vAlign w:val="center"/>
          </w:tcPr>
          <w:p w14:paraId="35587EE6"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1F0913A7" w14:textId="45F261BC"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A43ACD5" w14:textId="4E4C4A6B" w:rsidR="00274522" w:rsidRDefault="00274522" w:rsidP="00274522">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14A45F0" w14:textId="4052D072"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69EADF" w14:textId="3A30FBDB" w:rsidR="00274522" w:rsidRDefault="00274522" w:rsidP="00274522">
            <w:pPr>
              <w:jc w:val="center"/>
            </w:pPr>
            <w:r>
              <w:rPr>
                <w:rFonts w:ascii="Calibri" w:hAnsi="Calibri" w:cs="Calibri"/>
                <w:color w:val="000000"/>
              </w:rPr>
              <w:t>0</w:t>
            </w:r>
          </w:p>
        </w:tc>
      </w:tr>
      <w:tr w:rsidR="00274522" w:rsidRPr="00F60A9B" w14:paraId="3FDAA53E" w14:textId="77777777" w:rsidTr="00274522">
        <w:trPr>
          <w:jc w:val="center"/>
        </w:trPr>
        <w:tc>
          <w:tcPr>
            <w:tcW w:w="0" w:type="auto"/>
            <w:tcBorders>
              <w:right w:val="single" w:sz="12" w:space="0" w:color="auto"/>
            </w:tcBorders>
            <w:vAlign w:val="center"/>
          </w:tcPr>
          <w:p w14:paraId="2083FE78" w14:textId="77777777" w:rsidR="00274522" w:rsidRPr="005B7BEE" w:rsidRDefault="00274522" w:rsidP="00274522">
            <w:pPr>
              <w:rPr>
                <w:sz w:val="14"/>
                <w:szCs w:val="14"/>
              </w:rPr>
            </w:pPr>
            <w:r w:rsidRPr="005B7BEE">
              <w:rPr>
                <w:sz w:val="14"/>
                <w:szCs w:val="14"/>
              </w:rPr>
              <w:t>Remote</w:t>
            </w:r>
          </w:p>
        </w:tc>
        <w:tc>
          <w:tcPr>
            <w:tcW w:w="0" w:type="auto"/>
            <w:tcBorders>
              <w:left w:val="single" w:sz="12" w:space="0" w:color="auto"/>
            </w:tcBorders>
            <w:vAlign w:val="center"/>
          </w:tcPr>
          <w:p w14:paraId="02C615AB" w14:textId="77777777" w:rsidR="00274522" w:rsidRPr="00F60A9B" w:rsidRDefault="00274522" w:rsidP="00274522">
            <w:pPr>
              <w:jc w:val="center"/>
            </w:pPr>
            <w:r>
              <w:t>0</w:t>
            </w:r>
          </w:p>
        </w:tc>
        <w:tc>
          <w:tcPr>
            <w:tcW w:w="0" w:type="auto"/>
            <w:vAlign w:val="center"/>
          </w:tcPr>
          <w:p w14:paraId="0439ECF5" w14:textId="77777777" w:rsidR="00274522" w:rsidRPr="00210DD1" w:rsidRDefault="00274522" w:rsidP="00274522">
            <w:pPr>
              <w:jc w:val="center"/>
            </w:pPr>
            <w:r>
              <w:t>0</w:t>
            </w:r>
          </w:p>
        </w:tc>
        <w:tc>
          <w:tcPr>
            <w:tcW w:w="0" w:type="auto"/>
            <w:vAlign w:val="center"/>
          </w:tcPr>
          <w:p w14:paraId="3D443073" w14:textId="77777777" w:rsidR="00274522" w:rsidRPr="00210DD1" w:rsidRDefault="00274522" w:rsidP="00274522">
            <w:pPr>
              <w:jc w:val="center"/>
            </w:pPr>
            <w:r>
              <w:t>0</w:t>
            </w:r>
          </w:p>
        </w:tc>
        <w:tc>
          <w:tcPr>
            <w:tcW w:w="0" w:type="auto"/>
            <w:vAlign w:val="center"/>
          </w:tcPr>
          <w:p w14:paraId="7C037425" w14:textId="77777777" w:rsidR="00274522" w:rsidRPr="00210DD1" w:rsidRDefault="00274522" w:rsidP="00274522">
            <w:pPr>
              <w:jc w:val="center"/>
            </w:pPr>
            <w:r>
              <w:t>0</w:t>
            </w:r>
          </w:p>
        </w:tc>
        <w:tc>
          <w:tcPr>
            <w:tcW w:w="0" w:type="auto"/>
            <w:vAlign w:val="center"/>
          </w:tcPr>
          <w:p w14:paraId="2B8BB231" w14:textId="77777777" w:rsidR="00274522" w:rsidRPr="00F60A9B" w:rsidRDefault="00274522" w:rsidP="00274522">
            <w:pPr>
              <w:jc w:val="center"/>
            </w:pPr>
            <w:r>
              <w:t>0</w:t>
            </w:r>
          </w:p>
        </w:tc>
        <w:tc>
          <w:tcPr>
            <w:tcW w:w="0" w:type="auto"/>
            <w:tcBorders>
              <w:top w:val="nil"/>
              <w:left w:val="nil"/>
              <w:bottom w:val="nil"/>
              <w:right w:val="nil"/>
            </w:tcBorders>
            <w:vAlign w:val="center"/>
          </w:tcPr>
          <w:p w14:paraId="293FDA4B" w14:textId="77777777" w:rsidR="00274522" w:rsidRDefault="00274522" w:rsidP="00274522">
            <w:pPr>
              <w:jc w:val="center"/>
            </w:pPr>
          </w:p>
        </w:tc>
        <w:tc>
          <w:tcPr>
            <w:tcW w:w="0" w:type="auto"/>
            <w:vAlign w:val="center"/>
          </w:tcPr>
          <w:p w14:paraId="11A63695" w14:textId="77777777" w:rsidR="00274522" w:rsidRDefault="00274522" w:rsidP="00274522">
            <w:pPr>
              <w:jc w:val="center"/>
            </w:pPr>
            <w:r w:rsidRPr="005B7BEE">
              <w:rPr>
                <w:sz w:val="14"/>
                <w:szCs w:val="14"/>
              </w:rPr>
              <w:t>Remote</w:t>
            </w:r>
          </w:p>
        </w:tc>
        <w:tc>
          <w:tcPr>
            <w:tcW w:w="0" w:type="auto"/>
            <w:vAlign w:val="center"/>
          </w:tcPr>
          <w:p w14:paraId="3088A29C" w14:textId="77777777" w:rsidR="00274522" w:rsidRDefault="00274522" w:rsidP="00274522">
            <w:pPr>
              <w:jc w:val="center"/>
            </w:pPr>
            <w:r>
              <w:t>0</w:t>
            </w:r>
          </w:p>
        </w:tc>
        <w:tc>
          <w:tcPr>
            <w:tcW w:w="0" w:type="auto"/>
            <w:tcBorders>
              <w:top w:val="nil"/>
              <w:left w:val="single" w:sz="4" w:space="0" w:color="auto"/>
              <w:bottom w:val="single" w:sz="4" w:space="0" w:color="auto"/>
              <w:right w:val="single" w:sz="4" w:space="0" w:color="auto"/>
            </w:tcBorders>
            <w:shd w:val="clear" w:color="auto" w:fill="auto"/>
            <w:vAlign w:val="bottom"/>
          </w:tcPr>
          <w:p w14:paraId="04D30228" w14:textId="607D50DD"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0676F3" w14:textId="467B291B" w:rsidR="00274522" w:rsidRDefault="00274522" w:rsidP="00274522">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90E0784" w14:textId="4AC6B06E" w:rsidR="00274522" w:rsidRDefault="00274522" w:rsidP="00274522">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3A43387B" w14:textId="0339B3FB" w:rsidR="00274522" w:rsidRDefault="00274522" w:rsidP="00274522">
            <w:pPr>
              <w:jc w:val="center"/>
            </w:pPr>
            <w:r>
              <w:rPr>
                <w:rFonts w:ascii="Calibri" w:hAnsi="Calibri" w:cs="Calibri"/>
                <w:color w:val="000000"/>
              </w:rPr>
              <w:t>0</w:t>
            </w:r>
          </w:p>
        </w:tc>
      </w:tr>
      <w:tr w:rsidR="00274522" w:rsidRPr="00F60A9B" w14:paraId="5F868089" w14:textId="77777777" w:rsidTr="00274522">
        <w:trPr>
          <w:jc w:val="center"/>
        </w:trPr>
        <w:tc>
          <w:tcPr>
            <w:tcW w:w="0" w:type="auto"/>
            <w:tcBorders>
              <w:right w:val="single" w:sz="12" w:space="0" w:color="auto"/>
            </w:tcBorders>
            <w:vAlign w:val="center"/>
          </w:tcPr>
          <w:p w14:paraId="42021E34" w14:textId="77777777" w:rsidR="00274522" w:rsidRPr="005B7BEE" w:rsidRDefault="00274522" w:rsidP="00274522">
            <w:pPr>
              <w:rPr>
                <w:sz w:val="14"/>
                <w:szCs w:val="14"/>
              </w:rPr>
            </w:pPr>
            <w:r w:rsidRPr="005B7BEE">
              <w:rPr>
                <w:sz w:val="14"/>
                <w:szCs w:val="14"/>
              </w:rPr>
              <w:t>Improbable</w:t>
            </w:r>
          </w:p>
        </w:tc>
        <w:tc>
          <w:tcPr>
            <w:tcW w:w="0" w:type="auto"/>
            <w:tcBorders>
              <w:left w:val="single" w:sz="12" w:space="0" w:color="auto"/>
            </w:tcBorders>
            <w:vAlign w:val="center"/>
          </w:tcPr>
          <w:p w14:paraId="664D9332" w14:textId="77777777" w:rsidR="00274522" w:rsidRPr="00F60A9B" w:rsidRDefault="00274522" w:rsidP="00274522">
            <w:pPr>
              <w:jc w:val="center"/>
            </w:pPr>
            <w:r>
              <w:t>0</w:t>
            </w:r>
          </w:p>
        </w:tc>
        <w:tc>
          <w:tcPr>
            <w:tcW w:w="0" w:type="auto"/>
            <w:vAlign w:val="center"/>
          </w:tcPr>
          <w:p w14:paraId="4914CAFE" w14:textId="77777777" w:rsidR="00274522" w:rsidRPr="00210DD1" w:rsidRDefault="00274522" w:rsidP="00274522">
            <w:pPr>
              <w:jc w:val="center"/>
            </w:pPr>
            <w:r>
              <w:t>0</w:t>
            </w:r>
          </w:p>
        </w:tc>
        <w:tc>
          <w:tcPr>
            <w:tcW w:w="0" w:type="auto"/>
            <w:vAlign w:val="center"/>
          </w:tcPr>
          <w:p w14:paraId="3DBC4658" w14:textId="77777777" w:rsidR="00274522" w:rsidRPr="00210DD1" w:rsidRDefault="00274522" w:rsidP="00274522">
            <w:pPr>
              <w:jc w:val="center"/>
            </w:pPr>
            <w:r>
              <w:t>0</w:t>
            </w:r>
          </w:p>
        </w:tc>
        <w:tc>
          <w:tcPr>
            <w:tcW w:w="0" w:type="auto"/>
            <w:vAlign w:val="center"/>
          </w:tcPr>
          <w:p w14:paraId="7AE37029" w14:textId="77777777" w:rsidR="00274522" w:rsidRPr="00210DD1" w:rsidRDefault="00274522" w:rsidP="00274522">
            <w:pPr>
              <w:jc w:val="center"/>
            </w:pPr>
            <w:r>
              <w:t>0</w:t>
            </w:r>
          </w:p>
        </w:tc>
        <w:tc>
          <w:tcPr>
            <w:tcW w:w="0" w:type="auto"/>
            <w:vAlign w:val="center"/>
          </w:tcPr>
          <w:p w14:paraId="0252DF11" w14:textId="77777777" w:rsidR="00274522" w:rsidRPr="00F60A9B" w:rsidRDefault="00274522" w:rsidP="00274522">
            <w:pPr>
              <w:keepNext/>
              <w:jc w:val="center"/>
            </w:pPr>
            <w:r>
              <w:t>0</w:t>
            </w:r>
          </w:p>
        </w:tc>
        <w:tc>
          <w:tcPr>
            <w:tcW w:w="0" w:type="auto"/>
            <w:tcBorders>
              <w:top w:val="nil"/>
              <w:left w:val="nil"/>
              <w:bottom w:val="nil"/>
              <w:right w:val="nil"/>
            </w:tcBorders>
            <w:vAlign w:val="center"/>
          </w:tcPr>
          <w:p w14:paraId="4044408E" w14:textId="77777777" w:rsidR="00274522" w:rsidRDefault="00274522" w:rsidP="00274522">
            <w:pPr>
              <w:keepNext/>
              <w:jc w:val="center"/>
            </w:pPr>
          </w:p>
        </w:tc>
        <w:tc>
          <w:tcPr>
            <w:tcW w:w="0" w:type="auto"/>
            <w:vAlign w:val="center"/>
          </w:tcPr>
          <w:p w14:paraId="156D55F7" w14:textId="77777777" w:rsidR="00274522" w:rsidRDefault="00274522" w:rsidP="00274522">
            <w:pPr>
              <w:keepNext/>
              <w:jc w:val="center"/>
            </w:pPr>
            <w:r w:rsidRPr="005B7BEE">
              <w:rPr>
                <w:sz w:val="14"/>
                <w:szCs w:val="14"/>
              </w:rPr>
              <w:t>Improbable</w:t>
            </w:r>
          </w:p>
        </w:tc>
        <w:tc>
          <w:tcPr>
            <w:tcW w:w="0" w:type="auto"/>
            <w:vAlign w:val="center"/>
          </w:tcPr>
          <w:p w14:paraId="1E87AF10" w14:textId="162706F7" w:rsidR="00274522" w:rsidRDefault="00274522" w:rsidP="00274522">
            <w:pPr>
              <w:keepNext/>
              <w:jc w:val="center"/>
            </w:pPr>
            <w:r>
              <w:t>0</w:t>
            </w:r>
          </w:p>
        </w:tc>
        <w:tc>
          <w:tcPr>
            <w:tcW w:w="0" w:type="auto"/>
            <w:tcBorders>
              <w:top w:val="nil"/>
              <w:left w:val="single" w:sz="4" w:space="0" w:color="auto"/>
              <w:bottom w:val="single" w:sz="8" w:space="0" w:color="auto"/>
              <w:right w:val="single" w:sz="4" w:space="0" w:color="auto"/>
            </w:tcBorders>
            <w:shd w:val="clear" w:color="auto" w:fill="auto"/>
            <w:vAlign w:val="bottom"/>
          </w:tcPr>
          <w:p w14:paraId="5653B37B" w14:textId="208899AD" w:rsidR="00274522" w:rsidRDefault="00274522" w:rsidP="00274522">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64195823" w14:textId="44046A0D" w:rsidR="00274522" w:rsidRDefault="00274522" w:rsidP="00274522">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3B572A7B" w14:textId="6089A73C" w:rsidR="00274522" w:rsidRDefault="00274522" w:rsidP="00274522">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1A057C83" w14:textId="374BE2A5" w:rsidR="00274522" w:rsidRDefault="00274522" w:rsidP="00274522">
            <w:pPr>
              <w:keepNext/>
              <w:jc w:val="center"/>
            </w:pPr>
            <w:r>
              <w:rPr>
                <w:rFonts w:ascii="Calibri" w:hAnsi="Calibri" w:cs="Calibri"/>
                <w:color w:val="000000"/>
              </w:rPr>
              <w:t>4</w:t>
            </w:r>
          </w:p>
        </w:tc>
      </w:tr>
    </w:tbl>
    <w:p w14:paraId="0BF50D67" w14:textId="66A44988" w:rsidR="0020191B" w:rsidRDefault="0020191B" w:rsidP="00AA2310">
      <w:pPr>
        <w:pStyle w:val="Caption"/>
        <w:keepNext/>
        <w:spacing w:before="120"/>
        <w:jc w:val="center"/>
        <w:rPr>
          <w:rFonts w:cstheme="minorHAnsi"/>
        </w:rPr>
      </w:pPr>
      <w:bookmarkStart w:id="102" w:name="_Ref148260165"/>
      <w:r>
        <w:t xml:space="preserve">Equation </w:t>
      </w:r>
      <w:r>
        <w:fldChar w:fldCharType="begin"/>
      </w:r>
      <w:r>
        <w:instrText xml:space="preserve"> SEQ Equation \* ARABIC </w:instrText>
      </w:r>
      <w:r>
        <w:fldChar w:fldCharType="separate"/>
      </w:r>
      <w:r w:rsidR="003468AE">
        <w:rPr>
          <w:noProof/>
        </w:rPr>
        <w:t>25</w:t>
      </w:r>
      <w:r>
        <w:rPr>
          <w:noProof/>
        </w:rPr>
        <w:fldChar w:fldCharType="end"/>
      </w:r>
      <w:bookmarkEnd w:id="102"/>
    </w:p>
    <w:p w14:paraId="66FAE4F8" w14:textId="684F3B7E" w:rsidR="006B3C3C" w:rsidRDefault="0020191B">
      <w:pPr>
        <w:pStyle w:val="ListParagraph"/>
        <w:numPr>
          <w:ilvl w:val="1"/>
          <w:numId w:val="30"/>
        </w:numPr>
      </w:pPr>
      <w:r>
        <w:rPr>
          <w:rFonts w:cstheme="minorHAnsi"/>
        </w:rPr>
        <w:t xml:space="preserve">Use </w:t>
      </w:r>
      <w:r w:rsidR="00930A33">
        <w:rPr>
          <w:rFonts w:cstheme="minorHAnsi"/>
        </w:rPr>
        <w:t xml:space="preserve">the </w:t>
      </w:r>
      <w:r>
        <w:rPr>
          <w:rFonts w:cstheme="minorHAnsi"/>
        </w:rPr>
        <w:t xml:space="preserve">“Moving Redundant </w:t>
      </w:r>
      <w:r w:rsidR="00750036">
        <w:rPr>
          <w:rFonts w:cstheme="minorHAnsi"/>
        </w:rPr>
        <w:t>Risks</w:t>
      </w:r>
      <w:r>
        <w:rPr>
          <w:rFonts w:cstheme="minorHAnsi"/>
        </w:rPr>
        <w:t xml:space="preserve">” </w:t>
      </w:r>
      <w:r w:rsidR="00930A33">
        <w:rPr>
          <w:rFonts w:cstheme="minorHAnsi"/>
        </w:rPr>
        <w:t xml:space="preserve">and “Removing Identical </w:t>
      </w:r>
      <w:r w:rsidR="00750036">
        <w:rPr>
          <w:rFonts w:cstheme="minorHAnsi"/>
        </w:rPr>
        <w:t>Risks</w:t>
      </w:r>
      <w:r w:rsidR="00930A33">
        <w:rPr>
          <w:rFonts w:cstheme="minorHAnsi"/>
        </w:rPr>
        <w:t xml:space="preserve">” rules of ‘Risk Algebra’ </w:t>
      </w:r>
      <w:r>
        <w:rPr>
          <w:rFonts w:cstheme="minorHAnsi"/>
        </w:rPr>
        <w:t xml:space="preserve">to position </w:t>
      </w:r>
      <w:r w:rsidR="00750036">
        <w:rPr>
          <w:rFonts w:cstheme="minorHAnsi"/>
        </w:rPr>
        <w:t>Risks</w:t>
      </w:r>
      <w:r>
        <w:rPr>
          <w:rFonts w:cstheme="minorHAnsi"/>
        </w:rPr>
        <w:t xml:space="preserve"> for further simplification: </w:t>
      </w:r>
      <w:r>
        <w:rPr>
          <w:rFonts w:cstheme="minorHAnsi"/>
        </w:rPr>
        <w:br/>
      </w:r>
      <w:r>
        <w:rPr>
          <w:rFonts w:cstheme="minorHAnsi"/>
        </w:rPr>
        <w:br/>
      </w:r>
      <w:r>
        <w:rPr>
          <w:rFonts w:eastAsiaTheme="minorEastAsia" w:cs="Arial"/>
        </w:rPr>
        <w:t>If you look at</w:t>
      </w:r>
      <w:r w:rsidR="00634B2A">
        <w:rPr>
          <w:rFonts w:eastAsiaTheme="minorEastAsia" w:cs="Arial"/>
        </w:rPr>
        <w:t xml:space="preserve"> </w:t>
      </w:r>
      <w:r w:rsidR="00634B2A">
        <w:rPr>
          <w:rFonts w:eastAsiaTheme="minorEastAsia" w:cs="Arial"/>
        </w:rPr>
        <w:fldChar w:fldCharType="begin"/>
      </w:r>
      <w:r w:rsidR="00634B2A">
        <w:rPr>
          <w:rFonts w:eastAsiaTheme="minorEastAsia" w:cs="Arial"/>
        </w:rPr>
        <w:instrText xml:space="preserve"> REF _Ref148260165 \h </w:instrText>
      </w:r>
      <w:r w:rsidR="00634B2A">
        <w:rPr>
          <w:rFonts w:eastAsiaTheme="minorEastAsia" w:cs="Arial"/>
        </w:rPr>
      </w:r>
      <w:r w:rsidR="00634B2A">
        <w:rPr>
          <w:rFonts w:eastAsiaTheme="minorEastAsia" w:cs="Arial"/>
        </w:rPr>
        <w:fldChar w:fldCharType="separate"/>
      </w:r>
      <w:r w:rsidR="001E41EA">
        <w:t xml:space="preserve">Equation </w:t>
      </w:r>
      <w:r w:rsidR="001E41EA">
        <w:rPr>
          <w:noProof/>
        </w:rPr>
        <w:t>25</w:t>
      </w:r>
      <w:r w:rsidR="00634B2A">
        <w:rPr>
          <w:rFonts w:eastAsiaTheme="minorEastAsia" w:cs="Arial"/>
        </w:rPr>
        <w:fldChar w:fldCharType="end"/>
      </w:r>
      <w:r>
        <w:t>, you can see that</w:t>
      </w:r>
      <w:r w:rsidR="006B3C3C">
        <w:t>:</w:t>
      </w:r>
    </w:p>
    <w:p w14:paraId="04B212F3" w14:textId="77777777" w:rsidR="00576914" w:rsidRDefault="00274522">
      <w:pPr>
        <w:pStyle w:val="ListParagraph"/>
        <w:numPr>
          <w:ilvl w:val="2"/>
          <w:numId w:val="30"/>
        </w:numPr>
      </w:pPr>
      <w:r>
        <w:t>On the left-hand side, there is an ‘Expected / Minor’ risk</w:t>
      </w:r>
      <w:r w:rsidR="00576914">
        <w:t xml:space="preserve">. </w:t>
      </w:r>
    </w:p>
    <w:p w14:paraId="71D1D66C" w14:textId="77777777" w:rsidR="00576914" w:rsidRDefault="00576914">
      <w:pPr>
        <w:pStyle w:val="ListParagraph"/>
        <w:numPr>
          <w:ilvl w:val="2"/>
          <w:numId w:val="30"/>
        </w:numPr>
      </w:pPr>
      <w:r>
        <w:t xml:space="preserve">On the right-hand side, there are an ‘Expected / Negligible’ and a ‘Frequent / Serious /Major’ risk. </w:t>
      </w:r>
    </w:p>
    <w:p w14:paraId="0B858A8B" w14:textId="457464F6" w:rsidR="00576914" w:rsidRDefault="00576914">
      <w:pPr>
        <w:pStyle w:val="ListParagraph"/>
        <w:numPr>
          <w:ilvl w:val="2"/>
          <w:numId w:val="30"/>
        </w:numPr>
      </w:pPr>
      <w:r>
        <w:t xml:space="preserve">If we use ‘Moving Redundant Risks” on the left-hand side’s ‘Expected / Minor’ risk, we can get 10 ‘Often / Minor’ risks </w:t>
      </w:r>
      <w:r w:rsidR="007026E6">
        <w:t xml:space="preserve">without changing which side of the equation has the most risk. </w:t>
      </w:r>
      <w:r w:rsidR="007026E6">
        <w:br/>
      </w:r>
      <w:r w:rsidR="007026E6">
        <w:lastRenderedPageBreak/>
        <w:t xml:space="preserve">This puts 10 ‘Often / Minor’ risks on the left-hand side of the equation </w:t>
      </w:r>
      <w:r>
        <w:t xml:space="preserve">between the ‘Expected / Negligible’ and a </w:t>
      </w:r>
      <w:proofErr w:type="gramStart"/>
      <w:r>
        <w:t>‘Frequent / Serious /Major’ risks</w:t>
      </w:r>
      <w:proofErr w:type="gramEnd"/>
      <w:r>
        <w:t xml:space="preserve"> on the right-hand side</w:t>
      </w:r>
      <w:r w:rsidR="007026E6">
        <w:t xml:space="preserve"> of the equation</w:t>
      </w:r>
      <w:r>
        <w:t xml:space="preserve">. </w:t>
      </w:r>
    </w:p>
    <w:p w14:paraId="211FA839" w14:textId="77777777" w:rsidR="00677435" w:rsidRDefault="00677435" w:rsidP="00677435">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677435" w:rsidRPr="00F60A9B" w14:paraId="04717ECD" w14:textId="77777777" w:rsidTr="00BE77A4">
        <w:trPr>
          <w:tblHeader/>
          <w:jc w:val="center"/>
        </w:trPr>
        <w:tc>
          <w:tcPr>
            <w:tcW w:w="0" w:type="auto"/>
            <w:tcBorders>
              <w:top w:val="nil"/>
              <w:left w:val="nil"/>
              <w:bottom w:val="single" w:sz="4" w:space="0" w:color="auto"/>
            </w:tcBorders>
            <w:vAlign w:val="center"/>
          </w:tcPr>
          <w:p w14:paraId="0CEF86CD" w14:textId="77777777" w:rsidR="00677435" w:rsidRPr="00F60A9B" w:rsidRDefault="00000000" w:rsidP="00BE77A4">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5C132DA7" w14:textId="77777777" w:rsidR="00677435" w:rsidRPr="00274522" w:rsidRDefault="00677435" w:rsidP="00BE77A4">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66CB4EEF" w14:textId="77777777" w:rsidR="00677435" w:rsidRPr="00274522" w:rsidRDefault="00677435" w:rsidP="00BE77A4">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20A01CEA" w14:textId="77777777" w:rsidR="00677435" w:rsidRPr="00274522" w:rsidRDefault="00677435" w:rsidP="00BE77A4">
            <w:pPr>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3981FAAD" w14:textId="77777777" w:rsidR="00677435" w:rsidRPr="00274522" w:rsidRDefault="00677435" w:rsidP="00BE77A4">
            <w:pPr>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4A7A8521" w14:textId="77777777" w:rsidR="00677435" w:rsidRPr="00274522" w:rsidRDefault="00677435" w:rsidP="00BE77A4">
            <w:pPr>
              <w:jc w:val="center"/>
              <w:rPr>
                <w:sz w:val="14"/>
                <w:szCs w:val="14"/>
              </w:rPr>
            </w:pPr>
            <w:r w:rsidRPr="00274522">
              <w:rPr>
                <w:sz w:val="14"/>
                <w:szCs w:val="14"/>
              </w:rPr>
              <w:t xml:space="preserve">Catastrophic </w:t>
            </w:r>
          </w:p>
          <w:p w14:paraId="59522B5D" w14:textId="77777777" w:rsidR="00677435" w:rsidRPr="00274522" w:rsidRDefault="00677435" w:rsidP="00BE77A4">
            <w:pPr>
              <w:jc w:val="center"/>
              <w:rPr>
                <w:sz w:val="14"/>
                <w:szCs w:val="14"/>
              </w:rPr>
            </w:pPr>
            <w:r w:rsidRPr="00274522">
              <w:rPr>
                <w:sz w:val="14"/>
                <w:szCs w:val="14"/>
              </w:rPr>
              <w:t>/ Fatal</w:t>
            </w:r>
          </w:p>
        </w:tc>
        <w:tc>
          <w:tcPr>
            <w:tcW w:w="0" w:type="auto"/>
            <w:tcBorders>
              <w:top w:val="nil"/>
              <w:left w:val="nil"/>
              <w:bottom w:val="nil"/>
              <w:right w:val="nil"/>
            </w:tcBorders>
            <w:vAlign w:val="center"/>
          </w:tcPr>
          <w:p w14:paraId="40566999" w14:textId="77777777" w:rsidR="00677435" w:rsidRPr="00274522" w:rsidRDefault="00677435" w:rsidP="00BE77A4">
            <w:pPr>
              <w:jc w:val="center"/>
              <w:rPr>
                <w:sz w:val="14"/>
                <w:szCs w:val="14"/>
              </w:rPr>
            </w:pPr>
          </w:p>
        </w:tc>
        <w:tc>
          <w:tcPr>
            <w:tcW w:w="0" w:type="auto"/>
            <w:tcBorders>
              <w:top w:val="nil"/>
              <w:left w:val="nil"/>
              <w:bottom w:val="single" w:sz="12" w:space="0" w:color="auto"/>
            </w:tcBorders>
            <w:vAlign w:val="center"/>
          </w:tcPr>
          <w:p w14:paraId="4E1DF21D" w14:textId="77777777" w:rsidR="00677435" w:rsidRPr="00274522" w:rsidRDefault="00000000" w:rsidP="00BE77A4">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DDE3313" w14:textId="77777777" w:rsidR="00677435" w:rsidRPr="00274522" w:rsidRDefault="00677435" w:rsidP="00BE77A4">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005A595E" w14:textId="77777777" w:rsidR="00677435" w:rsidRPr="00274522" w:rsidRDefault="00677435" w:rsidP="00BE77A4">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25230932" w14:textId="77777777" w:rsidR="00677435" w:rsidRPr="005B7BEE" w:rsidRDefault="00677435" w:rsidP="00BE77A4">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C2496C9" w14:textId="77777777" w:rsidR="00677435" w:rsidRPr="005B7BEE" w:rsidRDefault="00677435" w:rsidP="00BE77A4">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32B97A28" w14:textId="77777777" w:rsidR="00677435" w:rsidRPr="005B7BEE" w:rsidRDefault="00677435" w:rsidP="00BE77A4">
            <w:pPr>
              <w:jc w:val="center"/>
              <w:rPr>
                <w:sz w:val="14"/>
                <w:szCs w:val="14"/>
              </w:rPr>
            </w:pPr>
            <w:r w:rsidRPr="005B7BEE">
              <w:rPr>
                <w:sz w:val="14"/>
                <w:szCs w:val="14"/>
              </w:rPr>
              <w:t xml:space="preserve">Catastrophic </w:t>
            </w:r>
          </w:p>
          <w:p w14:paraId="109021E8" w14:textId="77777777" w:rsidR="00677435" w:rsidRDefault="00677435" w:rsidP="00BE77A4">
            <w:pPr>
              <w:jc w:val="center"/>
              <w:rPr>
                <w:rFonts w:ascii="Calibri" w:eastAsia="Calibri" w:hAnsi="Calibri" w:cs="Times New Roman"/>
              </w:rPr>
            </w:pPr>
            <w:r w:rsidRPr="005B7BEE">
              <w:rPr>
                <w:sz w:val="14"/>
                <w:szCs w:val="14"/>
              </w:rPr>
              <w:t>/ Fatal</w:t>
            </w:r>
          </w:p>
        </w:tc>
      </w:tr>
      <w:tr w:rsidR="00677435" w:rsidRPr="00F60A9B" w14:paraId="2E605F06" w14:textId="77777777" w:rsidTr="00677435">
        <w:trPr>
          <w:jc w:val="center"/>
        </w:trPr>
        <w:tc>
          <w:tcPr>
            <w:tcW w:w="0" w:type="auto"/>
            <w:tcBorders>
              <w:top w:val="single" w:sz="4" w:space="0" w:color="auto"/>
              <w:right w:val="single" w:sz="12" w:space="0" w:color="auto"/>
            </w:tcBorders>
            <w:vAlign w:val="center"/>
          </w:tcPr>
          <w:p w14:paraId="111A36D2" w14:textId="77777777" w:rsidR="00677435" w:rsidRPr="005B7BEE" w:rsidRDefault="00677435" w:rsidP="00677435">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5B5E08B" w14:textId="50BA4558" w:rsidR="00677435" w:rsidRPr="00274522" w:rsidRDefault="00677435" w:rsidP="00677435">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BFBFBF" w:themeFill="background1" w:themeFillShade="BF"/>
            <w:vAlign w:val="bottom"/>
          </w:tcPr>
          <w:p w14:paraId="1D740E90" w14:textId="047116E3" w:rsidR="00677435" w:rsidRPr="00274522" w:rsidRDefault="00677435" w:rsidP="00677435">
            <w:pPr>
              <w:jc w:val="center"/>
            </w:pPr>
            <w:r>
              <w:rPr>
                <w:rFonts w:ascii="Calibri" w:hAnsi="Calibri" w:cs="Calibri"/>
                <w:color w:val="000000"/>
              </w:rPr>
              <w:t xml:space="preserve">1 </w:t>
            </w:r>
            <w:r w:rsidRPr="00677435">
              <w:rPr>
                <w:rFonts w:ascii="Calibri" w:hAnsi="Calibri" w:cs="Calibri"/>
                <w:color w:val="000000"/>
              </w:rPr>
              <w:sym w:font="Wingdings" w:char="F0E0"/>
            </w:r>
            <w:r>
              <w:rPr>
                <w:rFonts w:ascii="Calibri" w:hAnsi="Calibri" w:cs="Calibri"/>
                <w:color w:val="000000"/>
              </w:rPr>
              <w:t xml:space="preserve"> 0 + 10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085F6A88" w14:textId="6822AFF7" w:rsidR="00677435" w:rsidRPr="00274522" w:rsidRDefault="00677435" w:rsidP="00677435">
            <w:pPr>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4F868A12" w14:textId="541D2FF5" w:rsidR="00677435" w:rsidRPr="00274522" w:rsidRDefault="00677435" w:rsidP="00677435">
            <w:pPr>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776BA3E3" w14:textId="0189EBDB" w:rsidR="00677435" w:rsidRPr="00274522" w:rsidRDefault="00677435" w:rsidP="00677435">
            <w:pPr>
              <w:jc w:val="center"/>
            </w:pPr>
            <w:r>
              <w:rPr>
                <w:rFonts w:ascii="Calibri" w:hAnsi="Calibri" w:cs="Calibri"/>
                <w:color w:val="000000"/>
              </w:rPr>
              <w:t>1</w:t>
            </w:r>
          </w:p>
        </w:tc>
        <w:tc>
          <w:tcPr>
            <w:tcW w:w="0" w:type="auto"/>
            <w:tcBorders>
              <w:top w:val="nil"/>
              <w:left w:val="nil"/>
              <w:bottom w:val="nil"/>
              <w:right w:val="nil"/>
            </w:tcBorders>
            <w:vAlign w:val="center"/>
          </w:tcPr>
          <w:p w14:paraId="777B2303" w14:textId="77777777" w:rsidR="00677435" w:rsidRPr="00274522" w:rsidRDefault="00677435" w:rsidP="00677435">
            <w:pPr>
              <w:jc w:val="center"/>
            </w:pPr>
          </w:p>
        </w:tc>
        <w:tc>
          <w:tcPr>
            <w:tcW w:w="0" w:type="auto"/>
            <w:tcBorders>
              <w:top w:val="single" w:sz="12" w:space="0" w:color="auto"/>
            </w:tcBorders>
            <w:vAlign w:val="center"/>
          </w:tcPr>
          <w:p w14:paraId="49FB2B7E" w14:textId="77777777" w:rsidR="00677435" w:rsidRPr="00274522" w:rsidRDefault="00677435" w:rsidP="00677435">
            <w:pPr>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3C04EEC" w14:textId="77777777" w:rsidR="00677435" w:rsidRPr="00274522" w:rsidRDefault="00677435" w:rsidP="00677435">
            <w:pPr>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43A09EE2" w14:textId="77777777" w:rsidR="00677435" w:rsidRPr="00274522" w:rsidRDefault="00677435" w:rsidP="00677435">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3FC1434" w14:textId="77777777" w:rsidR="00677435" w:rsidRDefault="00677435" w:rsidP="00677435">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89FC908" w14:textId="77777777" w:rsidR="00677435" w:rsidRDefault="00677435" w:rsidP="00677435">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4F03650" w14:textId="77777777" w:rsidR="00677435" w:rsidRDefault="00677435" w:rsidP="00677435">
            <w:pPr>
              <w:jc w:val="center"/>
            </w:pPr>
            <w:r>
              <w:rPr>
                <w:rFonts w:ascii="Calibri" w:hAnsi="Calibri" w:cs="Calibri"/>
                <w:color w:val="000000"/>
              </w:rPr>
              <w:t>0</w:t>
            </w:r>
          </w:p>
        </w:tc>
      </w:tr>
      <w:tr w:rsidR="00677435" w:rsidRPr="00F60A9B" w14:paraId="36AD3CB0" w14:textId="77777777" w:rsidTr="00677435">
        <w:trPr>
          <w:jc w:val="center"/>
        </w:trPr>
        <w:tc>
          <w:tcPr>
            <w:tcW w:w="0" w:type="auto"/>
            <w:tcBorders>
              <w:right w:val="single" w:sz="12" w:space="0" w:color="auto"/>
            </w:tcBorders>
            <w:vAlign w:val="center"/>
          </w:tcPr>
          <w:p w14:paraId="422A395A" w14:textId="77777777" w:rsidR="00677435" w:rsidRPr="005B7BEE" w:rsidRDefault="00677435" w:rsidP="00677435">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8E7192B" w14:textId="1AFB297A" w:rsidR="00677435" w:rsidRPr="009C2BA8" w:rsidRDefault="00677435" w:rsidP="00677435">
            <w:pPr>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BD80E8" w14:textId="1602870C" w:rsidR="00677435" w:rsidRPr="009C2BA8" w:rsidRDefault="00677435" w:rsidP="00677435">
            <w:pPr>
              <w:jc w:val="center"/>
            </w:pPr>
            <w:r>
              <w:rPr>
                <w:rFonts w:ascii="Calibri" w:hAnsi="Calibri" w:cs="Calibri"/>
                <w:color w:val="000000"/>
              </w:rPr>
              <w:t>0 + 10</w:t>
            </w:r>
          </w:p>
        </w:tc>
        <w:tc>
          <w:tcPr>
            <w:tcW w:w="0" w:type="auto"/>
            <w:tcBorders>
              <w:top w:val="nil"/>
              <w:left w:val="nil"/>
              <w:bottom w:val="single" w:sz="4" w:space="0" w:color="auto"/>
              <w:right w:val="single" w:sz="4" w:space="0" w:color="auto"/>
            </w:tcBorders>
            <w:shd w:val="clear" w:color="auto" w:fill="auto"/>
            <w:vAlign w:val="bottom"/>
          </w:tcPr>
          <w:p w14:paraId="7507088A" w14:textId="224A26F8"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DF822E" w14:textId="6BDD1D76" w:rsidR="00677435" w:rsidRPr="009C2BA8" w:rsidRDefault="00677435" w:rsidP="00677435">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E91F5D9" w14:textId="12D83773" w:rsidR="00677435" w:rsidRPr="009C2BA8" w:rsidRDefault="00677435" w:rsidP="00677435">
            <w:pPr>
              <w:jc w:val="center"/>
            </w:pPr>
            <w:r>
              <w:rPr>
                <w:rFonts w:ascii="Calibri" w:hAnsi="Calibri" w:cs="Calibri"/>
                <w:color w:val="000000"/>
              </w:rPr>
              <w:t>0</w:t>
            </w:r>
          </w:p>
        </w:tc>
        <w:tc>
          <w:tcPr>
            <w:tcW w:w="0" w:type="auto"/>
            <w:tcBorders>
              <w:top w:val="nil"/>
              <w:left w:val="nil"/>
              <w:bottom w:val="nil"/>
              <w:right w:val="nil"/>
            </w:tcBorders>
            <w:vAlign w:val="center"/>
          </w:tcPr>
          <w:p w14:paraId="40918F8D" w14:textId="77777777" w:rsidR="00677435" w:rsidRPr="009C2BA8" w:rsidRDefault="00677435" w:rsidP="00677435">
            <w:pPr>
              <w:jc w:val="center"/>
            </w:pPr>
          </w:p>
        </w:tc>
        <w:tc>
          <w:tcPr>
            <w:tcW w:w="0" w:type="auto"/>
            <w:vAlign w:val="center"/>
          </w:tcPr>
          <w:p w14:paraId="2B3CE8AB" w14:textId="77777777" w:rsidR="00677435" w:rsidRPr="009C2BA8" w:rsidRDefault="00677435" w:rsidP="00677435">
            <w:pPr>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B6B6CB"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8F7F4F"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13D350"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9E8731"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5B5488E" w14:textId="77777777" w:rsidR="00677435" w:rsidRPr="009C2BA8" w:rsidRDefault="00677435" w:rsidP="00677435">
            <w:pPr>
              <w:jc w:val="center"/>
            </w:pPr>
            <w:r>
              <w:rPr>
                <w:rFonts w:ascii="Calibri" w:hAnsi="Calibri" w:cs="Calibri"/>
                <w:color w:val="000000"/>
              </w:rPr>
              <w:t>0</w:t>
            </w:r>
          </w:p>
        </w:tc>
      </w:tr>
      <w:tr w:rsidR="00677435" w:rsidRPr="00F60A9B" w14:paraId="7FF41382" w14:textId="77777777" w:rsidTr="00522698">
        <w:trPr>
          <w:jc w:val="center"/>
        </w:trPr>
        <w:tc>
          <w:tcPr>
            <w:tcW w:w="0" w:type="auto"/>
            <w:tcBorders>
              <w:right w:val="single" w:sz="12" w:space="0" w:color="auto"/>
            </w:tcBorders>
            <w:vAlign w:val="center"/>
          </w:tcPr>
          <w:p w14:paraId="2EFE0242" w14:textId="77777777" w:rsidR="00677435" w:rsidRPr="005B7BEE" w:rsidRDefault="00677435" w:rsidP="00677435">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61A95B0B" w14:textId="5A3F0343"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169042" w14:textId="75770AAF"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A916F5" w14:textId="5A3B3B2F"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E28CD2" w14:textId="7F9C6F4B"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44129A3" w14:textId="0D2D989D" w:rsidR="00677435" w:rsidRPr="009C2BA8" w:rsidRDefault="00677435" w:rsidP="00677435">
            <w:pPr>
              <w:jc w:val="center"/>
            </w:pPr>
            <w:r>
              <w:rPr>
                <w:rFonts w:ascii="Calibri" w:hAnsi="Calibri" w:cs="Calibri"/>
                <w:color w:val="000000"/>
              </w:rPr>
              <w:t>1</w:t>
            </w:r>
          </w:p>
        </w:tc>
        <w:tc>
          <w:tcPr>
            <w:tcW w:w="0" w:type="auto"/>
            <w:tcBorders>
              <w:top w:val="nil"/>
              <w:left w:val="nil"/>
              <w:bottom w:val="nil"/>
              <w:right w:val="nil"/>
            </w:tcBorders>
            <w:vAlign w:val="center"/>
          </w:tcPr>
          <w:p w14:paraId="22E7016C" w14:textId="77777777" w:rsidR="00677435" w:rsidRPr="009C2BA8" w:rsidRDefault="00677435" w:rsidP="00677435">
            <w:pPr>
              <w:jc w:val="center"/>
            </w:pPr>
          </w:p>
        </w:tc>
        <w:tc>
          <w:tcPr>
            <w:tcW w:w="0" w:type="auto"/>
            <w:vAlign w:val="center"/>
          </w:tcPr>
          <w:p w14:paraId="132E5059" w14:textId="77777777" w:rsidR="00677435" w:rsidRPr="009C2BA8" w:rsidRDefault="00677435" w:rsidP="00677435">
            <w:pPr>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2CD1E13"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07C480"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0A373F" w14:textId="77777777" w:rsidR="00677435" w:rsidRPr="009C2BA8" w:rsidRDefault="00677435" w:rsidP="00677435">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5F63013" w14:textId="77777777" w:rsidR="00677435" w:rsidRPr="009C2BA8"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9F079E" w14:textId="77777777" w:rsidR="00677435" w:rsidRPr="009C2BA8" w:rsidRDefault="00677435" w:rsidP="00677435">
            <w:pPr>
              <w:jc w:val="center"/>
            </w:pPr>
            <w:r>
              <w:rPr>
                <w:rFonts w:ascii="Calibri" w:hAnsi="Calibri" w:cs="Calibri"/>
                <w:color w:val="000000"/>
              </w:rPr>
              <w:t>0</w:t>
            </w:r>
          </w:p>
        </w:tc>
      </w:tr>
      <w:tr w:rsidR="00677435" w:rsidRPr="00F60A9B" w14:paraId="47D648F5" w14:textId="77777777" w:rsidTr="00BE77A4">
        <w:trPr>
          <w:jc w:val="center"/>
        </w:trPr>
        <w:tc>
          <w:tcPr>
            <w:tcW w:w="0" w:type="auto"/>
            <w:tcBorders>
              <w:right w:val="single" w:sz="12" w:space="0" w:color="auto"/>
            </w:tcBorders>
            <w:vAlign w:val="center"/>
          </w:tcPr>
          <w:p w14:paraId="519D5DA2" w14:textId="77777777" w:rsidR="00677435" w:rsidRPr="005B7BEE" w:rsidRDefault="00677435" w:rsidP="00677435">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D1DEFFD" w14:textId="426B3771" w:rsidR="00677435" w:rsidRPr="00F60A9B"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8C721D" w14:textId="385CE949"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70274A9" w14:textId="27D5EF13"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426517" w14:textId="4A2564B1"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22CFA33" w14:textId="3F0BF809" w:rsidR="00677435" w:rsidRPr="00F60A9B" w:rsidRDefault="00677435" w:rsidP="00677435">
            <w:pPr>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52873E02" w14:textId="77777777" w:rsidR="00677435" w:rsidRDefault="00000000" w:rsidP="00677435">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2962B782" w14:textId="77777777" w:rsidR="00677435" w:rsidRDefault="00677435" w:rsidP="00677435">
            <w:pPr>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B26B577"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0C7BC3" w14:textId="77777777" w:rsidR="00677435" w:rsidRDefault="00677435" w:rsidP="00677435">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4F4A00A"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AC5BF3"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A505B96" w14:textId="77777777" w:rsidR="00677435" w:rsidRDefault="00677435" w:rsidP="00677435">
            <w:pPr>
              <w:jc w:val="center"/>
            </w:pPr>
            <w:r>
              <w:rPr>
                <w:rFonts w:ascii="Calibri" w:hAnsi="Calibri" w:cs="Calibri"/>
                <w:color w:val="000000"/>
              </w:rPr>
              <w:t>0</w:t>
            </w:r>
          </w:p>
        </w:tc>
      </w:tr>
      <w:tr w:rsidR="00677435" w:rsidRPr="00F60A9B" w14:paraId="5F50A852" w14:textId="77777777" w:rsidTr="00BE77A4">
        <w:trPr>
          <w:jc w:val="center"/>
        </w:trPr>
        <w:tc>
          <w:tcPr>
            <w:tcW w:w="0" w:type="auto"/>
            <w:tcBorders>
              <w:right w:val="single" w:sz="12" w:space="0" w:color="auto"/>
            </w:tcBorders>
            <w:vAlign w:val="center"/>
          </w:tcPr>
          <w:p w14:paraId="02B9B314" w14:textId="77777777" w:rsidR="00677435" w:rsidRPr="005B7BEE" w:rsidRDefault="00677435" w:rsidP="00677435">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917B21A" w14:textId="67BF748F" w:rsidR="00677435" w:rsidRPr="00F60A9B"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D184CE4" w14:textId="6B2CA75E"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84A8F35" w14:textId="2B033FE5"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F64CFED" w14:textId="26D04405"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98991B0" w14:textId="6A8BE2F4" w:rsidR="00677435" w:rsidRPr="00F60A9B" w:rsidRDefault="00677435" w:rsidP="00677435">
            <w:pPr>
              <w:jc w:val="center"/>
            </w:pPr>
            <w:r>
              <w:rPr>
                <w:rFonts w:ascii="Calibri" w:hAnsi="Calibri" w:cs="Calibri"/>
                <w:color w:val="000000"/>
              </w:rPr>
              <w:t>0</w:t>
            </w:r>
          </w:p>
        </w:tc>
        <w:tc>
          <w:tcPr>
            <w:tcW w:w="0" w:type="auto"/>
            <w:tcBorders>
              <w:top w:val="nil"/>
              <w:left w:val="nil"/>
              <w:bottom w:val="nil"/>
              <w:right w:val="nil"/>
            </w:tcBorders>
            <w:vAlign w:val="center"/>
          </w:tcPr>
          <w:p w14:paraId="6DA6D790" w14:textId="77777777" w:rsidR="00677435" w:rsidRDefault="00677435" w:rsidP="00677435">
            <w:pPr>
              <w:jc w:val="center"/>
            </w:pPr>
          </w:p>
        </w:tc>
        <w:tc>
          <w:tcPr>
            <w:tcW w:w="0" w:type="auto"/>
            <w:vAlign w:val="center"/>
          </w:tcPr>
          <w:p w14:paraId="34A8AC38" w14:textId="77777777" w:rsidR="00677435" w:rsidRDefault="00677435" w:rsidP="00677435">
            <w:pPr>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5E3B264"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3F7C32"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8C6A25" w14:textId="77777777" w:rsidR="00677435" w:rsidRDefault="00677435" w:rsidP="00677435">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6ED1016E"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330B9B1" w14:textId="77777777" w:rsidR="00677435" w:rsidRDefault="00677435" w:rsidP="00677435">
            <w:pPr>
              <w:jc w:val="center"/>
            </w:pPr>
            <w:r>
              <w:rPr>
                <w:rFonts w:ascii="Calibri" w:hAnsi="Calibri" w:cs="Calibri"/>
                <w:color w:val="000000"/>
              </w:rPr>
              <w:t>0</w:t>
            </w:r>
          </w:p>
        </w:tc>
      </w:tr>
      <w:tr w:rsidR="00677435" w:rsidRPr="00F60A9B" w14:paraId="2BD8724D" w14:textId="77777777" w:rsidTr="00BE77A4">
        <w:trPr>
          <w:jc w:val="center"/>
        </w:trPr>
        <w:tc>
          <w:tcPr>
            <w:tcW w:w="0" w:type="auto"/>
            <w:tcBorders>
              <w:right w:val="single" w:sz="12" w:space="0" w:color="auto"/>
            </w:tcBorders>
            <w:vAlign w:val="center"/>
          </w:tcPr>
          <w:p w14:paraId="345636A5" w14:textId="77777777" w:rsidR="00677435" w:rsidRPr="005B7BEE" w:rsidRDefault="00677435" w:rsidP="00677435">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A7B1E26" w14:textId="5F68BE3D" w:rsidR="00677435" w:rsidRPr="00F60A9B"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407937" w14:textId="38D07CAD"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76EB8E" w14:textId="447F9FE1"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375F62" w14:textId="037B825A" w:rsidR="00677435" w:rsidRPr="00210DD1"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453004E" w14:textId="3DBB81E7" w:rsidR="00677435" w:rsidRPr="00F60A9B" w:rsidRDefault="00677435" w:rsidP="00677435">
            <w:pPr>
              <w:jc w:val="center"/>
            </w:pPr>
            <w:r>
              <w:rPr>
                <w:rFonts w:ascii="Calibri" w:hAnsi="Calibri" w:cs="Calibri"/>
                <w:color w:val="000000"/>
              </w:rPr>
              <w:t>0</w:t>
            </w:r>
          </w:p>
        </w:tc>
        <w:tc>
          <w:tcPr>
            <w:tcW w:w="0" w:type="auto"/>
            <w:tcBorders>
              <w:top w:val="nil"/>
              <w:left w:val="nil"/>
              <w:bottom w:val="nil"/>
              <w:right w:val="nil"/>
            </w:tcBorders>
            <w:vAlign w:val="center"/>
          </w:tcPr>
          <w:p w14:paraId="6F3F71AC" w14:textId="77777777" w:rsidR="00677435" w:rsidRDefault="00677435" w:rsidP="00677435">
            <w:pPr>
              <w:jc w:val="center"/>
            </w:pPr>
          </w:p>
        </w:tc>
        <w:tc>
          <w:tcPr>
            <w:tcW w:w="0" w:type="auto"/>
            <w:vAlign w:val="center"/>
          </w:tcPr>
          <w:p w14:paraId="6FF8BC4E" w14:textId="77777777" w:rsidR="00677435" w:rsidRDefault="00677435" w:rsidP="00677435">
            <w:pPr>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45D0109"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FD841E"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C2688A" w14:textId="77777777" w:rsidR="00677435" w:rsidRDefault="00677435" w:rsidP="00677435">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313080" w14:textId="77777777" w:rsidR="00677435" w:rsidRDefault="00677435" w:rsidP="00677435">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11E8B73" w14:textId="77777777" w:rsidR="00677435" w:rsidRDefault="00677435" w:rsidP="00677435">
            <w:pPr>
              <w:jc w:val="center"/>
            </w:pPr>
            <w:r>
              <w:rPr>
                <w:rFonts w:ascii="Calibri" w:hAnsi="Calibri" w:cs="Calibri"/>
                <w:color w:val="000000"/>
              </w:rPr>
              <w:t>0</w:t>
            </w:r>
          </w:p>
        </w:tc>
      </w:tr>
      <w:tr w:rsidR="00677435" w:rsidRPr="00F60A9B" w14:paraId="3CAF7322" w14:textId="77777777" w:rsidTr="00BE77A4">
        <w:trPr>
          <w:jc w:val="center"/>
        </w:trPr>
        <w:tc>
          <w:tcPr>
            <w:tcW w:w="0" w:type="auto"/>
            <w:tcBorders>
              <w:right w:val="single" w:sz="12" w:space="0" w:color="auto"/>
            </w:tcBorders>
            <w:vAlign w:val="center"/>
          </w:tcPr>
          <w:p w14:paraId="29A5BE4E" w14:textId="77777777" w:rsidR="00677435" w:rsidRPr="005B7BEE" w:rsidRDefault="00677435" w:rsidP="00677435">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56827101" w14:textId="2973CB96" w:rsidR="00677435" w:rsidRPr="00F60A9B" w:rsidRDefault="00677435" w:rsidP="00677435">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53615D1" w14:textId="2FDD9BD5" w:rsidR="00677435" w:rsidRPr="00210DD1" w:rsidRDefault="00677435" w:rsidP="00677435">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6EFE6B0" w14:textId="73C8483D" w:rsidR="00677435" w:rsidRPr="00210DD1" w:rsidRDefault="00677435" w:rsidP="00677435">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C71E021" w14:textId="37C6EA77" w:rsidR="00677435" w:rsidRPr="00210DD1" w:rsidRDefault="00677435" w:rsidP="00677435">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57B024EF" w14:textId="3E9D7708" w:rsidR="00677435" w:rsidRPr="00F60A9B" w:rsidRDefault="00677435" w:rsidP="00677435">
            <w:pPr>
              <w:keepNext/>
              <w:jc w:val="center"/>
            </w:pPr>
            <w:r>
              <w:rPr>
                <w:rFonts w:ascii="Calibri" w:hAnsi="Calibri" w:cs="Calibri"/>
                <w:color w:val="000000"/>
              </w:rPr>
              <w:t>0</w:t>
            </w:r>
          </w:p>
        </w:tc>
        <w:tc>
          <w:tcPr>
            <w:tcW w:w="0" w:type="auto"/>
            <w:tcBorders>
              <w:top w:val="nil"/>
              <w:left w:val="nil"/>
              <w:bottom w:val="nil"/>
              <w:right w:val="nil"/>
            </w:tcBorders>
            <w:vAlign w:val="center"/>
          </w:tcPr>
          <w:p w14:paraId="1B85C197" w14:textId="77777777" w:rsidR="00677435" w:rsidRDefault="00677435" w:rsidP="00677435">
            <w:pPr>
              <w:keepNext/>
              <w:jc w:val="center"/>
            </w:pPr>
          </w:p>
        </w:tc>
        <w:tc>
          <w:tcPr>
            <w:tcW w:w="0" w:type="auto"/>
            <w:vAlign w:val="center"/>
          </w:tcPr>
          <w:p w14:paraId="75606C62" w14:textId="77777777" w:rsidR="00677435" w:rsidRDefault="00677435" w:rsidP="00677435">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F2AE417" w14:textId="77777777" w:rsidR="00677435" w:rsidRDefault="00677435" w:rsidP="00677435">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B7CFCD3" w14:textId="77777777" w:rsidR="00677435" w:rsidRDefault="00677435" w:rsidP="00677435">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04FC2CE2" w14:textId="77777777" w:rsidR="00677435" w:rsidRDefault="00677435" w:rsidP="00677435">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595281E3" w14:textId="77777777" w:rsidR="00677435" w:rsidRDefault="00677435" w:rsidP="00677435">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D4DCC9D" w14:textId="77777777" w:rsidR="00677435" w:rsidRDefault="00677435" w:rsidP="00677435">
            <w:pPr>
              <w:keepNext/>
              <w:jc w:val="center"/>
            </w:pPr>
            <w:r>
              <w:rPr>
                <w:rFonts w:ascii="Calibri" w:hAnsi="Calibri" w:cs="Calibri"/>
                <w:color w:val="000000"/>
              </w:rPr>
              <w:t>4</w:t>
            </w:r>
          </w:p>
        </w:tc>
      </w:tr>
    </w:tbl>
    <w:p w14:paraId="01166632" w14:textId="77777777" w:rsidR="00677435" w:rsidRDefault="00677435" w:rsidP="00677435">
      <w:pPr>
        <w:pStyle w:val="ListParagraph"/>
        <w:ind w:left="1152"/>
      </w:pPr>
    </w:p>
    <w:p w14:paraId="6DF31044" w14:textId="77777777" w:rsidR="00677435" w:rsidRDefault="00677435" w:rsidP="00677435">
      <w:pPr>
        <w:pStyle w:val="ListParagraph"/>
        <w:ind w:left="1152"/>
      </w:pPr>
    </w:p>
    <w:p w14:paraId="0CF095AA" w14:textId="0F41D18A" w:rsidR="00576914" w:rsidRDefault="00576914">
      <w:pPr>
        <w:pStyle w:val="ListParagraph"/>
        <w:numPr>
          <w:ilvl w:val="2"/>
          <w:numId w:val="30"/>
        </w:numPr>
      </w:pPr>
      <w:r>
        <w:t>We can then use ‘Moving Similar Risks’ to move one risk from the left-hand side’s ‘Often / Minor’ to  the ‘Expected / Negligible’ and move another risk to the ‘Frequent / Serious / Major’ risk</w:t>
      </w:r>
      <w:r w:rsidR="007026E6" w:rsidRPr="007026E6">
        <w:t xml:space="preserve"> </w:t>
      </w:r>
      <w:r w:rsidR="007026E6">
        <w:t>without changing which side of the equation has the most risk</w:t>
      </w:r>
      <w:r>
        <w:t xml:space="preserve">.  </w:t>
      </w:r>
    </w:p>
    <w:p w14:paraId="161D733D" w14:textId="77777777" w:rsidR="00576914" w:rsidRDefault="00576914" w:rsidP="00576914">
      <w:pPr>
        <w:pStyle w:val="ListParagraph"/>
      </w:pPr>
    </w:p>
    <w:p w14:paraId="0995635E" w14:textId="629740D9" w:rsidR="00576914" w:rsidRDefault="00576914" w:rsidP="00576914">
      <w:pPr>
        <w:pStyle w:val="ListParagraph"/>
      </w:pPr>
      <w:r>
        <w:t xml:space="preserve">At this point, </w:t>
      </w:r>
      <w:r>
        <w:fldChar w:fldCharType="begin"/>
      </w:r>
      <w:r>
        <w:instrText xml:space="preserve"> REF _Ref148260165 \h </w:instrText>
      </w:r>
      <w:r>
        <w:fldChar w:fldCharType="separate"/>
      </w:r>
      <w:r>
        <w:t xml:space="preserve">Equation </w:t>
      </w:r>
      <w:r>
        <w:rPr>
          <w:noProof/>
        </w:rPr>
        <w:t>25</w:t>
      </w:r>
      <w:r>
        <w:fldChar w:fldCharType="end"/>
      </w:r>
      <w:r>
        <w:t xml:space="preserve"> has become: </w:t>
      </w:r>
    </w:p>
    <w:p w14:paraId="171BCF5D" w14:textId="77777777" w:rsidR="00576914" w:rsidRDefault="00576914" w:rsidP="00576914">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9C2BA8" w:rsidRPr="00F60A9B" w14:paraId="0D4FEB01" w14:textId="77777777" w:rsidTr="00BE77A4">
        <w:trPr>
          <w:tblHeader/>
          <w:jc w:val="center"/>
        </w:trPr>
        <w:tc>
          <w:tcPr>
            <w:tcW w:w="0" w:type="auto"/>
            <w:tcBorders>
              <w:top w:val="nil"/>
              <w:left w:val="nil"/>
              <w:bottom w:val="single" w:sz="4" w:space="0" w:color="auto"/>
            </w:tcBorders>
            <w:vAlign w:val="center"/>
          </w:tcPr>
          <w:p w14:paraId="180A65B8" w14:textId="77777777" w:rsidR="009C2BA8" w:rsidRPr="00F60A9B" w:rsidRDefault="00000000" w:rsidP="00BE77A4">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61ED088D" w14:textId="77777777" w:rsidR="009C2BA8" w:rsidRPr="00274522" w:rsidRDefault="009C2BA8" w:rsidP="00BE77A4">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5D6DF8B7" w14:textId="77777777" w:rsidR="009C2BA8" w:rsidRPr="00274522" w:rsidRDefault="009C2BA8" w:rsidP="00BE77A4">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5EEB691C" w14:textId="77777777" w:rsidR="009C2BA8" w:rsidRPr="00274522" w:rsidRDefault="009C2BA8" w:rsidP="00BE77A4">
            <w:pPr>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082C2ED7" w14:textId="77777777" w:rsidR="009C2BA8" w:rsidRPr="00274522" w:rsidRDefault="009C2BA8" w:rsidP="00BE77A4">
            <w:pPr>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220DB584" w14:textId="77777777" w:rsidR="009C2BA8" w:rsidRPr="00274522" w:rsidRDefault="009C2BA8" w:rsidP="00BE77A4">
            <w:pPr>
              <w:jc w:val="center"/>
              <w:rPr>
                <w:sz w:val="14"/>
                <w:szCs w:val="14"/>
              </w:rPr>
            </w:pPr>
            <w:r w:rsidRPr="00274522">
              <w:rPr>
                <w:sz w:val="14"/>
                <w:szCs w:val="14"/>
              </w:rPr>
              <w:t xml:space="preserve">Catastrophic </w:t>
            </w:r>
          </w:p>
          <w:p w14:paraId="02F94067" w14:textId="77777777" w:rsidR="009C2BA8" w:rsidRPr="00274522" w:rsidRDefault="009C2BA8" w:rsidP="00BE77A4">
            <w:pPr>
              <w:jc w:val="center"/>
              <w:rPr>
                <w:sz w:val="14"/>
                <w:szCs w:val="14"/>
              </w:rPr>
            </w:pPr>
            <w:r w:rsidRPr="00274522">
              <w:rPr>
                <w:sz w:val="14"/>
                <w:szCs w:val="14"/>
              </w:rPr>
              <w:t>/ Fatal</w:t>
            </w:r>
          </w:p>
        </w:tc>
        <w:tc>
          <w:tcPr>
            <w:tcW w:w="0" w:type="auto"/>
            <w:tcBorders>
              <w:top w:val="nil"/>
              <w:left w:val="nil"/>
              <w:bottom w:val="nil"/>
              <w:right w:val="nil"/>
            </w:tcBorders>
            <w:vAlign w:val="center"/>
          </w:tcPr>
          <w:p w14:paraId="2F2872C8" w14:textId="77777777" w:rsidR="009C2BA8" w:rsidRPr="00274522" w:rsidRDefault="009C2BA8" w:rsidP="00BE77A4">
            <w:pPr>
              <w:jc w:val="center"/>
              <w:rPr>
                <w:sz w:val="14"/>
                <w:szCs w:val="14"/>
              </w:rPr>
            </w:pPr>
          </w:p>
        </w:tc>
        <w:tc>
          <w:tcPr>
            <w:tcW w:w="0" w:type="auto"/>
            <w:tcBorders>
              <w:top w:val="nil"/>
              <w:left w:val="nil"/>
              <w:bottom w:val="single" w:sz="12" w:space="0" w:color="auto"/>
            </w:tcBorders>
            <w:vAlign w:val="center"/>
          </w:tcPr>
          <w:p w14:paraId="3DC82173" w14:textId="77777777" w:rsidR="009C2BA8" w:rsidRPr="00274522" w:rsidRDefault="00000000" w:rsidP="00BE77A4">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41B80B80" w14:textId="77777777" w:rsidR="009C2BA8" w:rsidRPr="00274522" w:rsidRDefault="009C2BA8" w:rsidP="00BE77A4">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4C9DF55B" w14:textId="77777777" w:rsidR="009C2BA8" w:rsidRPr="00274522" w:rsidRDefault="009C2BA8" w:rsidP="00BE77A4">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62DA8550" w14:textId="77777777" w:rsidR="009C2BA8" w:rsidRPr="005B7BEE" w:rsidRDefault="009C2BA8" w:rsidP="00BE77A4">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439456C" w14:textId="77777777" w:rsidR="009C2BA8" w:rsidRPr="005B7BEE" w:rsidRDefault="009C2BA8" w:rsidP="00BE77A4">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42927A2" w14:textId="77777777" w:rsidR="009C2BA8" w:rsidRPr="005B7BEE" w:rsidRDefault="009C2BA8" w:rsidP="00BE77A4">
            <w:pPr>
              <w:jc w:val="center"/>
              <w:rPr>
                <w:sz w:val="14"/>
                <w:szCs w:val="14"/>
              </w:rPr>
            </w:pPr>
            <w:r w:rsidRPr="005B7BEE">
              <w:rPr>
                <w:sz w:val="14"/>
                <w:szCs w:val="14"/>
              </w:rPr>
              <w:t xml:space="preserve">Catastrophic </w:t>
            </w:r>
          </w:p>
          <w:p w14:paraId="49E2652A" w14:textId="77777777" w:rsidR="009C2BA8" w:rsidRDefault="009C2BA8" w:rsidP="00BE77A4">
            <w:pPr>
              <w:jc w:val="center"/>
              <w:rPr>
                <w:rFonts w:ascii="Calibri" w:eastAsia="Calibri" w:hAnsi="Calibri" w:cs="Times New Roman"/>
              </w:rPr>
            </w:pPr>
            <w:r w:rsidRPr="005B7BEE">
              <w:rPr>
                <w:sz w:val="14"/>
                <w:szCs w:val="14"/>
              </w:rPr>
              <w:t>/ Fatal</w:t>
            </w:r>
          </w:p>
        </w:tc>
      </w:tr>
      <w:tr w:rsidR="007026E6" w:rsidRPr="00F60A9B" w14:paraId="498CCA38" w14:textId="77777777" w:rsidTr="00677435">
        <w:trPr>
          <w:jc w:val="center"/>
        </w:trPr>
        <w:tc>
          <w:tcPr>
            <w:tcW w:w="0" w:type="auto"/>
            <w:tcBorders>
              <w:top w:val="single" w:sz="4" w:space="0" w:color="auto"/>
              <w:right w:val="single" w:sz="12" w:space="0" w:color="auto"/>
            </w:tcBorders>
            <w:vAlign w:val="center"/>
          </w:tcPr>
          <w:p w14:paraId="4DF74AAC" w14:textId="77777777" w:rsidR="007026E6" w:rsidRPr="005B7BEE" w:rsidRDefault="007026E6" w:rsidP="007026E6">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22F88300" w14:textId="1F37EE66" w:rsidR="007026E6" w:rsidRPr="00274522" w:rsidRDefault="00677435" w:rsidP="007026E6">
            <w:pPr>
              <w:jc w:val="center"/>
            </w:pPr>
            <w:r>
              <w:rPr>
                <w:rFonts w:ascii="Calibri" w:hAnsi="Calibri" w:cs="Calibri"/>
                <w:color w:val="000000"/>
              </w:rPr>
              <w:t xml:space="preserve">O + 1 = </w:t>
            </w:r>
            <w:r w:rsidR="007026E6">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32C65AA9" w14:textId="6290922B" w:rsidR="007026E6" w:rsidRPr="00274522" w:rsidRDefault="007026E6" w:rsidP="007026E6">
            <w:pPr>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7E90E00E" w14:textId="5B980126" w:rsidR="007026E6" w:rsidRPr="00274522" w:rsidRDefault="007026E6" w:rsidP="007026E6">
            <w:pPr>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16F0710D" w14:textId="176E0784" w:rsidR="007026E6" w:rsidRPr="00274522" w:rsidRDefault="007026E6" w:rsidP="007026E6">
            <w:pPr>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212DABDC" w14:textId="23CB63D7" w:rsidR="007026E6" w:rsidRPr="00274522" w:rsidRDefault="007026E6" w:rsidP="007026E6">
            <w:pPr>
              <w:jc w:val="center"/>
            </w:pPr>
            <w:r>
              <w:rPr>
                <w:rFonts w:ascii="Calibri" w:hAnsi="Calibri" w:cs="Calibri"/>
                <w:color w:val="000000"/>
              </w:rPr>
              <w:t>1</w:t>
            </w:r>
          </w:p>
        </w:tc>
        <w:tc>
          <w:tcPr>
            <w:tcW w:w="0" w:type="auto"/>
            <w:tcBorders>
              <w:top w:val="nil"/>
              <w:left w:val="nil"/>
              <w:bottom w:val="nil"/>
              <w:right w:val="nil"/>
            </w:tcBorders>
            <w:vAlign w:val="center"/>
          </w:tcPr>
          <w:p w14:paraId="7026C9DF" w14:textId="77777777" w:rsidR="007026E6" w:rsidRPr="00274522" w:rsidRDefault="007026E6" w:rsidP="007026E6">
            <w:pPr>
              <w:jc w:val="center"/>
            </w:pPr>
          </w:p>
        </w:tc>
        <w:tc>
          <w:tcPr>
            <w:tcW w:w="0" w:type="auto"/>
            <w:tcBorders>
              <w:top w:val="single" w:sz="12" w:space="0" w:color="auto"/>
            </w:tcBorders>
            <w:vAlign w:val="center"/>
          </w:tcPr>
          <w:p w14:paraId="1B1B5DA2" w14:textId="77777777" w:rsidR="007026E6" w:rsidRPr="00274522" w:rsidRDefault="007026E6" w:rsidP="007026E6">
            <w:pPr>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3E3DFCE" w14:textId="397AC84A" w:rsidR="007026E6" w:rsidRPr="00274522" w:rsidRDefault="007026E6" w:rsidP="007026E6">
            <w:pPr>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580D8E0B" w14:textId="7F7B6386" w:rsidR="007026E6" w:rsidRPr="00274522" w:rsidRDefault="007026E6" w:rsidP="007026E6">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B0F1C48" w14:textId="69682E33" w:rsidR="007026E6" w:rsidRDefault="007026E6" w:rsidP="007026E6">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DBCB94B" w14:textId="7B89E5BD" w:rsidR="007026E6" w:rsidRDefault="007026E6" w:rsidP="007026E6">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3C1D427F" w14:textId="43596AF7" w:rsidR="007026E6" w:rsidRDefault="007026E6" w:rsidP="007026E6">
            <w:pPr>
              <w:jc w:val="center"/>
            </w:pPr>
            <w:r>
              <w:rPr>
                <w:rFonts w:ascii="Calibri" w:hAnsi="Calibri" w:cs="Calibri"/>
                <w:color w:val="000000"/>
              </w:rPr>
              <w:t>0</w:t>
            </w:r>
          </w:p>
        </w:tc>
      </w:tr>
      <w:tr w:rsidR="007026E6" w:rsidRPr="00F60A9B" w14:paraId="780B6C26" w14:textId="77777777" w:rsidTr="00677435">
        <w:trPr>
          <w:jc w:val="center"/>
        </w:trPr>
        <w:tc>
          <w:tcPr>
            <w:tcW w:w="0" w:type="auto"/>
            <w:tcBorders>
              <w:right w:val="single" w:sz="12" w:space="0" w:color="auto"/>
            </w:tcBorders>
            <w:vAlign w:val="center"/>
          </w:tcPr>
          <w:p w14:paraId="39369625" w14:textId="77777777" w:rsidR="007026E6" w:rsidRPr="005B7BEE" w:rsidRDefault="007026E6" w:rsidP="007026E6">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E2ACE12" w14:textId="466BB0CD" w:rsidR="007026E6" w:rsidRPr="009C2BA8" w:rsidRDefault="007026E6" w:rsidP="007026E6">
            <w:pPr>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30976D" w14:textId="4FAD782F" w:rsidR="007026E6" w:rsidRPr="009C2BA8" w:rsidRDefault="00677435" w:rsidP="007026E6">
            <w:pPr>
              <w:jc w:val="center"/>
            </w:pPr>
            <w:r>
              <w:rPr>
                <w:rFonts w:ascii="Calibri" w:hAnsi="Calibri" w:cs="Calibri"/>
                <w:color w:val="000000"/>
              </w:rPr>
              <w:t xml:space="preserve">10 – 2 = </w:t>
            </w:r>
            <w:r w:rsidR="007026E6">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vAlign w:val="bottom"/>
          </w:tcPr>
          <w:p w14:paraId="222E196D" w14:textId="73DC7617"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92227E" w14:textId="255E19C9" w:rsidR="007026E6" w:rsidRPr="009C2BA8" w:rsidRDefault="007026E6" w:rsidP="007026E6">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4A4228F2" w14:textId="4E5B6057" w:rsidR="007026E6" w:rsidRPr="009C2BA8" w:rsidRDefault="007026E6" w:rsidP="007026E6">
            <w:pPr>
              <w:jc w:val="center"/>
            </w:pPr>
            <w:r>
              <w:rPr>
                <w:rFonts w:ascii="Calibri" w:hAnsi="Calibri" w:cs="Calibri"/>
                <w:color w:val="000000"/>
              </w:rPr>
              <w:t>0</w:t>
            </w:r>
          </w:p>
        </w:tc>
        <w:tc>
          <w:tcPr>
            <w:tcW w:w="0" w:type="auto"/>
            <w:tcBorders>
              <w:top w:val="nil"/>
              <w:left w:val="nil"/>
              <w:bottom w:val="nil"/>
              <w:right w:val="nil"/>
            </w:tcBorders>
            <w:vAlign w:val="center"/>
          </w:tcPr>
          <w:p w14:paraId="67299857" w14:textId="77777777" w:rsidR="007026E6" w:rsidRPr="009C2BA8" w:rsidRDefault="007026E6" w:rsidP="007026E6">
            <w:pPr>
              <w:jc w:val="center"/>
            </w:pPr>
          </w:p>
        </w:tc>
        <w:tc>
          <w:tcPr>
            <w:tcW w:w="0" w:type="auto"/>
            <w:vAlign w:val="center"/>
          </w:tcPr>
          <w:p w14:paraId="41C625EF" w14:textId="77777777" w:rsidR="007026E6" w:rsidRPr="009C2BA8" w:rsidRDefault="007026E6" w:rsidP="007026E6">
            <w:pPr>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9AA23FA" w14:textId="5F5BA080"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332C13" w14:textId="1D1F8AB5"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2EB137" w14:textId="01D783D4"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F515C6D" w14:textId="601DD9C6"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F53AC71" w14:textId="3158253B" w:rsidR="007026E6" w:rsidRPr="009C2BA8" w:rsidRDefault="007026E6" w:rsidP="007026E6">
            <w:pPr>
              <w:jc w:val="center"/>
            </w:pPr>
            <w:r>
              <w:rPr>
                <w:rFonts w:ascii="Calibri" w:hAnsi="Calibri" w:cs="Calibri"/>
                <w:color w:val="000000"/>
              </w:rPr>
              <w:t>0</w:t>
            </w:r>
          </w:p>
        </w:tc>
      </w:tr>
      <w:tr w:rsidR="007026E6" w:rsidRPr="00F60A9B" w14:paraId="1D2894B6" w14:textId="77777777" w:rsidTr="00677435">
        <w:trPr>
          <w:jc w:val="center"/>
        </w:trPr>
        <w:tc>
          <w:tcPr>
            <w:tcW w:w="0" w:type="auto"/>
            <w:tcBorders>
              <w:right w:val="single" w:sz="12" w:space="0" w:color="auto"/>
            </w:tcBorders>
            <w:vAlign w:val="center"/>
          </w:tcPr>
          <w:p w14:paraId="6940ECCE" w14:textId="77777777" w:rsidR="007026E6" w:rsidRPr="005B7BEE" w:rsidRDefault="007026E6" w:rsidP="007026E6">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AC9968A" w14:textId="65155242"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A12811" w14:textId="200E3D33" w:rsidR="007026E6" w:rsidRPr="009C2BA8" w:rsidRDefault="007026E6" w:rsidP="007026E6">
            <w:pPr>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8AD870" w14:textId="135E3C0C" w:rsidR="007026E6" w:rsidRPr="009C2BA8" w:rsidRDefault="00677435" w:rsidP="007026E6">
            <w:pPr>
              <w:jc w:val="center"/>
            </w:pPr>
            <w:r>
              <w:rPr>
                <w:rFonts w:ascii="Calibri" w:hAnsi="Calibri" w:cs="Calibri"/>
                <w:color w:val="000000"/>
              </w:rPr>
              <w:t xml:space="preserve">0 + 1 = </w:t>
            </w:r>
            <w:r w:rsidR="007026E6">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89E065F" w14:textId="0E2A03C2"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1674181" w14:textId="0BDDD92E" w:rsidR="007026E6" w:rsidRPr="009C2BA8" w:rsidRDefault="007026E6" w:rsidP="007026E6">
            <w:pPr>
              <w:jc w:val="center"/>
            </w:pPr>
            <w:r>
              <w:rPr>
                <w:rFonts w:ascii="Calibri" w:hAnsi="Calibri" w:cs="Calibri"/>
                <w:color w:val="000000"/>
              </w:rPr>
              <w:t>1</w:t>
            </w:r>
          </w:p>
        </w:tc>
        <w:tc>
          <w:tcPr>
            <w:tcW w:w="0" w:type="auto"/>
            <w:tcBorders>
              <w:top w:val="nil"/>
              <w:left w:val="nil"/>
              <w:bottom w:val="nil"/>
              <w:right w:val="nil"/>
            </w:tcBorders>
            <w:vAlign w:val="center"/>
          </w:tcPr>
          <w:p w14:paraId="1148C749" w14:textId="77777777" w:rsidR="007026E6" w:rsidRPr="009C2BA8" w:rsidRDefault="007026E6" w:rsidP="007026E6">
            <w:pPr>
              <w:jc w:val="center"/>
            </w:pPr>
          </w:p>
        </w:tc>
        <w:tc>
          <w:tcPr>
            <w:tcW w:w="0" w:type="auto"/>
            <w:vAlign w:val="center"/>
          </w:tcPr>
          <w:p w14:paraId="3011F1B2" w14:textId="77777777" w:rsidR="007026E6" w:rsidRPr="009C2BA8" w:rsidRDefault="007026E6" w:rsidP="007026E6">
            <w:pPr>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B71F9A7" w14:textId="14D07F9B"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835A28" w14:textId="56C513AF"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02665E2" w14:textId="155E9E17" w:rsidR="007026E6" w:rsidRPr="009C2BA8" w:rsidRDefault="007026E6" w:rsidP="007026E6">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C1F4F2A" w14:textId="5D6C0E87" w:rsidR="007026E6" w:rsidRPr="009C2BA8"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2CE3B5" w14:textId="725AA622" w:rsidR="007026E6" w:rsidRPr="009C2BA8" w:rsidRDefault="007026E6" w:rsidP="007026E6">
            <w:pPr>
              <w:jc w:val="center"/>
            </w:pPr>
            <w:r>
              <w:rPr>
                <w:rFonts w:ascii="Calibri" w:hAnsi="Calibri" w:cs="Calibri"/>
                <w:color w:val="000000"/>
              </w:rPr>
              <w:t>0</w:t>
            </w:r>
          </w:p>
        </w:tc>
      </w:tr>
      <w:tr w:rsidR="007026E6" w:rsidRPr="00F60A9B" w14:paraId="725EA91B" w14:textId="77777777" w:rsidTr="00B91170">
        <w:trPr>
          <w:jc w:val="center"/>
        </w:trPr>
        <w:tc>
          <w:tcPr>
            <w:tcW w:w="0" w:type="auto"/>
            <w:tcBorders>
              <w:right w:val="single" w:sz="12" w:space="0" w:color="auto"/>
            </w:tcBorders>
            <w:vAlign w:val="center"/>
          </w:tcPr>
          <w:p w14:paraId="38DDCA8E" w14:textId="77777777" w:rsidR="007026E6" w:rsidRPr="005B7BEE" w:rsidRDefault="007026E6" w:rsidP="007026E6">
            <w:pPr>
              <w:rPr>
                <w:sz w:val="14"/>
                <w:szCs w:val="14"/>
              </w:rPr>
            </w:pPr>
            <w:r w:rsidRPr="005B7BEE">
              <w:rPr>
                <w:sz w:val="14"/>
                <w:szCs w:val="14"/>
              </w:rPr>
              <w:lastRenderedPageBreak/>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FB08B85" w14:textId="5B3D9B13" w:rsidR="007026E6" w:rsidRPr="00F60A9B"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E5304E" w14:textId="08D45F2A"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D7AE2A6" w14:textId="5C0F61B1"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55CAA0" w14:textId="559D59BA"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C4B518A" w14:textId="50F388EA" w:rsidR="007026E6" w:rsidRPr="00F60A9B" w:rsidRDefault="007026E6" w:rsidP="007026E6">
            <w:pPr>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3083E6E3" w14:textId="77777777" w:rsidR="007026E6" w:rsidRDefault="00000000" w:rsidP="007026E6">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4F3D5E71" w14:textId="77777777" w:rsidR="007026E6" w:rsidRDefault="007026E6" w:rsidP="007026E6">
            <w:pPr>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5CF5F0" w14:textId="2C16D457"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53A659" w14:textId="6D158FB3" w:rsidR="007026E6" w:rsidRDefault="007026E6" w:rsidP="007026E6">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21539C" w14:textId="21012979"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91877E" w14:textId="68925E29"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007B2AE" w14:textId="14451639" w:rsidR="007026E6" w:rsidRDefault="007026E6" w:rsidP="007026E6">
            <w:pPr>
              <w:jc w:val="center"/>
            </w:pPr>
            <w:r>
              <w:rPr>
                <w:rFonts w:ascii="Calibri" w:hAnsi="Calibri" w:cs="Calibri"/>
                <w:color w:val="000000"/>
              </w:rPr>
              <w:t>0</w:t>
            </w:r>
          </w:p>
        </w:tc>
      </w:tr>
      <w:tr w:rsidR="007026E6" w:rsidRPr="00F60A9B" w14:paraId="54956966" w14:textId="77777777" w:rsidTr="00B91170">
        <w:trPr>
          <w:jc w:val="center"/>
        </w:trPr>
        <w:tc>
          <w:tcPr>
            <w:tcW w:w="0" w:type="auto"/>
            <w:tcBorders>
              <w:right w:val="single" w:sz="12" w:space="0" w:color="auto"/>
            </w:tcBorders>
            <w:vAlign w:val="center"/>
          </w:tcPr>
          <w:p w14:paraId="348A603A" w14:textId="77777777" w:rsidR="007026E6" w:rsidRPr="005B7BEE" w:rsidRDefault="007026E6" w:rsidP="007026E6">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B9A6ECE" w14:textId="6EA3B5D3" w:rsidR="007026E6" w:rsidRPr="00F60A9B"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99B798" w14:textId="5D5AC4D3"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250521" w14:textId="220EACEB"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42A4B2" w14:textId="00989013"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CB5151B" w14:textId="48B945E0" w:rsidR="007026E6" w:rsidRPr="00F60A9B" w:rsidRDefault="007026E6" w:rsidP="007026E6">
            <w:pPr>
              <w:jc w:val="center"/>
            </w:pPr>
            <w:r>
              <w:rPr>
                <w:rFonts w:ascii="Calibri" w:hAnsi="Calibri" w:cs="Calibri"/>
                <w:color w:val="000000"/>
              </w:rPr>
              <w:t>0</w:t>
            </w:r>
          </w:p>
        </w:tc>
        <w:tc>
          <w:tcPr>
            <w:tcW w:w="0" w:type="auto"/>
            <w:tcBorders>
              <w:top w:val="nil"/>
              <w:left w:val="nil"/>
              <w:bottom w:val="nil"/>
              <w:right w:val="nil"/>
            </w:tcBorders>
            <w:vAlign w:val="center"/>
          </w:tcPr>
          <w:p w14:paraId="79F7A1D8" w14:textId="77777777" w:rsidR="007026E6" w:rsidRDefault="007026E6" w:rsidP="007026E6">
            <w:pPr>
              <w:jc w:val="center"/>
            </w:pPr>
          </w:p>
        </w:tc>
        <w:tc>
          <w:tcPr>
            <w:tcW w:w="0" w:type="auto"/>
            <w:vAlign w:val="center"/>
          </w:tcPr>
          <w:p w14:paraId="2C08D12F" w14:textId="77777777" w:rsidR="007026E6" w:rsidRDefault="007026E6" w:rsidP="007026E6">
            <w:pPr>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94DB956" w14:textId="708C90F3"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CBFA19" w14:textId="6203C5E6"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467376" w14:textId="3F08B131" w:rsidR="007026E6" w:rsidRDefault="007026E6" w:rsidP="007026E6">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72C862A9" w14:textId="6946BF7B"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C7DE3B6" w14:textId="7FF65740" w:rsidR="007026E6" w:rsidRDefault="007026E6" w:rsidP="007026E6">
            <w:pPr>
              <w:jc w:val="center"/>
            </w:pPr>
            <w:r>
              <w:rPr>
                <w:rFonts w:ascii="Calibri" w:hAnsi="Calibri" w:cs="Calibri"/>
                <w:color w:val="000000"/>
              </w:rPr>
              <w:t>0</w:t>
            </w:r>
          </w:p>
        </w:tc>
      </w:tr>
      <w:tr w:rsidR="007026E6" w:rsidRPr="00F60A9B" w14:paraId="37E172D0" w14:textId="77777777" w:rsidTr="00B91170">
        <w:trPr>
          <w:jc w:val="center"/>
        </w:trPr>
        <w:tc>
          <w:tcPr>
            <w:tcW w:w="0" w:type="auto"/>
            <w:tcBorders>
              <w:right w:val="single" w:sz="12" w:space="0" w:color="auto"/>
            </w:tcBorders>
            <w:vAlign w:val="center"/>
          </w:tcPr>
          <w:p w14:paraId="02F9554F" w14:textId="77777777" w:rsidR="007026E6" w:rsidRPr="005B7BEE" w:rsidRDefault="007026E6" w:rsidP="007026E6">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24A76B7" w14:textId="3DB47F33" w:rsidR="007026E6" w:rsidRPr="00F60A9B"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DB91B1A" w14:textId="73C68D48"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51B65E" w14:textId="277CD76B"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6CE3326" w14:textId="4DD05BE4" w:rsidR="007026E6" w:rsidRPr="00210DD1"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F8D3484" w14:textId="4712135C" w:rsidR="007026E6" w:rsidRPr="00F60A9B" w:rsidRDefault="007026E6" w:rsidP="007026E6">
            <w:pPr>
              <w:jc w:val="center"/>
            </w:pPr>
            <w:r>
              <w:rPr>
                <w:rFonts w:ascii="Calibri" w:hAnsi="Calibri" w:cs="Calibri"/>
                <w:color w:val="000000"/>
              </w:rPr>
              <w:t>0</w:t>
            </w:r>
          </w:p>
        </w:tc>
        <w:tc>
          <w:tcPr>
            <w:tcW w:w="0" w:type="auto"/>
            <w:tcBorders>
              <w:top w:val="nil"/>
              <w:left w:val="nil"/>
              <w:bottom w:val="nil"/>
              <w:right w:val="nil"/>
            </w:tcBorders>
            <w:vAlign w:val="center"/>
          </w:tcPr>
          <w:p w14:paraId="37245B29" w14:textId="77777777" w:rsidR="007026E6" w:rsidRDefault="007026E6" w:rsidP="007026E6">
            <w:pPr>
              <w:jc w:val="center"/>
            </w:pPr>
          </w:p>
        </w:tc>
        <w:tc>
          <w:tcPr>
            <w:tcW w:w="0" w:type="auto"/>
            <w:vAlign w:val="center"/>
          </w:tcPr>
          <w:p w14:paraId="08C9F802" w14:textId="77777777" w:rsidR="007026E6" w:rsidRDefault="007026E6" w:rsidP="007026E6">
            <w:pPr>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73C1C79" w14:textId="0DFD6B79"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1D2D30" w14:textId="71D878A4"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5B8578" w14:textId="4476E8C1" w:rsidR="007026E6" w:rsidRDefault="007026E6" w:rsidP="007026E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C1C302C" w14:textId="4FC7353C" w:rsidR="007026E6" w:rsidRDefault="007026E6" w:rsidP="007026E6">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070F12E" w14:textId="702EDAE5" w:rsidR="007026E6" w:rsidRDefault="007026E6" w:rsidP="007026E6">
            <w:pPr>
              <w:jc w:val="center"/>
            </w:pPr>
            <w:r>
              <w:rPr>
                <w:rFonts w:ascii="Calibri" w:hAnsi="Calibri" w:cs="Calibri"/>
                <w:color w:val="000000"/>
              </w:rPr>
              <w:t>0</w:t>
            </w:r>
          </w:p>
        </w:tc>
      </w:tr>
      <w:tr w:rsidR="007026E6" w:rsidRPr="00F60A9B" w14:paraId="0F0EDB8F" w14:textId="77777777" w:rsidTr="00B91170">
        <w:trPr>
          <w:jc w:val="center"/>
        </w:trPr>
        <w:tc>
          <w:tcPr>
            <w:tcW w:w="0" w:type="auto"/>
            <w:tcBorders>
              <w:right w:val="single" w:sz="12" w:space="0" w:color="auto"/>
            </w:tcBorders>
            <w:vAlign w:val="center"/>
          </w:tcPr>
          <w:p w14:paraId="5EFE6E33" w14:textId="77777777" w:rsidR="007026E6" w:rsidRPr="005B7BEE" w:rsidRDefault="007026E6" w:rsidP="007026E6">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1D69628" w14:textId="3CEB5E75" w:rsidR="007026E6" w:rsidRPr="00F60A9B" w:rsidRDefault="007026E6" w:rsidP="007026E6">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04B7180" w14:textId="319AB863" w:rsidR="007026E6" w:rsidRPr="00210DD1" w:rsidRDefault="007026E6" w:rsidP="007026E6">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94DDD5E" w14:textId="001FEE35" w:rsidR="007026E6" w:rsidRPr="00210DD1" w:rsidRDefault="007026E6" w:rsidP="007026E6">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B323CE2" w14:textId="40580324" w:rsidR="007026E6" w:rsidRPr="00210DD1" w:rsidRDefault="007026E6" w:rsidP="007026E6">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01569B3F" w14:textId="624A6A8F" w:rsidR="007026E6" w:rsidRPr="00F60A9B" w:rsidRDefault="007026E6" w:rsidP="007026E6">
            <w:pPr>
              <w:keepNext/>
              <w:jc w:val="center"/>
            </w:pPr>
            <w:r>
              <w:rPr>
                <w:rFonts w:ascii="Calibri" w:hAnsi="Calibri" w:cs="Calibri"/>
                <w:color w:val="000000"/>
              </w:rPr>
              <w:t>0</w:t>
            </w:r>
          </w:p>
        </w:tc>
        <w:tc>
          <w:tcPr>
            <w:tcW w:w="0" w:type="auto"/>
            <w:tcBorders>
              <w:top w:val="nil"/>
              <w:left w:val="nil"/>
              <w:bottom w:val="nil"/>
              <w:right w:val="nil"/>
            </w:tcBorders>
            <w:vAlign w:val="center"/>
          </w:tcPr>
          <w:p w14:paraId="728E7E26" w14:textId="77777777" w:rsidR="007026E6" w:rsidRDefault="007026E6" w:rsidP="007026E6">
            <w:pPr>
              <w:keepNext/>
              <w:jc w:val="center"/>
            </w:pPr>
          </w:p>
        </w:tc>
        <w:tc>
          <w:tcPr>
            <w:tcW w:w="0" w:type="auto"/>
            <w:vAlign w:val="center"/>
          </w:tcPr>
          <w:p w14:paraId="5F8A75D5" w14:textId="77777777" w:rsidR="007026E6" w:rsidRDefault="007026E6" w:rsidP="007026E6">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5DD765B0" w14:textId="4F2258A6" w:rsidR="007026E6" w:rsidRDefault="007026E6" w:rsidP="007026E6">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B64EDB3" w14:textId="35693197" w:rsidR="007026E6" w:rsidRDefault="007026E6" w:rsidP="007026E6">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9FFC0EB" w14:textId="61251DC5" w:rsidR="007026E6" w:rsidRDefault="007026E6" w:rsidP="007026E6">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4398EFDB" w14:textId="12EE320B" w:rsidR="007026E6" w:rsidRDefault="007026E6" w:rsidP="007026E6">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5D368165" w14:textId="1743C194" w:rsidR="007026E6" w:rsidRDefault="007026E6" w:rsidP="007026E6">
            <w:pPr>
              <w:keepNext/>
              <w:jc w:val="center"/>
            </w:pPr>
            <w:r>
              <w:rPr>
                <w:rFonts w:ascii="Calibri" w:hAnsi="Calibri" w:cs="Calibri"/>
                <w:color w:val="000000"/>
              </w:rPr>
              <w:t>4</w:t>
            </w:r>
          </w:p>
        </w:tc>
      </w:tr>
    </w:tbl>
    <w:p w14:paraId="0A2F574E" w14:textId="77777777" w:rsidR="00576914" w:rsidRDefault="00576914" w:rsidP="00576914">
      <w:pPr>
        <w:pStyle w:val="ListParagraph"/>
        <w:ind w:left="1152"/>
      </w:pPr>
    </w:p>
    <w:p w14:paraId="7E94439C" w14:textId="11917BB0" w:rsidR="007026E6" w:rsidRDefault="007026E6">
      <w:pPr>
        <w:pStyle w:val="ListParagraph"/>
        <w:numPr>
          <w:ilvl w:val="2"/>
          <w:numId w:val="30"/>
        </w:numPr>
      </w:pPr>
      <w:r>
        <w:rPr>
          <w:rFonts w:eastAsiaTheme="minorEastAsia" w:cs="Arial"/>
        </w:rPr>
        <w:t>If you look at the previous equation</w:t>
      </w:r>
      <w:r>
        <w:t xml:space="preserve">, you can see there is an ‘Expected / </w:t>
      </w:r>
      <w:r w:rsidR="00BB33D9">
        <w:t>Negligible</w:t>
      </w:r>
      <w:r>
        <w:t xml:space="preserve">’ and a ‘Frequent / Serious / Major’ risk on both the left-hand and right-hand side of the equation.  Therefore, by applying “Removing Identical Risks” to both sides of </w:t>
      </w:r>
      <w:r>
        <w:rPr>
          <w:rFonts w:eastAsiaTheme="minorEastAsia"/>
        </w:rPr>
        <w:fldChar w:fldCharType="begin"/>
      </w:r>
      <w:r>
        <w:rPr>
          <w:rFonts w:eastAsiaTheme="minorEastAsia"/>
        </w:rPr>
        <w:instrText xml:space="preserve"> REF _Ref147478729 \h </w:instrText>
      </w:r>
      <w:r>
        <w:rPr>
          <w:rFonts w:eastAsiaTheme="minorEastAsia"/>
        </w:rPr>
      </w:r>
      <w:r>
        <w:rPr>
          <w:rFonts w:eastAsiaTheme="minorEastAsia"/>
        </w:rPr>
        <w:fldChar w:fldCharType="separate"/>
      </w:r>
      <w:r>
        <w:t xml:space="preserve">Equation </w:t>
      </w:r>
      <w:r>
        <w:rPr>
          <w:noProof/>
        </w:rPr>
        <w:t>23</w:t>
      </w:r>
      <w:r>
        <w:rPr>
          <w:rFonts w:eastAsiaTheme="minorEastAsia"/>
        </w:rPr>
        <w:fldChar w:fldCharType="end"/>
      </w:r>
      <w:r>
        <w:t xml:space="preserve">, we can remove an ‘Expected / </w:t>
      </w:r>
      <w:r w:rsidR="00BB33D9">
        <w:t>Negligible</w:t>
      </w:r>
      <w:r>
        <w:t xml:space="preserve">’ risk and a ‘Frequent / Serious / Major’ risk from each side of the equation without changing which side of the equation has the most risk.  The result is: </w:t>
      </w:r>
    </w:p>
    <w:p w14:paraId="2F0CA629" w14:textId="77777777" w:rsidR="007026E6" w:rsidRDefault="007026E6" w:rsidP="007026E6">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7026E6" w:rsidRPr="00F60A9B" w14:paraId="3A93E149" w14:textId="77777777" w:rsidTr="00BE77A4">
        <w:trPr>
          <w:tblHeader/>
          <w:jc w:val="center"/>
        </w:trPr>
        <w:tc>
          <w:tcPr>
            <w:tcW w:w="0" w:type="auto"/>
            <w:tcBorders>
              <w:top w:val="nil"/>
              <w:left w:val="nil"/>
              <w:bottom w:val="single" w:sz="4" w:space="0" w:color="auto"/>
            </w:tcBorders>
            <w:vAlign w:val="center"/>
          </w:tcPr>
          <w:p w14:paraId="3546EC74" w14:textId="77777777" w:rsidR="007026E6" w:rsidRPr="00F60A9B" w:rsidRDefault="00000000" w:rsidP="00620A22">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7CE9FF18" w14:textId="77777777" w:rsidR="007026E6" w:rsidRPr="00274522" w:rsidRDefault="007026E6" w:rsidP="00620A22">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37EC3D92" w14:textId="77777777" w:rsidR="007026E6" w:rsidRPr="00274522" w:rsidRDefault="007026E6" w:rsidP="00620A22">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7D02DBA2" w14:textId="77777777" w:rsidR="007026E6" w:rsidRPr="00274522" w:rsidRDefault="007026E6" w:rsidP="00620A22">
            <w:pPr>
              <w:keepNext/>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71B0CEA2" w14:textId="77777777" w:rsidR="007026E6" w:rsidRPr="00274522" w:rsidRDefault="007026E6" w:rsidP="00620A22">
            <w:pPr>
              <w:keepNext/>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26F41590" w14:textId="77777777" w:rsidR="007026E6" w:rsidRPr="00274522" w:rsidRDefault="007026E6" w:rsidP="00620A22">
            <w:pPr>
              <w:keepNext/>
              <w:jc w:val="center"/>
              <w:rPr>
                <w:sz w:val="14"/>
                <w:szCs w:val="14"/>
              </w:rPr>
            </w:pPr>
            <w:r w:rsidRPr="00274522">
              <w:rPr>
                <w:sz w:val="14"/>
                <w:szCs w:val="14"/>
              </w:rPr>
              <w:t xml:space="preserve">Catastrophic </w:t>
            </w:r>
          </w:p>
          <w:p w14:paraId="7CEC00C3" w14:textId="77777777" w:rsidR="007026E6" w:rsidRPr="00274522" w:rsidRDefault="007026E6" w:rsidP="00620A22">
            <w:pPr>
              <w:keepNext/>
              <w:jc w:val="center"/>
              <w:rPr>
                <w:sz w:val="14"/>
                <w:szCs w:val="14"/>
              </w:rPr>
            </w:pPr>
            <w:r w:rsidRPr="00274522">
              <w:rPr>
                <w:sz w:val="14"/>
                <w:szCs w:val="14"/>
              </w:rPr>
              <w:t>/ Fatal</w:t>
            </w:r>
          </w:p>
        </w:tc>
        <w:tc>
          <w:tcPr>
            <w:tcW w:w="0" w:type="auto"/>
            <w:tcBorders>
              <w:top w:val="nil"/>
              <w:left w:val="nil"/>
              <w:bottom w:val="nil"/>
              <w:right w:val="nil"/>
            </w:tcBorders>
            <w:vAlign w:val="center"/>
          </w:tcPr>
          <w:p w14:paraId="04E635AD" w14:textId="77777777" w:rsidR="007026E6" w:rsidRPr="00274522" w:rsidRDefault="007026E6" w:rsidP="00620A22">
            <w:pPr>
              <w:keepNext/>
              <w:jc w:val="center"/>
              <w:rPr>
                <w:sz w:val="14"/>
                <w:szCs w:val="14"/>
              </w:rPr>
            </w:pPr>
          </w:p>
        </w:tc>
        <w:tc>
          <w:tcPr>
            <w:tcW w:w="0" w:type="auto"/>
            <w:tcBorders>
              <w:top w:val="nil"/>
              <w:left w:val="nil"/>
              <w:bottom w:val="single" w:sz="12" w:space="0" w:color="auto"/>
            </w:tcBorders>
            <w:vAlign w:val="center"/>
          </w:tcPr>
          <w:p w14:paraId="0EA5D2A4" w14:textId="77777777" w:rsidR="007026E6" w:rsidRPr="00274522" w:rsidRDefault="00000000" w:rsidP="00620A22">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A8E982D" w14:textId="77777777" w:rsidR="007026E6" w:rsidRPr="00274522" w:rsidRDefault="007026E6" w:rsidP="00620A22">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1B70AB79" w14:textId="77777777" w:rsidR="007026E6" w:rsidRPr="00274522" w:rsidRDefault="007026E6" w:rsidP="00620A22">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4C6F127B" w14:textId="77777777" w:rsidR="007026E6" w:rsidRPr="005B7BEE" w:rsidRDefault="007026E6" w:rsidP="00620A22">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5C24C423" w14:textId="77777777" w:rsidR="007026E6" w:rsidRPr="005B7BEE" w:rsidRDefault="007026E6" w:rsidP="00620A22">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9854930" w14:textId="77777777" w:rsidR="007026E6" w:rsidRPr="005B7BEE" w:rsidRDefault="007026E6" w:rsidP="00620A22">
            <w:pPr>
              <w:keepNext/>
              <w:jc w:val="center"/>
              <w:rPr>
                <w:sz w:val="14"/>
                <w:szCs w:val="14"/>
              </w:rPr>
            </w:pPr>
            <w:r w:rsidRPr="005B7BEE">
              <w:rPr>
                <w:sz w:val="14"/>
                <w:szCs w:val="14"/>
              </w:rPr>
              <w:t xml:space="preserve">Catastrophic </w:t>
            </w:r>
          </w:p>
          <w:p w14:paraId="59555B14" w14:textId="77777777" w:rsidR="007026E6" w:rsidRDefault="007026E6" w:rsidP="00620A22">
            <w:pPr>
              <w:keepNext/>
              <w:jc w:val="center"/>
              <w:rPr>
                <w:rFonts w:ascii="Calibri" w:eastAsia="Calibri" w:hAnsi="Calibri" w:cs="Times New Roman"/>
              </w:rPr>
            </w:pPr>
            <w:r w:rsidRPr="005B7BEE">
              <w:rPr>
                <w:sz w:val="14"/>
                <w:szCs w:val="14"/>
              </w:rPr>
              <w:t>/ Fatal</w:t>
            </w:r>
          </w:p>
        </w:tc>
      </w:tr>
      <w:tr w:rsidR="00620A22" w:rsidRPr="00F60A9B" w14:paraId="67915146" w14:textId="77777777" w:rsidTr="00BB33D9">
        <w:trPr>
          <w:jc w:val="center"/>
        </w:trPr>
        <w:tc>
          <w:tcPr>
            <w:tcW w:w="0" w:type="auto"/>
            <w:tcBorders>
              <w:top w:val="single" w:sz="4" w:space="0" w:color="auto"/>
              <w:right w:val="single" w:sz="12" w:space="0" w:color="auto"/>
            </w:tcBorders>
            <w:vAlign w:val="center"/>
          </w:tcPr>
          <w:p w14:paraId="56369140" w14:textId="77777777" w:rsidR="00620A22" w:rsidRPr="005B7BEE" w:rsidRDefault="00620A22" w:rsidP="00620A22">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066F1507" w14:textId="381CF57C" w:rsidR="00620A22" w:rsidRPr="00274522" w:rsidRDefault="00BB33D9" w:rsidP="00620A22">
            <w:pPr>
              <w:keepNext/>
              <w:jc w:val="center"/>
            </w:pPr>
            <w:r>
              <w:rPr>
                <w:rFonts w:ascii="Calibri" w:hAnsi="Calibri" w:cs="Calibri"/>
                <w:color w:val="000000"/>
              </w:rPr>
              <w:t xml:space="preserve">1 – 1 = </w:t>
            </w:r>
            <w:r w:rsidR="00620A22">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E8659AC" w14:textId="6E423228" w:rsidR="00620A22" w:rsidRPr="00274522" w:rsidRDefault="00620A22" w:rsidP="00620A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32B1B2A" w14:textId="7F452175" w:rsidR="00620A22" w:rsidRPr="00274522" w:rsidRDefault="00620A22" w:rsidP="00620A22">
            <w:pPr>
              <w:keepNext/>
              <w:jc w:val="center"/>
            </w:pPr>
            <w:r>
              <w:rPr>
                <w:rFonts w:ascii="Calibri" w:hAnsi="Calibri" w:cs="Calibri"/>
                <w:color w:val="000000"/>
              </w:rPr>
              <w:t>2</w:t>
            </w:r>
          </w:p>
        </w:tc>
        <w:tc>
          <w:tcPr>
            <w:tcW w:w="0" w:type="auto"/>
            <w:tcBorders>
              <w:top w:val="single" w:sz="8" w:space="0" w:color="auto"/>
              <w:left w:val="nil"/>
              <w:bottom w:val="single" w:sz="4" w:space="0" w:color="auto"/>
              <w:right w:val="single" w:sz="4" w:space="0" w:color="auto"/>
            </w:tcBorders>
            <w:shd w:val="clear" w:color="auto" w:fill="auto"/>
            <w:vAlign w:val="bottom"/>
          </w:tcPr>
          <w:p w14:paraId="17BDE184" w14:textId="12C2C620" w:rsidR="00620A22" w:rsidRPr="00274522" w:rsidRDefault="00620A22" w:rsidP="00620A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6A8154D3" w14:textId="4B66E459" w:rsidR="00620A22" w:rsidRPr="00274522" w:rsidRDefault="00620A22" w:rsidP="00620A22">
            <w:pPr>
              <w:keepNext/>
              <w:jc w:val="center"/>
            </w:pPr>
            <w:r>
              <w:rPr>
                <w:rFonts w:ascii="Calibri" w:hAnsi="Calibri" w:cs="Calibri"/>
                <w:color w:val="000000"/>
              </w:rPr>
              <w:t>1</w:t>
            </w:r>
          </w:p>
        </w:tc>
        <w:tc>
          <w:tcPr>
            <w:tcW w:w="0" w:type="auto"/>
            <w:tcBorders>
              <w:top w:val="nil"/>
              <w:left w:val="nil"/>
              <w:bottom w:val="nil"/>
              <w:right w:val="nil"/>
            </w:tcBorders>
            <w:vAlign w:val="center"/>
          </w:tcPr>
          <w:p w14:paraId="7EA0149D" w14:textId="77777777" w:rsidR="00620A22" w:rsidRPr="00274522" w:rsidRDefault="00620A22" w:rsidP="00620A22">
            <w:pPr>
              <w:keepNext/>
              <w:jc w:val="center"/>
            </w:pPr>
          </w:p>
        </w:tc>
        <w:tc>
          <w:tcPr>
            <w:tcW w:w="0" w:type="auto"/>
            <w:tcBorders>
              <w:top w:val="single" w:sz="12" w:space="0" w:color="auto"/>
            </w:tcBorders>
            <w:vAlign w:val="center"/>
          </w:tcPr>
          <w:p w14:paraId="5E43D5CD" w14:textId="77777777" w:rsidR="00620A22" w:rsidRPr="00274522" w:rsidRDefault="00620A22" w:rsidP="00620A22">
            <w:pPr>
              <w:keepNext/>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14:paraId="6B6E0298" w14:textId="1DA3F5B9" w:rsidR="00620A22" w:rsidRPr="00274522" w:rsidRDefault="00BB33D9" w:rsidP="00620A22">
            <w:pPr>
              <w:keepNext/>
              <w:jc w:val="center"/>
            </w:pPr>
            <w:r>
              <w:rPr>
                <w:rFonts w:ascii="Calibri" w:hAnsi="Calibri" w:cs="Calibri"/>
                <w:color w:val="000000"/>
              </w:rPr>
              <w:t xml:space="preserve">1 – 1 = </w:t>
            </w:r>
            <w:r w:rsidR="00620A22">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6667B59" w14:textId="03B7DEB2" w:rsidR="00620A22" w:rsidRPr="00274522" w:rsidRDefault="00620A22" w:rsidP="00620A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4970888" w14:textId="1A98FF23" w:rsidR="00620A22" w:rsidRDefault="00620A22" w:rsidP="00620A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12F2558" w14:textId="315890F1" w:rsidR="00620A22" w:rsidRDefault="00620A22" w:rsidP="00620A2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48B875F0" w14:textId="4DB9C36B" w:rsidR="00620A22" w:rsidRDefault="00620A22" w:rsidP="00620A22">
            <w:pPr>
              <w:keepNext/>
              <w:jc w:val="center"/>
            </w:pPr>
            <w:r>
              <w:rPr>
                <w:rFonts w:ascii="Calibri" w:hAnsi="Calibri" w:cs="Calibri"/>
                <w:color w:val="000000"/>
              </w:rPr>
              <w:t>0</w:t>
            </w:r>
          </w:p>
        </w:tc>
      </w:tr>
      <w:tr w:rsidR="00620A22" w:rsidRPr="00F60A9B" w14:paraId="6A2D93B8" w14:textId="77777777" w:rsidTr="007026E6">
        <w:trPr>
          <w:jc w:val="center"/>
        </w:trPr>
        <w:tc>
          <w:tcPr>
            <w:tcW w:w="0" w:type="auto"/>
            <w:tcBorders>
              <w:right w:val="single" w:sz="12" w:space="0" w:color="auto"/>
            </w:tcBorders>
            <w:vAlign w:val="center"/>
          </w:tcPr>
          <w:p w14:paraId="4CE7E982" w14:textId="77777777" w:rsidR="00620A22" w:rsidRPr="005B7BEE" w:rsidRDefault="00620A22" w:rsidP="00620A22">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7F5FC76" w14:textId="1E0D2F90" w:rsidR="00620A22" w:rsidRPr="009C2BA8" w:rsidRDefault="00620A22" w:rsidP="00620A22">
            <w:pPr>
              <w:keepNext/>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E32BB6" w14:textId="73D0D68F" w:rsidR="00620A22" w:rsidRPr="009C2BA8" w:rsidRDefault="00620A22" w:rsidP="00620A22">
            <w:pPr>
              <w:keepNext/>
              <w:jc w:val="cente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vAlign w:val="bottom"/>
          </w:tcPr>
          <w:p w14:paraId="5010ADDF" w14:textId="57BC7E7C"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AEB2C2A" w14:textId="314873BA" w:rsidR="00620A22" w:rsidRPr="009C2BA8" w:rsidRDefault="00620A22" w:rsidP="00620A22">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1B0A0D2B" w14:textId="00A58821" w:rsidR="00620A22" w:rsidRPr="009C2BA8" w:rsidRDefault="00620A22" w:rsidP="00620A22">
            <w:pPr>
              <w:keepNext/>
              <w:jc w:val="center"/>
            </w:pPr>
            <w:r>
              <w:rPr>
                <w:rFonts w:ascii="Calibri" w:hAnsi="Calibri" w:cs="Calibri"/>
                <w:color w:val="000000"/>
              </w:rPr>
              <w:t>0</w:t>
            </w:r>
          </w:p>
        </w:tc>
        <w:tc>
          <w:tcPr>
            <w:tcW w:w="0" w:type="auto"/>
            <w:tcBorders>
              <w:top w:val="nil"/>
              <w:left w:val="nil"/>
              <w:bottom w:val="nil"/>
              <w:right w:val="nil"/>
            </w:tcBorders>
            <w:vAlign w:val="center"/>
          </w:tcPr>
          <w:p w14:paraId="6BA7F027" w14:textId="77777777" w:rsidR="00620A22" w:rsidRPr="009C2BA8" w:rsidRDefault="00620A22" w:rsidP="00620A22">
            <w:pPr>
              <w:keepNext/>
              <w:jc w:val="center"/>
            </w:pPr>
          </w:p>
        </w:tc>
        <w:tc>
          <w:tcPr>
            <w:tcW w:w="0" w:type="auto"/>
            <w:vAlign w:val="center"/>
          </w:tcPr>
          <w:p w14:paraId="24B4F797" w14:textId="77777777" w:rsidR="00620A22" w:rsidRPr="009C2BA8" w:rsidRDefault="00620A22" w:rsidP="00620A22">
            <w:pPr>
              <w:keepNext/>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D8B133A" w14:textId="684AFE0B"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6D7AD3" w14:textId="5CF6C345"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0DD9ED" w14:textId="0D6955D6"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6E3AE1" w14:textId="549BAB92"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D5A527" w14:textId="11C31D2D" w:rsidR="00620A22" w:rsidRPr="009C2BA8" w:rsidRDefault="00620A22" w:rsidP="00620A22">
            <w:pPr>
              <w:keepNext/>
              <w:jc w:val="center"/>
            </w:pPr>
            <w:r>
              <w:rPr>
                <w:rFonts w:ascii="Calibri" w:hAnsi="Calibri" w:cs="Calibri"/>
                <w:color w:val="000000"/>
              </w:rPr>
              <w:t>0</w:t>
            </w:r>
          </w:p>
        </w:tc>
      </w:tr>
      <w:tr w:rsidR="00620A22" w:rsidRPr="00F60A9B" w14:paraId="2FC17A62" w14:textId="77777777" w:rsidTr="00BB33D9">
        <w:trPr>
          <w:jc w:val="center"/>
        </w:trPr>
        <w:tc>
          <w:tcPr>
            <w:tcW w:w="0" w:type="auto"/>
            <w:tcBorders>
              <w:right w:val="single" w:sz="12" w:space="0" w:color="auto"/>
            </w:tcBorders>
            <w:vAlign w:val="center"/>
          </w:tcPr>
          <w:p w14:paraId="7188EFC7" w14:textId="77777777" w:rsidR="00620A22" w:rsidRPr="005B7BEE" w:rsidRDefault="00620A22" w:rsidP="00620A22">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D63A1C0" w14:textId="3FE68E93"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411159" w14:textId="78653E4E"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754371EC" w14:textId="7264342B" w:rsidR="00620A22" w:rsidRPr="009C2BA8" w:rsidRDefault="00BB33D9" w:rsidP="00620A22">
            <w:pPr>
              <w:keepNext/>
              <w:jc w:val="center"/>
            </w:pPr>
            <w:r>
              <w:rPr>
                <w:rFonts w:ascii="Calibri" w:hAnsi="Calibri" w:cs="Calibri"/>
                <w:color w:val="000000"/>
              </w:rPr>
              <w:t xml:space="preserve">1 – 1 = </w:t>
            </w:r>
            <w:r w:rsidR="00620A22">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7766ED5" w14:textId="15AC5555"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586C435" w14:textId="67047F54" w:rsidR="00620A22" w:rsidRPr="009C2BA8" w:rsidRDefault="00620A22" w:rsidP="00620A22">
            <w:pPr>
              <w:keepNext/>
              <w:jc w:val="center"/>
            </w:pPr>
            <w:r>
              <w:rPr>
                <w:rFonts w:ascii="Calibri" w:hAnsi="Calibri" w:cs="Calibri"/>
                <w:color w:val="000000"/>
              </w:rPr>
              <w:t>1</w:t>
            </w:r>
          </w:p>
        </w:tc>
        <w:tc>
          <w:tcPr>
            <w:tcW w:w="0" w:type="auto"/>
            <w:tcBorders>
              <w:top w:val="nil"/>
              <w:left w:val="nil"/>
              <w:bottom w:val="nil"/>
              <w:right w:val="nil"/>
            </w:tcBorders>
            <w:vAlign w:val="center"/>
          </w:tcPr>
          <w:p w14:paraId="2E22157F" w14:textId="77777777" w:rsidR="00620A22" w:rsidRPr="009C2BA8" w:rsidRDefault="00620A22" w:rsidP="00620A22">
            <w:pPr>
              <w:keepNext/>
              <w:jc w:val="center"/>
            </w:pPr>
          </w:p>
        </w:tc>
        <w:tc>
          <w:tcPr>
            <w:tcW w:w="0" w:type="auto"/>
            <w:vAlign w:val="center"/>
          </w:tcPr>
          <w:p w14:paraId="6C9F86B8" w14:textId="77777777" w:rsidR="00620A22" w:rsidRPr="009C2BA8" w:rsidRDefault="00620A22" w:rsidP="00620A22">
            <w:pPr>
              <w:keepNext/>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F003C07" w14:textId="77D0A8F9"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0BA3B3" w14:textId="6AC76189"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6493C49F" w14:textId="29F31A2D" w:rsidR="00620A22" w:rsidRPr="009C2BA8" w:rsidRDefault="00BB33D9" w:rsidP="00620A22">
            <w:pPr>
              <w:keepNext/>
              <w:jc w:val="center"/>
            </w:pPr>
            <w:r>
              <w:rPr>
                <w:rFonts w:ascii="Calibri" w:hAnsi="Calibri" w:cs="Calibri"/>
                <w:color w:val="000000"/>
              </w:rPr>
              <w:t xml:space="preserve">1 – 1 = </w:t>
            </w:r>
            <w:r w:rsidR="00620A22">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3EAE341" w14:textId="26F9F9E2" w:rsidR="00620A22" w:rsidRPr="009C2BA8"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51CDFC6" w14:textId="57BAB33D" w:rsidR="00620A22" w:rsidRPr="009C2BA8" w:rsidRDefault="00620A22" w:rsidP="00620A22">
            <w:pPr>
              <w:keepNext/>
              <w:jc w:val="center"/>
            </w:pPr>
            <w:r>
              <w:rPr>
                <w:rFonts w:ascii="Calibri" w:hAnsi="Calibri" w:cs="Calibri"/>
                <w:color w:val="000000"/>
              </w:rPr>
              <w:t>0</w:t>
            </w:r>
          </w:p>
        </w:tc>
      </w:tr>
      <w:tr w:rsidR="00620A22" w:rsidRPr="00F60A9B" w14:paraId="22B9372F" w14:textId="77777777" w:rsidTr="00BE77A4">
        <w:trPr>
          <w:jc w:val="center"/>
        </w:trPr>
        <w:tc>
          <w:tcPr>
            <w:tcW w:w="0" w:type="auto"/>
            <w:tcBorders>
              <w:right w:val="single" w:sz="12" w:space="0" w:color="auto"/>
            </w:tcBorders>
            <w:vAlign w:val="center"/>
          </w:tcPr>
          <w:p w14:paraId="2C80D812" w14:textId="77777777" w:rsidR="00620A22" w:rsidRPr="005B7BEE" w:rsidRDefault="00620A22" w:rsidP="00620A22">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5EDF58A" w14:textId="31A44051" w:rsidR="00620A22" w:rsidRPr="00F60A9B"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F1A884" w14:textId="216B9F5E"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DAB3AE" w14:textId="41959C6B"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22C116C" w14:textId="12298C92"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FA535C6" w14:textId="7ED3A4E5" w:rsidR="00620A22" w:rsidRPr="00F60A9B" w:rsidRDefault="00620A22" w:rsidP="00620A22">
            <w:pPr>
              <w:keepNext/>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vAlign w:val="center"/>
          </w:tcPr>
          <w:p w14:paraId="100CC918" w14:textId="77777777" w:rsidR="00620A22" w:rsidRDefault="00000000" w:rsidP="00620A22">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558B613A" w14:textId="77777777" w:rsidR="00620A22" w:rsidRDefault="00620A22" w:rsidP="00620A22">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F1DE129" w14:textId="7E35F7BB"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53BBBC" w14:textId="4A7457FE" w:rsidR="00620A22" w:rsidRDefault="00620A22" w:rsidP="00620A2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F55ECF8" w14:textId="4FD3A4B4"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70BF7B" w14:textId="2CD40073"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6EC646" w14:textId="20AFF693" w:rsidR="00620A22" w:rsidRDefault="00620A22" w:rsidP="00620A22">
            <w:pPr>
              <w:keepNext/>
              <w:jc w:val="center"/>
            </w:pPr>
            <w:r>
              <w:rPr>
                <w:rFonts w:ascii="Calibri" w:hAnsi="Calibri" w:cs="Calibri"/>
                <w:color w:val="000000"/>
              </w:rPr>
              <w:t>0</w:t>
            </w:r>
          </w:p>
        </w:tc>
      </w:tr>
      <w:tr w:rsidR="00620A22" w:rsidRPr="00F60A9B" w14:paraId="213D4A63" w14:textId="77777777" w:rsidTr="00BE77A4">
        <w:trPr>
          <w:jc w:val="center"/>
        </w:trPr>
        <w:tc>
          <w:tcPr>
            <w:tcW w:w="0" w:type="auto"/>
            <w:tcBorders>
              <w:right w:val="single" w:sz="12" w:space="0" w:color="auto"/>
            </w:tcBorders>
            <w:vAlign w:val="center"/>
          </w:tcPr>
          <w:p w14:paraId="3686D20D" w14:textId="77777777" w:rsidR="00620A22" w:rsidRPr="005B7BEE" w:rsidRDefault="00620A22" w:rsidP="00620A22">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D351D9A" w14:textId="2E9587D7" w:rsidR="00620A22" w:rsidRPr="00F60A9B"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BD97D4" w14:textId="5AAFB287"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7675A8" w14:textId="17E0D1C4"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8C9F7A" w14:textId="64B53C4C"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DCEBEF3" w14:textId="3418BE55" w:rsidR="00620A22" w:rsidRPr="00F60A9B" w:rsidRDefault="00620A22" w:rsidP="00620A22">
            <w:pPr>
              <w:keepNext/>
              <w:jc w:val="center"/>
            </w:pPr>
            <w:r>
              <w:rPr>
                <w:rFonts w:ascii="Calibri" w:hAnsi="Calibri" w:cs="Calibri"/>
                <w:color w:val="000000"/>
              </w:rPr>
              <w:t>0</w:t>
            </w:r>
          </w:p>
        </w:tc>
        <w:tc>
          <w:tcPr>
            <w:tcW w:w="0" w:type="auto"/>
            <w:tcBorders>
              <w:top w:val="nil"/>
              <w:left w:val="nil"/>
              <w:bottom w:val="nil"/>
              <w:right w:val="nil"/>
            </w:tcBorders>
            <w:vAlign w:val="center"/>
          </w:tcPr>
          <w:p w14:paraId="6F802985" w14:textId="77777777" w:rsidR="00620A22" w:rsidRDefault="00620A22" w:rsidP="00620A22">
            <w:pPr>
              <w:keepNext/>
              <w:jc w:val="center"/>
            </w:pPr>
          </w:p>
        </w:tc>
        <w:tc>
          <w:tcPr>
            <w:tcW w:w="0" w:type="auto"/>
            <w:vAlign w:val="center"/>
          </w:tcPr>
          <w:p w14:paraId="22C5D655" w14:textId="77777777" w:rsidR="00620A22" w:rsidRDefault="00620A22" w:rsidP="00620A22">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1ABC3241" w14:textId="3F169468"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E0A401" w14:textId="4AAC868F"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500A3A4" w14:textId="05C02CC0" w:rsidR="00620A22" w:rsidRDefault="00620A22" w:rsidP="00620A22">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049285ED" w14:textId="5A7DB81A"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28832F" w14:textId="13EC07FC" w:rsidR="00620A22" w:rsidRDefault="00620A22" w:rsidP="00620A22">
            <w:pPr>
              <w:keepNext/>
              <w:jc w:val="center"/>
            </w:pPr>
            <w:r>
              <w:rPr>
                <w:rFonts w:ascii="Calibri" w:hAnsi="Calibri" w:cs="Calibri"/>
                <w:color w:val="000000"/>
              </w:rPr>
              <w:t>0</w:t>
            </w:r>
          </w:p>
        </w:tc>
      </w:tr>
      <w:tr w:rsidR="00620A22" w:rsidRPr="00F60A9B" w14:paraId="55D4375A" w14:textId="77777777" w:rsidTr="00BE77A4">
        <w:trPr>
          <w:jc w:val="center"/>
        </w:trPr>
        <w:tc>
          <w:tcPr>
            <w:tcW w:w="0" w:type="auto"/>
            <w:tcBorders>
              <w:right w:val="single" w:sz="12" w:space="0" w:color="auto"/>
            </w:tcBorders>
            <w:vAlign w:val="center"/>
          </w:tcPr>
          <w:p w14:paraId="475B872A" w14:textId="77777777" w:rsidR="00620A22" w:rsidRPr="005B7BEE" w:rsidRDefault="00620A22" w:rsidP="00620A22">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1D5D2FE0" w14:textId="2BAD8490" w:rsidR="00620A22" w:rsidRPr="00F60A9B"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026125" w14:textId="72857BC3"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5587D5" w14:textId="78ABA8D9"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48C37A" w14:textId="0BEE1D92"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801C00" w14:textId="67FD007B" w:rsidR="00620A22" w:rsidRPr="00F60A9B" w:rsidRDefault="00620A22" w:rsidP="00620A22">
            <w:pPr>
              <w:keepNext/>
              <w:jc w:val="center"/>
            </w:pPr>
            <w:r>
              <w:rPr>
                <w:rFonts w:ascii="Calibri" w:hAnsi="Calibri" w:cs="Calibri"/>
                <w:color w:val="000000"/>
              </w:rPr>
              <w:t>0</w:t>
            </w:r>
          </w:p>
        </w:tc>
        <w:tc>
          <w:tcPr>
            <w:tcW w:w="0" w:type="auto"/>
            <w:tcBorders>
              <w:top w:val="nil"/>
              <w:left w:val="nil"/>
              <w:bottom w:val="nil"/>
              <w:right w:val="nil"/>
            </w:tcBorders>
            <w:vAlign w:val="center"/>
          </w:tcPr>
          <w:p w14:paraId="2CBF0F6E" w14:textId="77777777" w:rsidR="00620A22" w:rsidRDefault="00620A22" w:rsidP="00620A22">
            <w:pPr>
              <w:keepNext/>
              <w:jc w:val="center"/>
            </w:pPr>
          </w:p>
        </w:tc>
        <w:tc>
          <w:tcPr>
            <w:tcW w:w="0" w:type="auto"/>
            <w:vAlign w:val="center"/>
          </w:tcPr>
          <w:p w14:paraId="38BFCA4D" w14:textId="77777777" w:rsidR="00620A22" w:rsidRDefault="00620A22" w:rsidP="00620A22">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0C0AF8F" w14:textId="1AAB9948"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1BD4A4" w14:textId="3A3E7C3E"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B993A9" w14:textId="1D32E4C9" w:rsidR="00620A22" w:rsidRDefault="00620A22" w:rsidP="00620A2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628C71" w14:textId="72C98949" w:rsidR="00620A22" w:rsidRDefault="00620A22" w:rsidP="00620A22">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6EB2A0EB" w14:textId="1FC5A403" w:rsidR="00620A22" w:rsidRDefault="00620A22" w:rsidP="00620A22">
            <w:pPr>
              <w:keepNext/>
              <w:jc w:val="center"/>
            </w:pPr>
            <w:r>
              <w:rPr>
                <w:rFonts w:ascii="Calibri" w:hAnsi="Calibri" w:cs="Calibri"/>
                <w:color w:val="000000"/>
              </w:rPr>
              <w:t>0</w:t>
            </w:r>
          </w:p>
        </w:tc>
      </w:tr>
      <w:tr w:rsidR="00620A22" w:rsidRPr="00F60A9B" w14:paraId="41C7C5D7" w14:textId="77777777" w:rsidTr="00BE77A4">
        <w:trPr>
          <w:jc w:val="center"/>
        </w:trPr>
        <w:tc>
          <w:tcPr>
            <w:tcW w:w="0" w:type="auto"/>
            <w:tcBorders>
              <w:right w:val="single" w:sz="12" w:space="0" w:color="auto"/>
            </w:tcBorders>
            <w:vAlign w:val="center"/>
          </w:tcPr>
          <w:p w14:paraId="495C6BC2" w14:textId="77777777" w:rsidR="00620A22" w:rsidRPr="005B7BEE" w:rsidRDefault="00620A22" w:rsidP="00620A22">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99ED92D" w14:textId="0C70A4B6" w:rsidR="00620A22" w:rsidRPr="00F60A9B" w:rsidRDefault="00620A22" w:rsidP="00620A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DFE7C2C" w14:textId="336E3782"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6EE8253" w14:textId="0BFDA8F0"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70A5192" w14:textId="3BB6FBA3" w:rsidR="00620A22" w:rsidRPr="00210DD1" w:rsidRDefault="00620A22" w:rsidP="00620A22">
            <w:pPr>
              <w:keepNext/>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31E7EFFC" w14:textId="3FF27F30" w:rsidR="00620A22" w:rsidRPr="00F60A9B" w:rsidRDefault="00620A22" w:rsidP="00620A22">
            <w:pPr>
              <w:keepNext/>
              <w:jc w:val="center"/>
            </w:pPr>
            <w:r>
              <w:rPr>
                <w:rFonts w:ascii="Calibri" w:hAnsi="Calibri" w:cs="Calibri"/>
                <w:color w:val="000000"/>
              </w:rPr>
              <w:t>0</w:t>
            </w:r>
          </w:p>
        </w:tc>
        <w:tc>
          <w:tcPr>
            <w:tcW w:w="0" w:type="auto"/>
            <w:tcBorders>
              <w:top w:val="nil"/>
              <w:left w:val="nil"/>
              <w:bottom w:val="nil"/>
              <w:right w:val="nil"/>
            </w:tcBorders>
            <w:vAlign w:val="center"/>
          </w:tcPr>
          <w:p w14:paraId="29EE54E4" w14:textId="77777777" w:rsidR="00620A22" w:rsidRDefault="00620A22" w:rsidP="00620A22">
            <w:pPr>
              <w:keepNext/>
              <w:jc w:val="center"/>
            </w:pPr>
          </w:p>
        </w:tc>
        <w:tc>
          <w:tcPr>
            <w:tcW w:w="0" w:type="auto"/>
            <w:vAlign w:val="center"/>
          </w:tcPr>
          <w:p w14:paraId="373B671A" w14:textId="77777777" w:rsidR="00620A22" w:rsidRDefault="00620A22" w:rsidP="00620A22">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CEF13BA" w14:textId="1BAC7464" w:rsidR="00620A22" w:rsidRDefault="00620A22" w:rsidP="00620A2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AD4CB1D" w14:textId="2C6127EB" w:rsidR="00620A22" w:rsidRDefault="00620A22" w:rsidP="00620A22">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5081242D" w14:textId="4604993E" w:rsidR="00620A22" w:rsidRDefault="00620A22" w:rsidP="00620A22">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0555A9F1" w14:textId="40348049" w:rsidR="00620A22" w:rsidRDefault="00620A22" w:rsidP="00620A22">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26542FD" w14:textId="2753B302" w:rsidR="00620A22" w:rsidRDefault="00620A22" w:rsidP="00620A22">
            <w:pPr>
              <w:keepNext/>
              <w:jc w:val="center"/>
            </w:pPr>
            <w:r>
              <w:rPr>
                <w:rFonts w:ascii="Calibri" w:hAnsi="Calibri" w:cs="Calibri"/>
                <w:color w:val="000000"/>
              </w:rPr>
              <w:t>4</w:t>
            </w:r>
          </w:p>
        </w:tc>
      </w:tr>
    </w:tbl>
    <w:p w14:paraId="299585BE" w14:textId="58373690" w:rsidR="007026E6" w:rsidRDefault="007026E6" w:rsidP="00620A22">
      <w:pPr>
        <w:pStyle w:val="Caption"/>
        <w:keepNext/>
        <w:spacing w:before="120"/>
        <w:jc w:val="center"/>
      </w:pPr>
      <w:bookmarkStart w:id="103" w:name="_Ref163330883"/>
      <w:r>
        <w:t xml:space="preserve">Equation </w:t>
      </w:r>
      <w:r>
        <w:fldChar w:fldCharType="begin"/>
      </w:r>
      <w:r>
        <w:instrText xml:space="preserve"> SEQ Equation \* ARABIC </w:instrText>
      </w:r>
      <w:r>
        <w:fldChar w:fldCharType="separate"/>
      </w:r>
      <w:r w:rsidR="003468AE">
        <w:rPr>
          <w:noProof/>
        </w:rPr>
        <w:t>26</w:t>
      </w:r>
      <w:r>
        <w:rPr>
          <w:noProof/>
        </w:rPr>
        <w:fldChar w:fldCharType="end"/>
      </w:r>
      <w:bookmarkEnd w:id="103"/>
    </w:p>
    <w:p w14:paraId="61A1D81A" w14:textId="77777777" w:rsidR="007026E6" w:rsidRDefault="007026E6" w:rsidP="007026E6">
      <w:pPr>
        <w:pStyle w:val="ListParagraph"/>
        <w:ind w:left="1152"/>
      </w:pPr>
    </w:p>
    <w:p w14:paraId="37CF5AE4" w14:textId="77777777" w:rsidR="0039069F" w:rsidRPr="0039069F" w:rsidRDefault="007026E6" w:rsidP="00E67459">
      <w:pPr>
        <w:pStyle w:val="ListParagraph"/>
        <w:numPr>
          <w:ilvl w:val="1"/>
          <w:numId w:val="30"/>
        </w:numPr>
      </w:pPr>
      <w:r>
        <w:rPr>
          <w:rFonts w:cstheme="minorHAnsi"/>
        </w:rPr>
        <w:fldChar w:fldCharType="begin"/>
      </w:r>
      <w:r>
        <w:rPr>
          <w:rFonts w:cstheme="minorHAnsi"/>
        </w:rPr>
        <w:instrText xml:space="preserve"> REF _Ref163330883 \h </w:instrText>
      </w:r>
      <w:r>
        <w:rPr>
          <w:rFonts w:cstheme="minorHAnsi"/>
        </w:rPr>
      </w:r>
      <w:r>
        <w:rPr>
          <w:rFonts w:cstheme="minorHAnsi"/>
        </w:rPr>
        <w:fldChar w:fldCharType="separate"/>
      </w:r>
      <w:r>
        <w:t xml:space="preserve">Equation </w:t>
      </w:r>
      <w:r>
        <w:rPr>
          <w:noProof/>
        </w:rPr>
        <w:t>26</w:t>
      </w:r>
      <w:r>
        <w:rPr>
          <w:rFonts w:cstheme="minorHAnsi"/>
        </w:rPr>
        <w:fldChar w:fldCharType="end"/>
      </w:r>
      <w:r>
        <w:rPr>
          <w:rFonts w:cstheme="minorHAnsi"/>
        </w:rPr>
        <w:t xml:space="preserve"> now has a pattern</w:t>
      </w:r>
      <w:r w:rsidR="00620A22">
        <w:rPr>
          <w:rFonts w:cstheme="minorHAnsi"/>
        </w:rPr>
        <w:t xml:space="preserve"> that is</w:t>
      </w:r>
      <w:r w:rsidR="00620A22" w:rsidRPr="00620A22">
        <w:rPr>
          <w:rFonts w:cstheme="minorHAnsi"/>
        </w:rPr>
        <w:t xml:space="preserve"> </w:t>
      </w:r>
      <w:r w:rsidR="00620A22">
        <w:rPr>
          <w:rFonts w:cstheme="minorHAnsi"/>
        </w:rPr>
        <w:t>useful for simplifying the remainder of the equation</w:t>
      </w:r>
      <w:r>
        <w:rPr>
          <w:rFonts w:cstheme="minorHAnsi"/>
        </w:rPr>
        <w:t xml:space="preserve">.  </w:t>
      </w:r>
      <w:r w:rsidR="00620A22">
        <w:rPr>
          <w:rFonts w:cstheme="minorHAnsi"/>
        </w:rPr>
        <w:br/>
        <w:t xml:space="preserve">Both sides of the equation have no risks in the ‘Negligible’ column.  </w:t>
      </w:r>
      <w:r w:rsidR="00620A22">
        <w:rPr>
          <w:rFonts w:cstheme="minorHAnsi"/>
        </w:rPr>
        <w:br/>
        <w:t xml:space="preserve">For all of the other columns, the left-hand side has at least one risk in each column and in the three most-frequent rows, and the right-hand side has </w:t>
      </w:r>
      <w:r w:rsidR="00E67459">
        <w:rPr>
          <w:rFonts w:cstheme="minorHAnsi"/>
        </w:rPr>
        <w:t xml:space="preserve">much larger numbers of risks in each column and in the least-frequent four rows.  </w:t>
      </w:r>
      <w:r w:rsidR="00E67459">
        <w:rPr>
          <w:rFonts w:cstheme="minorHAnsi"/>
        </w:rPr>
        <w:br/>
      </w:r>
    </w:p>
    <w:p w14:paraId="19CAE353" w14:textId="5CC3B0E7" w:rsidR="0039069F" w:rsidRDefault="0039069F" w:rsidP="0039069F">
      <w:pPr>
        <w:pStyle w:val="ListParagraph"/>
        <w:ind w:left="864"/>
        <w:rPr>
          <w:rFonts w:cstheme="minorHAnsi"/>
        </w:rPr>
      </w:pPr>
      <w:r w:rsidRPr="003B7920">
        <w:rPr>
          <w:rFonts w:cstheme="minorHAnsi"/>
        </w:rPr>
        <w:lastRenderedPageBreak/>
        <w:t xml:space="preserve">While we can continue simplifying </w:t>
      </w:r>
      <w:r>
        <w:rPr>
          <w:rFonts w:cstheme="minorHAnsi"/>
        </w:rPr>
        <w:fldChar w:fldCharType="begin"/>
      </w:r>
      <w:r>
        <w:rPr>
          <w:rFonts w:cstheme="minorHAnsi"/>
        </w:rPr>
        <w:instrText xml:space="preserve"> REF _Ref148260800 \h </w:instrText>
      </w:r>
      <w:r>
        <w:rPr>
          <w:rFonts w:cstheme="minorHAnsi"/>
        </w:rPr>
      </w:r>
      <w:r>
        <w:rPr>
          <w:rFonts w:cstheme="minorHAnsi"/>
        </w:rPr>
        <w:fldChar w:fldCharType="separate"/>
      </w:r>
      <w:r>
        <w:t xml:space="preserve">Equation </w:t>
      </w:r>
      <w:r>
        <w:rPr>
          <w:noProof/>
        </w:rPr>
        <w:t>33</w:t>
      </w:r>
      <w:r>
        <w:rPr>
          <w:rFonts w:cstheme="minorHAnsi"/>
        </w:rPr>
        <w:fldChar w:fldCharType="end"/>
      </w:r>
      <w:r>
        <w:rPr>
          <w:rFonts w:cstheme="minorHAnsi"/>
        </w:rPr>
        <w:t xml:space="preserve"> </w:t>
      </w:r>
      <w:r w:rsidRPr="003B7920">
        <w:rPr>
          <w:rFonts w:cstheme="minorHAnsi"/>
        </w:rPr>
        <w:t xml:space="preserve">further, </w:t>
      </w:r>
      <w:r>
        <w:rPr>
          <w:rFonts w:cstheme="minorHAnsi"/>
        </w:rPr>
        <w:t xml:space="preserve">some people will look at the just-described pattern in </w:t>
      </w:r>
      <w:r>
        <w:rPr>
          <w:rFonts w:cstheme="minorHAnsi"/>
        </w:rPr>
        <w:fldChar w:fldCharType="begin"/>
      </w:r>
      <w:r>
        <w:rPr>
          <w:rFonts w:cstheme="minorHAnsi"/>
        </w:rPr>
        <w:instrText xml:space="preserve"> REF _Ref163330883 \h </w:instrText>
      </w:r>
      <w:r>
        <w:rPr>
          <w:rFonts w:cstheme="minorHAnsi"/>
        </w:rPr>
      </w:r>
      <w:r>
        <w:rPr>
          <w:rFonts w:cstheme="minorHAnsi"/>
        </w:rPr>
        <w:fldChar w:fldCharType="separate"/>
      </w:r>
      <w:r>
        <w:t xml:space="preserve">Equation </w:t>
      </w:r>
      <w:r>
        <w:rPr>
          <w:noProof/>
        </w:rPr>
        <w:t>26</w:t>
      </w:r>
      <w:r>
        <w:rPr>
          <w:rFonts w:cstheme="minorHAnsi"/>
        </w:rPr>
        <w:fldChar w:fldCharType="end"/>
      </w:r>
      <w:r>
        <w:rPr>
          <w:rFonts w:cstheme="minorHAnsi"/>
        </w:rPr>
        <w:t xml:space="preserve"> and </w:t>
      </w:r>
      <w:r w:rsidRPr="003B7920">
        <w:rPr>
          <w:rFonts w:cstheme="minorHAnsi"/>
        </w:rPr>
        <w:t>say it is now intuitively obvious that the risk</w:t>
      </w:r>
      <w:r>
        <w:rPr>
          <w:rFonts w:cstheme="minorHAnsi"/>
        </w:rPr>
        <w:t xml:space="preserve"> total</w:t>
      </w:r>
      <w:r w:rsidRPr="003B7920">
        <w:rPr>
          <w:rFonts w:cstheme="minorHAnsi"/>
        </w:rPr>
        <w:t xml:space="preserve"> in the left-hand side of </w:t>
      </w:r>
      <w:r>
        <w:rPr>
          <w:rFonts w:cstheme="minorHAnsi"/>
        </w:rPr>
        <w:fldChar w:fldCharType="begin"/>
      </w:r>
      <w:r>
        <w:rPr>
          <w:rFonts w:cstheme="minorHAnsi"/>
        </w:rPr>
        <w:instrText xml:space="preserve"> REF _Ref163330883 \h </w:instrText>
      </w:r>
      <w:r>
        <w:rPr>
          <w:rFonts w:cstheme="minorHAnsi"/>
        </w:rPr>
      </w:r>
      <w:r>
        <w:rPr>
          <w:rFonts w:cstheme="minorHAnsi"/>
        </w:rPr>
        <w:fldChar w:fldCharType="separate"/>
      </w:r>
      <w:r>
        <w:t xml:space="preserve">Equation </w:t>
      </w:r>
      <w:r>
        <w:rPr>
          <w:noProof/>
        </w:rPr>
        <w:t>26</w:t>
      </w:r>
      <w:r>
        <w:rPr>
          <w:rFonts w:cstheme="minorHAnsi"/>
        </w:rPr>
        <w:fldChar w:fldCharType="end"/>
      </w:r>
      <w:r>
        <w:rPr>
          <w:rFonts w:cstheme="minorHAnsi"/>
        </w:rPr>
        <w:t xml:space="preserve"> is </w:t>
      </w:r>
      <w:r w:rsidRPr="003B7920">
        <w:rPr>
          <w:rFonts w:cstheme="minorHAnsi"/>
        </w:rPr>
        <w:t>greater than the risk</w:t>
      </w:r>
      <w:r>
        <w:rPr>
          <w:rFonts w:cstheme="minorHAnsi"/>
        </w:rPr>
        <w:t xml:space="preserve"> total</w:t>
      </w:r>
      <w:r w:rsidRPr="003B7920">
        <w:rPr>
          <w:rFonts w:cstheme="minorHAnsi"/>
        </w:rPr>
        <w:t xml:space="preserve"> in the right-hand side of </w:t>
      </w:r>
      <w:r>
        <w:rPr>
          <w:rFonts w:cstheme="minorHAnsi"/>
        </w:rPr>
        <w:fldChar w:fldCharType="begin"/>
      </w:r>
      <w:r>
        <w:rPr>
          <w:rFonts w:cstheme="minorHAnsi"/>
        </w:rPr>
        <w:instrText xml:space="preserve"> REF _Ref163330883 \h </w:instrText>
      </w:r>
      <w:r>
        <w:rPr>
          <w:rFonts w:cstheme="minorHAnsi"/>
        </w:rPr>
      </w:r>
      <w:r>
        <w:rPr>
          <w:rFonts w:cstheme="minorHAnsi"/>
        </w:rPr>
        <w:fldChar w:fldCharType="separate"/>
      </w:r>
      <w:r>
        <w:t xml:space="preserve">Equation </w:t>
      </w:r>
      <w:r>
        <w:rPr>
          <w:noProof/>
        </w:rPr>
        <w:t>26</w:t>
      </w:r>
      <w:r>
        <w:rPr>
          <w:rFonts w:cstheme="minorHAnsi"/>
        </w:rPr>
        <w:fldChar w:fldCharType="end"/>
      </w:r>
      <w:r w:rsidRPr="003B7920">
        <w:rPr>
          <w:rFonts w:cstheme="minorHAnsi"/>
        </w:rPr>
        <w:t xml:space="preserve"> and, therefore, the benefits of giving the patient population a transfusion exceeds the risk of giving the patient population a transfusion. </w:t>
      </w:r>
    </w:p>
    <w:p w14:paraId="152AAA63" w14:textId="25037686" w:rsidR="0039069F" w:rsidRPr="0039069F" w:rsidRDefault="0039069F" w:rsidP="0039069F">
      <w:pPr>
        <w:ind w:left="864"/>
        <w:rPr>
          <w:rFonts w:cstheme="minorHAnsi"/>
        </w:rPr>
      </w:pPr>
      <w:r>
        <w:rPr>
          <w:rFonts w:cstheme="minorHAnsi"/>
        </w:rPr>
        <w:t xml:space="preserve">However, if someone disagreed that this conclusion was intuitively obvious, they could always continue the simplification process until they feel the conclusion is intuitively obvious.  </w:t>
      </w:r>
    </w:p>
    <w:p w14:paraId="02FB90D5" w14:textId="77777777" w:rsidR="0039069F" w:rsidRPr="0039069F" w:rsidRDefault="0039069F" w:rsidP="0039069F">
      <w:pPr>
        <w:pStyle w:val="ListParagraph"/>
        <w:ind w:left="864"/>
      </w:pPr>
    </w:p>
    <w:p w14:paraId="67F1EF72" w14:textId="47845924" w:rsidR="00E67459" w:rsidRPr="00E67459" w:rsidRDefault="00E67459" w:rsidP="0039069F">
      <w:pPr>
        <w:pStyle w:val="ListParagraph"/>
        <w:numPr>
          <w:ilvl w:val="1"/>
          <w:numId w:val="30"/>
        </w:numPr>
      </w:pPr>
      <w:r>
        <w:rPr>
          <w:rFonts w:cstheme="minorHAnsi"/>
        </w:rPr>
        <w:t>By u</w:t>
      </w:r>
      <w:r w:rsidR="007026E6">
        <w:rPr>
          <w:rFonts w:cstheme="minorHAnsi"/>
        </w:rPr>
        <w:t xml:space="preserve">se the “Moving Redundant Risks” </w:t>
      </w:r>
      <w:r>
        <w:rPr>
          <w:rFonts w:cstheme="minorHAnsi"/>
        </w:rPr>
        <w:t xml:space="preserve">on each column of the left-hand side of the equation, we will have enough risks on in each column of the left-hand side of the equation to cancel all of the risks in the same column on the right-hand side of the equation.  </w:t>
      </w:r>
    </w:p>
    <w:p w14:paraId="726D828F" w14:textId="77777777" w:rsidR="00E67459" w:rsidRPr="00E67459" w:rsidRDefault="00E67459" w:rsidP="00E67459">
      <w:pPr>
        <w:pStyle w:val="ListParagraph"/>
        <w:ind w:left="864"/>
      </w:pPr>
    </w:p>
    <w:p w14:paraId="3B290C74" w14:textId="4710EBD4" w:rsidR="00E67459" w:rsidRDefault="007026E6" w:rsidP="00E67459">
      <w:pPr>
        <w:pStyle w:val="ListParagraph"/>
        <w:numPr>
          <w:ilvl w:val="2"/>
          <w:numId w:val="30"/>
        </w:numPr>
        <w:rPr>
          <w:rFonts w:cstheme="minorHAnsi"/>
        </w:rPr>
      </w:pPr>
      <w:r>
        <w:t xml:space="preserve">On the left-hand side </w:t>
      </w:r>
      <w:r w:rsidR="00E67459">
        <w:t xml:space="preserve">of </w:t>
      </w:r>
      <w:r w:rsidR="00E67459">
        <w:rPr>
          <w:rFonts w:cstheme="minorHAnsi"/>
        </w:rPr>
        <w:fldChar w:fldCharType="begin"/>
      </w:r>
      <w:r w:rsidR="00E67459">
        <w:rPr>
          <w:rFonts w:cstheme="minorHAnsi"/>
        </w:rPr>
        <w:instrText xml:space="preserve"> REF _Ref163330883 \h </w:instrText>
      </w:r>
      <w:r w:rsidR="00E67459">
        <w:rPr>
          <w:rFonts w:cstheme="minorHAnsi"/>
        </w:rPr>
      </w:r>
      <w:r w:rsidR="00E67459">
        <w:rPr>
          <w:rFonts w:cstheme="minorHAnsi"/>
        </w:rPr>
        <w:fldChar w:fldCharType="separate"/>
      </w:r>
      <w:r w:rsidR="00E67459">
        <w:t xml:space="preserve">Equation </w:t>
      </w:r>
      <w:r w:rsidR="00E67459">
        <w:rPr>
          <w:noProof/>
        </w:rPr>
        <w:t>26</w:t>
      </w:r>
      <w:r w:rsidR="00E67459">
        <w:rPr>
          <w:rFonts w:cstheme="minorHAnsi"/>
        </w:rPr>
        <w:fldChar w:fldCharType="end"/>
      </w:r>
      <w:r w:rsidR="00E67459">
        <w:rPr>
          <w:rFonts w:cstheme="minorHAnsi"/>
        </w:rPr>
        <w:t xml:space="preserve">, we will use “Move Repeated Risks” once for each of the </w:t>
      </w:r>
      <w:r w:rsidR="0039069F">
        <w:rPr>
          <w:rFonts w:cstheme="minorHAnsi"/>
        </w:rPr>
        <w:t xml:space="preserve">three right-most </w:t>
      </w:r>
      <w:r w:rsidR="00E67459">
        <w:rPr>
          <w:rFonts w:cstheme="minorHAnsi"/>
        </w:rPr>
        <w:t xml:space="preserve">columns.  This gives us the equation: </w:t>
      </w:r>
    </w:p>
    <w:p w14:paraId="28B85654" w14:textId="77777777" w:rsidR="00E67459" w:rsidRDefault="00E67459" w:rsidP="00E67459">
      <w:pPr>
        <w:pStyle w:val="ListParagraph"/>
        <w:ind w:left="1152"/>
        <w:rPr>
          <w:rFonts w:cstheme="minorHAnsi"/>
        </w:rPr>
      </w:pPr>
    </w:p>
    <w:tbl>
      <w:tblPr>
        <w:tblStyle w:val="TableGrid"/>
        <w:tblW w:w="9200" w:type="dxa"/>
        <w:jc w:val="center"/>
        <w:tblLook w:val="04A0" w:firstRow="1" w:lastRow="0" w:firstColumn="1" w:lastColumn="0" w:noHBand="0" w:noVBand="1"/>
      </w:tblPr>
      <w:tblGrid>
        <w:gridCol w:w="874"/>
        <w:gridCol w:w="780"/>
        <w:gridCol w:w="565"/>
        <w:gridCol w:w="634"/>
        <w:gridCol w:w="1160"/>
        <w:gridCol w:w="928"/>
        <w:gridCol w:w="424"/>
        <w:gridCol w:w="874"/>
        <w:gridCol w:w="780"/>
        <w:gridCol w:w="565"/>
        <w:gridCol w:w="634"/>
        <w:gridCol w:w="607"/>
        <w:gridCol w:w="928"/>
      </w:tblGrid>
      <w:tr w:rsidR="00BA7C0D" w:rsidRPr="00F60A9B" w14:paraId="4D0AD2A6" w14:textId="77777777" w:rsidTr="00BE77A4">
        <w:trPr>
          <w:tblHeader/>
          <w:jc w:val="center"/>
        </w:trPr>
        <w:tc>
          <w:tcPr>
            <w:tcW w:w="0" w:type="auto"/>
            <w:tcBorders>
              <w:top w:val="nil"/>
              <w:left w:val="nil"/>
              <w:bottom w:val="single" w:sz="4" w:space="0" w:color="auto"/>
            </w:tcBorders>
            <w:vAlign w:val="center"/>
          </w:tcPr>
          <w:p w14:paraId="53A6040E" w14:textId="77777777" w:rsidR="00BA7C0D" w:rsidRPr="00F60A9B" w:rsidRDefault="00000000" w:rsidP="00BE77A4">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22F67CBB" w14:textId="77777777" w:rsidR="00BA7C0D" w:rsidRPr="00274522" w:rsidRDefault="00BA7C0D" w:rsidP="00BE77A4">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651BDE22" w14:textId="77777777" w:rsidR="00BA7C0D" w:rsidRPr="00274522" w:rsidRDefault="00BA7C0D" w:rsidP="00BE77A4">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7925B423" w14:textId="77777777" w:rsidR="00BA7C0D" w:rsidRPr="00274522" w:rsidRDefault="00BA7C0D" w:rsidP="00BE77A4">
            <w:pPr>
              <w:keepNext/>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367C913C" w14:textId="77777777" w:rsidR="00BA7C0D" w:rsidRPr="00274522" w:rsidRDefault="00BA7C0D" w:rsidP="00BE77A4">
            <w:pPr>
              <w:keepNext/>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63DC81A3" w14:textId="77777777" w:rsidR="00BA7C0D" w:rsidRPr="00274522" w:rsidRDefault="00BA7C0D" w:rsidP="00BE77A4">
            <w:pPr>
              <w:keepNext/>
              <w:jc w:val="center"/>
              <w:rPr>
                <w:sz w:val="14"/>
                <w:szCs w:val="14"/>
              </w:rPr>
            </w:pPr>
            <w:r w:rsidRPr="00274522">
              <w:rPr>
                <w:sz w:val="14"/>
                <w:szCs w:val="14"/>
              </w:rPr>
              <w:t xml:space="preserve">Catastrophic </w:t>
            </w:r>
          </w:p>
          <w:p w14:paraId="1D663810" w14:textId="77777777" w:rsidR="00BA7C0D" w:rsidRPr="00274522" w:rsidRDefault="00BA7C0D" w:rsidP="00BE77A4">
            <w:pPr>
              <w:keepNext/>
              <w:jc w:val="center"/>
              <w:rPr>
                <w:sz w:val="14"/>
                <w:szCs w:val="14"/>
              </w:rPr>
            </w:pPr>
            <w:r w:rsidRPr="00274522">
              <w:rPr>
                <w:sz w:val="14"/>
                <w:szCs w:val="14"/>
              </w:rPr>
              <w:t>/ Fatal</w:t>
            </w:r>
          </w:p>
        </w:tc>
        <w:tc>
          <w:tcPr>
            <w:tcW w:w="0" w:type="auto"/>
            <w:tcBorders>
              <w:top w:val="nil"/>
              <w:left w:val="nil"/>
              <w:bottom w:val="nil"/>
              <w:right w:val="nil"/>
            </w:tcBorders>
            <w:vAlign w:val="center"/>
          </w:tcPr>
          <w:p w14:paraId="75817C3A" w14:textId="77777777" w:rsidR="00BA7C0D" w:rsidRPr="00274522" w:rsidRDefault="00BA7C0D" w:rsidP="00BE77A4">
            <w:pPr>
              <w:keepNext/>
              <w:jc w:val="center"/>
              <w:rPr>
                <w:sz w:val="14"/>
                <w:szCs w:val="14"/>
              </w:rPr>
            </w:pPr>
          </w:p>
        </w:tc>
        <w:tc>
          <w:tcPr>
            <w:tcW w:w="0" w:type="auto"/>
            <w:tcBorders>
              <w:top w:val="nil"/>
              <w:left w:val="nil"/>
              <w:bottom w:val="single" w:sz="12" w:space="0" w:color="auto"/>
            </w:tcBorders>
            <w:vAlign w:val="center"/>
          </w:tcPr>
          <w:p w14:paraId="0387A2AD" w14:textId="77777777" w:rsidR="00BA7C0D" w:rsidRPr="00274522" w:rsidRDefault="00000000" w:rsidP="00BE77A4">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05788604" w14:textId="77777777" w:rsidR="00BA7C0D" w:rsidRPr="00274522" w:rsidRDefault="00BA7C0D" w:rsidP="00BE77A4">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7BB9FFA5" w14:textId="77777777" w:rsidR="00BA7C0D" w:rsidRPr="00274522" w:rsidRDefault="00BA7C0D" w:rsidP="00BE77A4">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299165FD" w14:textId="77777777" w:rsidR="00BA7C0D" w:rsidRPr="005B7BEE" w:rsidRDefault="00BA7C0D" w:rsidP="00BE77A4">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A0256ED" w14:textId="77777777" w:rsidR="00BA7C0D" w:rsidRPr="005B7BEE" w:rsidRDefault="00BA7C0D" w:rsidP="00BE77A4">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6CDAEE4" w14:textId="77777777" w:rsidR="00BA7C0D" w:rsidRPr="005B7BEE" w:rsidRDefault="00BA7C0D" w:rsidP="00BE77A4">
            <w:pPr>
              <w:keepNext/>
              <w:jc w:val="center"/>
              <w:rPr>
                <w:sz w:val="14"/>
                <w:szCs w:val="14"/>
              </w:rPr>
            </w:pPr>
            <w:r w:rsidRPr="005B7BEE">
              <w:rPr>
                <w:sz w:val="14"/>
                <w:szCs w:val="14"/>
              </w:rPr>
              <w:t xml:space="preserve">Catastrophic </w:t>
            </w:r>
          </w:p>
          <w:p w14:paraId="2BBB5724" w14:textId="77777777" w:rsidR="00BA7C0D" w:rsidRDefault="00BA7C0D" w:rsidP="00BE77A4">
            <w:pPr>
              <w:keepNext/>
              <w:jc w:val="center"/>
              <w:rPr>
                <w:rFonts w:ascii="Calibri" w:eastAsia="Calibri" w:hAnsi="Calibri" w:cs="Times New Roman"/>
              </w:rPr>
            </w:pPr>
            <w:r w:rsidRPr="005B7BEE">
              <w:rPr>
                <w:sz w:val="14"/>
                <w:szCs w:val="14"/>
              </w:rPr>
              <w:t>/ Fatal</w:t>
            </w:r>
          </w:p>
        </w:tc>
      </w:tr>
      <w:tr w:rsidR="00BA7C0D" w:rsidRPr="00F60A9B" w14:paraId="5937FC59" w14:textId="77777777" w:rsidTr="0039069F">
        <w:trPr>
          <w:jc w:val="center"/>
        </w:trPr>
        <w:tc>
          <w:tcPr>
            <w:tcW w:w="0" w:type="auto"/>
            <w:tcBorders>
              <w:top w:val="single" w:sz="4" w:space="0" w:color="auto"/>
              <w:right w:val="single" w:sz="12" w:space="0" w:color="auto"/>
            </w:tcBorders>
            <w:vAlign w:val="center"/>
          </w:tcPr>
          <w:p w14:paraId="33400A97" w14:textId="77777777" w:rsidR="00BA7C0D" w:rsidRPr="005B7BEE" w:rsidRDefault="00BA7C0D" w:rsidP="00BA7C0D">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3AE305FE" w14:textId="53E29EE8"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269B186" w14:textId="1BD5DA62"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BFBFBF" w:themeFill="background1" w:themeFillShade="BF"/>
            <w:vAlign w:val="bottom"/>
          </w:tcPr>
          <w:p w14:paraId="1BCC29C3" w14:textId="24C2FD7F" w:rsidR="00BA7C0D" w:rsidRPr="00274522" w:rsidRDefault="0039069F" w:rsidP="00BA7C0D">
            <w:pPr>
              <w:keepNext/>
              <w:jc w:val="center"/>
            </w:pPr>
            <w:r>
              <w:rPr>
                <w:rFonts w:ascii="Calibri" w:hAnsi="Calibri" w:cs="Calibri"/>
                <w:color w:val="000000"/>
              </w:rPr>
              <w:t xml:space="preserve">2 </w:t>
            </w:r>
            <w:r w:rsidRPr="0039069F">
              <w:rPr>
                <w:rFonts w:ascii="Calibri" w:hAnsi="Calibri" w:cs="Calibri"/>
                <w:color w:val="000000"/>
              </w:rPr>
              <w:sym w:font="Wingdings" w:char="F0E0"/>
            </w:r>
            <w:r w:rsidR="00BA7C0D">
              <w:rPr>
                <w:rFonts w:ascii="Calibri" w:hAnsi="Calibri" w:cs="Calibri"/>
                <w:color w:val="000000"/>
              </w:rPr>
              <w:t>1</w:t>
            </w:r>
            <w:r>
              <w:rPr>
                <w:rFonts w:ascii="Calibri" w:hAnsi="Calibri" w:cs="Calibri"/>
                <w:color w:val="000000"/>
              </w:rPr>
              <w:t xml:space="preserve"> + 10</w:t>
            </w:r>
          </w:p>
        </w:tc>
        <w:tc>
          <w:tcPr>
            <w:tcW w:w="0" w:type="auto"/>
            <w:tcBorders>
              <w:top w:val="single" w:sz="8" w:space="0" w:color="auto"/>
              <w:left w:val="nil"/>
              <w:bottom w:val="single" w:sz="4" w:space="0" w:color="auto"/>
              <w:right w:val="single" w:sz="4" w:space="0" w:color="auto"/>
            </w:tcBorders>
            <w:shd w:val="clear" w:color="auto" w:fill="auto"/>
            <w:vAlign w:val="bottom"/>
          </w:tcPr>
          <w:p w14:paraId="026AEDA4" w14:textId="7344FDBA"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5B2B7136" w14:textId="39D54AEC" w:rsidR="00BA7C0D" w:rsidRPr="00274522" w:rsidRDefault="00BA7C0D" w:rsidP="00BA7C0D">
            <w:pPr>
              <w:keepNext/>
              <w:jc w:val="center"/>
            </w:pPr>
            <w:r>
              <w:rPr>
                <w:rFonts w:ascii="Calibri" w:hAnsi="Calibri" w:cs="Calibri"/>
                <w:color w:val="000000"/>
              </w:rPr>
              <w:t>1</w:t>
            </w:r>
          </w:p>
        </w:tc>
        <w:tc>
          <w:tcPr>
            <w:tcW w:w="0" w:type="auto"/>
            <w:tcBorders>
              <w:top w:val="nil"/>
              <w:left w:val="nil"/>
              <w:bottom w:val="nil"/>
              <w:right w:val="nil"/>
            </w:tcBorders>
            <w:vAlign w:val="center"/>
          </w:tcPr>
          <w:p w14:paraId="2CA30D25" w14:textId="77777777" w:rsidR="00BA7C0D" w:rsidRPr="00274522" w:rsidRDefault="00BA7C0D" w:rsidP="00BA7C0D">
            <w:pPr>
              <w:keepNext/>
              <w:jc w:val="center"/>
            </w:pPr>
          </w:p>
        </w:tc>
        <w:tc>
          <w:tcPr>
            <w:tcW w:w="0" w:type="auto"/>
            <w:tcBorders>
              <w:top w:val="single" w:sz="12" w:space="0" w:color="auto"/>
            </w:tcBorders>
            <w:vAlign w:val="center"/>
          </w:tcPr>
          <w:p w14:paraId="063C1DD6" w14:textId="77777777" w:rsidR="00BA7C0D" w:rsidRPr="00274522" w:rsidRDefault="00BA7C0D" w:rsidP="00BA7C0D">
            <w:pPr>
              <w:keepNext/>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B51429B" w14:textId="6C474602"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7750011" w14:textId="42C9270A"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E9031CB" w14:textId="1A181536" w:rsidR="00BA7C0D"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CD2F343" w14:textId="78B374AB" w:rsidR="00BA7C0D"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3CB4C38" w14:textId="02FB0400" w:rsidR="00BA7C0D" w:rsidRDefault="00BA7C0D" w:rsidP="00BA7C0D">
            <w:pPr>
              <w:keepNext/>
              <w:jc w:val="center"/>
            </w:pPr>
            <w:r>
              <w:rPr>
                <w:rFonts w:ascii="Calibri" w:hAnsi="Calibri" w:cs="Calibri"/>
                <w:color w:val="000000"/>
              </w:rPr>
              <w:t>0</w:t>
            </w:r>
          </w:p>
        </w:tc>
      </w:tr>
      <w:tr w:rsidR="00BA7C0D" w:rsidRPr="00F60A9B" w14:paraId="5A61CA91" w14:textId="77777777" w:rsidTr="0039069F">
        <w:trPr>
          <w:jc w:val="center"/>
        </w:trPr>
        <w:tc>
          <w:tcPr>
            <w:tcW w:w="0" w:type="auto"/>
            <w:tcBorders>
              <w:right w:val="single" w:sz="12" w:space="0" w:color="auto"/>
            </w:tcBorders>
            <w:vAlign w:val="center"/>
          </w:tcPr>
          <w:p w14:paraId="53D8D3D9" w14:textId="77777777" w:rsidR="00BA7C0D" w:rsidRPr="005B7BEE" w:rsidRDefault="00BA7C0D" w:rsidP="00BA7C0D">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0440CCA" w14:textId="3A8806F6" w:rsidR="00BA7C0D" w:rsidRPr="009C2BA8" w:rsidRDefault="00BA7C0D" w:rsidP="00BA7C0D">
            <w:pPr>
              <w:keepNext/>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AB7CE0" w14:textId="38FECEA0" w:rsidR="00BA7C0D" w:rsidRPr="009C2BA8" w:rsidRDefault="00BA7C0D" w:rsidP="00BA7C0D">
            <w:pPr>
              <w:keepNext/>
              <w:jc w:val="cente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6E2488A" w14:textId="390921FC" w:rsidR="00BA7C0D" w:rsidRPr="009C2BA8" w:rsidRDefault="0039069F" w:rsidP="00BA7C0D">
            <w:pPr>
              <w:keepNext/>
              <w:jc w:val="center"/>
            </w:pPr>
            <w:r>
              <w:rPr>
                <w:rFonts w:ascii="Calibri" w:hAnsi="Calibri" w:cs="Calibri"/>
                <w:color w:val="000000"/>
              </w:rPr>
              <w:t xml:space="preserve">0 + </w:t>
            </w:r>
            <w:r w:rsidR="00BA7C0D">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32057B39" w14:textId="1A240505" w:rsidR="00BA7C0D" w:rsidRPr="009C2BA8" w:rsidRDefault="0039069F" w:rsidP="00BA7C0D">
            <w:pPr>
              <w:keepNext/>
              <w:jc w:val="center"/>
            </w:pPr>
            <w:r>
              <w:rPr>
                <w:rFonts w:ascii="Calibri" w:hAnsi="Calibri" w:cs="Calibri"/>
                <w:color w:val="000000"/>
              </w:rPr>
              <w:t xml:space="preserve">1 </w:t>
            </w:r>
            <w:r w:rsidRPr="0039069F">
              <w:rPr>
                <w:rFonts w:ascii="Calibri" w:hAnsi="Calibri" w:cs="Calibri"/>
                <w:color w:val="000000"/>
              </w:rPr>
              <w:sym w:font="Wingdings" w:char="F0E0"/>
            </w:r>
            <w:r>
              <w:rPr>
                <w:rFonts w:ascii="Calibri" w:hAnsi="Calibri" w:cs="Calibri"/>
                <w:color w:val="000000"/>
              </w:rPr>
              <w:t xml:space="preserve"> </w:t>
            </w:r>
            <w:r w:rsidR="00BA7C0D">
              <w:rPr>
                <w:rFonts w:ascii="Calibri" w:hAnsi="Calibri" w:cs="Calibri"/>
                <w:color w:val="000000"/>
              </w:rPr>
              <w:t>0</w:t>
            </w:r>
            <w:r>
              <w:rPr>
                <w:rFonts w:ascii="Calibri" w:hAnsi="Calibri" w:cs="Calibri"/>
                <w:color w:val="000000"/>
              </w:rPr>
              <w:t xml:space="preserve"> + 10</w:t>
            </w:r>
          </w:p>
        </w:tc>
        <w:tc>
          <w:tcPr>
            <w:tcW w:w="0" w:type="auto"/>
            <w:tcBorders>
              <w:top w:val="nil"/>
              <w:left w:val="nil"/>
              <w:bottom w:val="single" w:sz="4" w:space="0" w:color="auto"/>
              <w:right w:val="single" w:sz="8" w:space="0" w:color="auto"/>
            </w:tcBorders>
            <w:shd w:val="clear" w:color="auto" w:fill="auto"/>
            <w:vAlign w:val="bottom"/>
          </w:tcPr>
          <w:p w14:paraId="1755102D" w14:textId="342C07C0" w:rsidR="00BA7C0D" w:rsidRPr="009C2BA8"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355A595A" w14:textId="77777777" w:rsidR="00BA7C0D" w:rsidRPr="009C2BA8" w:rsidRDefault="00BA7C0D" w:rsidP="00BA7C0D">
            <w:pPr>
              <w:keepNext/>
              <w:jc w:val="center"/>
            </w:pPr>
          </w:p>
        </w:tc>
        <w:tc>
          <w:tcPr>
            <w:tcW w:w="0" w:type="auto"/>
            <w:vAlign w:val="center"/>
          </w:tcPr>
          <w:p w14:paraId="6622A4B7" w14:textId="77777777" w:rsidR="00BA7C0D" w:rsidRPr="009C2BA8" w:rsidRDefault="00BA7C0D" w:rsidP="00BA7C0D">
            <w:pPr>
              <w:keepNext/>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15E435" w14:textId="78C24930"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4E0BC65" w14:textId="254624F4"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CA81AD4" w14:textId="3547E1FA"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819E9F8" w14:textId="37085E87"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531965B" w14:textId="63DAE501" w:rsidR="00BA7C0D" w:rsidRPr="009C2BA8" w:rsidRDefault="00BA7C0D" w:rsidP="00BA7C0D">
            <w:pPr>
              <w:keepNext/>
              <w:jc w:val="center"/>
            </w:pPr>
            <w:r>
              <w:rPr>
                <w:rFonts w:ascii="Calibri" w:hAnsi="Calibri" w:cs="Calibri"/>
                <w:color w:val="000000"/>
              </w:rPr>
              <w:t>0</w:t>
            </w:r>
          </w:p>
        </w:tc>
      </w:tr>
      <w:tr w:rsidR="00BA7C0D" w:rsidRPr="00F60A9B" w14:paraId="21049BD1" w14:textId="77777777" w:rsidTr="0039069F">
        <w:trPr>
          <w:jc w:val="center"/>
        </w:trPr>
        <w:tc>
          <w:tcPr>
            <w:tcW w:w="0" w:type="auto"/>
            <w:tcBorders>
              <w:right w:val="single" w:sz="12" w:space="0" w:color="auto"/>
            </w:tcBorders>
            <w:vAlign w:val="center"/>
          </w:tcPr>
          <w:p w14:paraId="74A50EA4" w14:textId="77777777" w:rsidR="00BA7C0D" w:rsidRPr="005B7BEE" w:rsidRDefault="00BA7C0D" w:rsidP="00BA7C0D">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B2F8DFB" w14:textId="58704AD4"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66BF4E" w14:textId="263E87C2"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C60D8C" w14:textId="1AABE0C9"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3027128" w14:textId="6C05350C" w:rsidR="00BA7C0D" w:rsidRPr="009C2BA8" w:rsidRDefault="0039069F" w:rsidP="0039069F">
            <w:pPr>
              <w:pStyle w:val="ListParagraph"/>
              <w:keepNext/>
              <w:numPr>
                <w:ilvl w:val="0"/>
                <w:numId w:val="49"/>
              </w:numPr>
              <w:jc w:val="center"/>
            </w:pPr>
            <w:r w:rsidRPr="0039069F">
              <w:rPr>
                <w:rFonts w:ascii="Calibri" w:hAnsi="Calibri" w:cs="Calibri"/>
                <w:color w:val="000000"/>
              </w:rPr>
              <w:t xml:space="preserve">+ </w:t>
            </w:r>
            <w:r w:rsidR="00BA7C0D" w:rsidRPr="0039069F">
              <w:rPr>
                <w:rFonts w:ascii="Calibri" w:hAnsi="Calibri" w:cs="Calibri"/>
                <w:color w:val="000000"/>
              </w:rPr>
              <w:t>10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0FBBAEFA" w14:textId="14C5DF32" w:rsidR="00BA7C0D" w:rsidRPr="009C2BA8" w:rsidRDefault="0039069F" w:rsidP="0039069F">
            <w:pPr>
              <w:keepNext/>
              <w:jc w:val="center"/>
            </w:pPr>
            <w:r>
              <w:rPr>
                <w:rFonts w:ascii="Calibri" w:hAnsi="Calibri" w:cs="Calibri"/>
                <w:color w:val="000000"/>
              </w:rPr>
              <w:t xml:space="preserve">1 </w:t>
            </w:r>
            <w:r w:rsidRPr="0039069F">
              <w:rPr>
                <w:rFonts w:ascii="Calibri" w:hAnsi="Calibri" w:cs="Calibri"/>
                <w:color w:val="000000"/>
              </w:rPr>
              <w:sym w:font="Wingdings" w:char="F0E0"/>
            </w:r>
            <w:r>
              <w:rPr>
                <w:rFonts w:ascii="Calibri" w:hAnsi="Calibri" w:cs="Calibri"/>
                <w:color w:val="000000"/>
              </w:rPr>
              <w:t xml:space="preserve"> </w:t>
            </w:r>
            <w:r w:rsidR="00BA7C0D" w:rsidRPr="0039069F">
              <w:rPr>
                <w:rFonts w:ascii="Calibri" w:hAnsi="Calibri" w:cs="Calibri"/>
                <w:color w:val="000000"/>
              </w:rPr>
              <w:t>0</w:t>
            </w:r>
            <w:r>
              <w:rPr>
                <w:rFonts w:ascii="Calibri" w:hAnsi="Calibri" w:cs="Calibri"/>
                <w:color w:val="000000"/>
              </w:rPr>
              <w:t xml:space="preserve"> + 10</w:t>
            </w:r>
          </w:p>
        </w:tc>
        <w:tc>
          <w:tcPr>
            <w:tcW w:w="0" w:type="auto"/>
            <w:tcBorders>
              <w:top w:val="nil"/>
              <w:left w:val="nil"/>
              <w:bottom w:val="nil"/>
              <w:right w:val="nil"/>
            </w:tcBorders>
            <w:vAlign w:val="center"/>
          </w:tcPr>
          <w:p w14:paraId="2E347413" w14:textId="77777777" w:rsidR="00BA7C0D" w:rsidRPr="009C2BA8" w:rsidRDefault="00BA7C0D" w:rsidP="00BA7C0D">
            <w:pPr>
              <w:keepNext/>
              <w:jc w:val="center"/>
            </w:pPr>
          </w:p>
        </w:tc>
        <w:tc>
          <w:tcPr>
            <w:tcW w:w="0" w:type="auto"/>
            <w:vAlign w:val="center"/>
          </w:tcPr>
          <w:p w14:paraId="2D55C527" w14:textId="77777777" w:rsidR="00BA7C0D" w:rsidRPr="009C2BA8" w:rsidRDefault="00BA7C0D" w:rsidP="00BA7C0D">
            <w:pPr>
              <w:keepNext/>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E793F09" w14:textId="3D9C1CF2"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C741C41" w14:textId="4A22E792"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6CB73E" w14:textId="7123DCDD"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EBE7FE5" w14:textId="46134D4B"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3D3AC6" w14:textId="3CBC9EDD" w:rsidR="00BA7C0D" w:rsidRPr="009C2BA8" w:rsidRDefault="00BA7C0D" w:rsidP="00BA7C0D">
            <w:pPr>
              <w:keepNext/>
              <w:jc w:val="center"/>
            </w:pPr>
            <w:r>
              <w:rPr>
                <w:rFonts w:ascii="Calibri" w:hAnsi="Calibri" w:cs="Calibri"/>
                <w:color w:val="000000"/>
              </w:rPr>
              <w:t>0</w:t>
            </w:r>
          </w:p>
        </w:tc>
      </w:tr>
      <w:tr w:rsidR="00BA7C0D" w:rsidRPr="00F60A9B" w14:paraId="40B5ADC1" w14:textId="77777777" w:rsidTr="0039069F">
        <w:trPr>
          <w:jc w:val="center"/>
        </w:trPr>
        <w:tc>
          <w:tcPr>
            <w:tcW w:w="0" w:type="auto"/>
            <w:tcBorders>
              <w:right w:val="single" w:sz="12" w:space="0" w:color="auto"/>
            </w:tcBorders>
            <w:vAlign w:val="center"/>
          </w:tcPr>
          <w:p w14:paraId="48DA6B41" w14:textId="77777777" w:rsidR="00BA7C0D" w:rsidRPr="005B7BEE" w:rsidRDefault="00BA7C0D" w:rsidP="00BA7C0D">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E517DA4" w14:textId="112252F9"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4E0566" w14:textId="632A25E6"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31E79B" w14:textId="16052B01"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8EFF13" w14:textId="07FB14D9"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48DC469B" w14:textId="2ABCB68E" w:rsidR="00BA7C0D" w:rsidRPr="00F60A9B" w:rsidRDefault="0039069F" w:rsidP="00BA7C0D">
            <w:pPr>
              <w:keepNext/>
              <w:jc w:val="center"/>
            </w:pPr>
            <w:r>
              <w:rPr>
                <w:rFonts w:ascii="Calibri" w:hAnsi="Calibri" w:cs="Calibri"/>
                <w:color w:val="000000"/>
              </w:rPr>
              <w:t xml:space="preserve">0 + </w:t>
            </w:r>
            <w:r w:rsidR="00BA7C0D">
              <w:rPr>
                <w:rFonts w:ascii="Calibri" w:hAnsi="Calibri" w:cs="Calibri"/>
                <w:color w:val="000000"/>
              </w:rPr>
              <w:t>10</w:t>
            </w:r>
          </w:p>
        </w:tc>
        <w:tc>
          <w:tcPr>
            <w:tcW w:w="0" w:type="auto"/>
            <w:tcBorders>
              <w:top w:val="nil"/>
              <w:left w:val="nil"/>
              <w:bottom w:val="nil"/>
              <w:right w:val="nil"/>
            </w:tcBorders>
            <w:tcMar>
              <w:left w:w="115" w:type="dxa"/>
              <w:right w:w="144" w:type="dxa"/>
            </w:tcMar>
            <w:vAlign w:val="center"/>
          </w:tcPr>
          <w:p w14:paraId="458D85D2" w14:textId="77777777" w:rsidR="00BA7C0D" w:rsidRDefault="00000000" w:rsidP="00BA7C0D">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61539723" w14:textId="77777777" w:rsidR="00BA7C0D" w:rsidRDefault="00BA7C0D" w:rsidP="00BA7C0D">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EDA0F5A" w14:textId="21EAF0EF"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BD046" w14:textId="582F8F04" w:rsidR="00BA7C0D" w:rsidRDefault="00BA7C0D" w:rsidP="00BA7C0D">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4C212CE" w14:textId="7C66B557"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58289A" w14:textId="5CE8B12F"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1A6586" w14:textId="35CC1FB3" w:rsidR="00BA7C0D" w:rsidRDefault="00BA7C0D" w:rsidP="00BA7C0D">
            <w:pPr>
              <w:keepNext/>
              <w:jc w:val="center"/>
            </w:pPr>
            <w:r>
              <w:rPr>
                <w:rFonts w:ascii="Calibri" w:hAnsi="Calibri" w:cs="Calibri"/>
                <w:color w:val="000000"/>
              </w:rPr>
              <w:t>0</w:t>
            </w:r>
          </w:p>
        </w:tc>
      </w:tr>
      <w:tr w:rsidR="00BA7C0D" w:rsidRPr="00F60A9B" w14:paraId="1BE31745" w14:textId="77777777" w:rsidTr="00D442AC">
        <w:trPr>
          <w:jc w:val="center"/>
        </w:trPr>
        <w:tc>
          <w:tcPr>
            <w:tcW w:w="0" w:type="auto"/>
            <w:tcBorders>
              <w:right w:val="single" w:sz="12" w:space="0" w:color="auto"/>
            </w:tcBorders>
            <w:vAlign w:val="center"/>
          </w:tcPr>
          <w:p w14:paraId="14D7AA6B" w14:textId="77777777" w:rsidR="00BA7C0D" w:rsidRPr="005B7BEE" w:rsidRDefault="00BA7C0D" w:rsidP="00BA7C0D">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30B19487" w14:textId="77C0DAB0"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79BC7BA" w14:textId="5E5EFC6D"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49E564" w14:textId="094B4717"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3F1F75C" w14:textId="31104A65"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4AB4995" w14:textId="59854E1A"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7A32A5B4" w14:textId="77777777" w:rsidR="00BA7C0D" w:rsidRDefault="00BA7C0D" w:rsidP="00BA7C0D">
            <w:pPr>
              <w:keepNext/>
              <w:jc w:val="center"/>
            </w:pPr>
          </w:p>
        </w:tc>
        <w:tc>
          <w:tcPr>
            <w:tcW w:w="0" w:type="auto"/>
            <w:vAlign w:val="center"/>
          </w:tcPr>
          <w:p w14:paraId="040BDCA9" w14:textId="77777777" w:rsidR="00BA7C0D" w:rsidRDefault="00BA7C0D" w:rsidP="00BA7C0D">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561CF305" w14:textId="6E0D4065"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A3E66D" w14:textId="0FADD8E0"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DCBB4BF" w14:textId="2B2FD02B" w:rsidR="00BA7C0D" w:rsidRDefault="00BA7C0D" w:rsidP="00BA7C0D">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4AE1D25C" w14:textId="30521296"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44FFE7E" w14:textId="2BB3CDF5" w:rsidR="00BA7C0D" w:rsidRDefault="00BA7C0D" w:rsidP="00BA7C0D">
            <w:pPr>
              <w:keepNext/>
              <w:jc w:val="center"/>
            </w:pPr>
            <w:r>
              <w:rPr>
                <w:rFonts w:ascii="Calibri" w:hAnsi="Calibri" w:cs="Calibri"/>
                <w:color w:val="000000"/>
              </w:rPr>
              <w:t>0</w:t>
            </w:r>
          </w:p>
        </w:tc>
      </w:tr>
      <w:tr w:rsidR="00BA7C0D" w:rsidRPr="00F60A9B" w14:paraId="4778BF87" w14:textId="77777777" w:rsidTr="00D442AC">
        <w:trPr>
          <w:jc w:val="center"/>
        </w:trPr>
        <w:tc>
          <w:tcPr>
            <w:tcW w:w="0" w:type="auto"/>
            <w:tcBorders>
              <w:right w:val="single" w:sz="12" w:space="0" w:color="auto"/>
            </w:tcBorders>
            <w:vAlign w:val="center"/>
          </w:tcPr>
          <w:p w14:paraId="72007054" w14:textId="77777777" w:rsidR="00BA7C0D" w:rsidRPr="005B7BEE" w:rsidRDefault="00BA7C0D" w:rsidP="00BA7C0D">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15E2448C" w14:textId="52F5611F"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6C766B" w14:textId="3518B145"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07AC41" w14:textId="5EBD7417"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681B18" w14:textId="2878422A"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1E44DB2" w14:textId="1535D8EE"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6E8587BE" w14:textId="77777777" w:rsidR="00BA7C0D" w:rsidRDefault="00BA7C0D" w:rsidP="00BA7C0D">
            <w:pPr>
              <w:keepNext/>
              <w:jc w:val="center"/>
            </w:pPr>
          </w:p>
        </w:tc>
        <w:tc>
          <w:tcPr>
            <w:tcW w:w="0" w:type="auto"/>
            <w:vAlign w:val="center"/>
          </w:tcPr>
          <w:p w14:paraId="13B57B50" w14:textId="77777777" w:rsidR="00BA7C0D" w:rsidRDefault="00BA7C0D" w:rsidP="00BA7C0D">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4486622" w14:textId="5641F59A"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882F76C" w14:textId="02C889EE"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5AD89B" w14:textId="1B491876"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347B24" w14:textId="45D390B9" w:rsidR="00BA7C0D" w:rsidRDefault="00BA7C0D" w:rsidP="00BA7C0D">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B64DCD5" w14:textId="72F31610" w:rsidR="00BA7C0D" w:rsidRDefault="00BA7C0D" w:rsidP="00BA7C0D">
            <w:pPr>
              <w:keepNext/>
              <w:jc w:val="center"/>
            </w:pPr>
            <w:r>
              <w:rPr>
                <w:rFonts w:ascii="Calibri" w:hAnsi="Calibri" w:cs="Calibri"/>
                <w:color w:val="000000"/>
              </w:rPr>
              <w:t>0</w:t>
            </w:r>
          </w:p>
        </w:tc>
      </w:tr>
      <w:tr w:rsidR="00BA7C0D" w:rsidRPr="00F60A9B" w14:paraId="23E45F17" w14:textId="77777777" w:rsidTr="00D442AC">
        <w:trPr>
          <w:jc w:val="center"/>
        </w:trPr>
        <w:tc>
          <w:tcPr>
            <w:tcW w:w="0" w:type="auto"/>
            <w:tcBorders>
              <w:right w:val="single" w:sz="12" w:space="0" w:color="auto"/>
            </w:tcBorders>
            <w:vAlign w:val="center"/>
          </w:tcPr>
          <w:p w14:paraId="7E588A50" w14:textId="77777777" w:rsidR="00BA7C0D" w:rsidRPr="005B7BEE" w:rsidRDefault="00BA7C0D" w:rsidP="00BA7C0D">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5BF0AF6" w14:textId="3AF2D6FA"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D14486C" w14:textId="30B5A6E5"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E2B34E4" w14:textId="2B536C89"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A9910FA" w14:textId="15F268DF"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3D2D344B" w14:textId="1C4AE847"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0A3BE330" w14:textId="77777777" w:rsidR="00BA7C0D" w:rsidRDefault="00BA7C0D" w:rsidP="00BA7C0D">
            <w:pPr>
              <w:keepNext/>
              <w:jc w:val="center"/>
            </w:pPr>
          </w:p>
        </w:tc>
        <w:tc>
          <w:tcPr>
            <w:tcW w:w="0" w:type="auto"/>
            <w:vAlign w:val="center"/>
          </w:tcPr>
          <w:p w14:paraId="368755EB" w14:textId="77777777" w:rsidR="00BA7C0D" w:rsidRDefault="00BA7C0D" w:rsidP="00BA7C0D">
            <w:pPr>
              <w:keepNext/>
              <w:jc w:val="center"/>
            </w:pPr>
            <w:r w:rsidRPr="005B7BEE">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F7FC08" w14:textId="5A038949"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8C6259" w14:textId="7DD1299F" w:rsidR="00BA7C0D" w:rsidRDefault="00BA7C0D" w:rsidP="00BA7C0D">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58A5C6F3" w14:textId="38A241A7" w:rsidR="00BA7C0D" w:rsidRDefault="00BA7C0D" w:rsidP="00BA7C0D">
            <w:pPr>
              <w:keepNext/>
              <w:jc w:val="center"/>
            </w:pPr>
            <w:r>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vAlign w:val="bottom"/>
          </w:tcPr>
          <w:p w14:paraId="6ACE3CAE" w14:textId="571A5AAF" w:rsidR="00BA7C0D" w:rsidRDefault="00BA7C0D" w:rsidP="00BA7C0D">
            <w:pPr>
              <w:keepNext/>
              <w:jc w:val="center"/>
            </w:pPr>
            <w:r>
              <w:rPr>
                <w:rFonts w:ascii="Calibri" w:hAnsi="Calibri" w:cs="Calibri"/>
                <w:color w:val="000000"/>
              </w:rPr>
              <w:t>6</w:t>
            </w:r>
          </w:p>
        </w:tc>
        <w:tc>
          <w:tcPr>
            <w:tcW w:w="0" w:type="auto"/>
            <w:tcBorders>
              <w:top w:val="nil"/>
              <w:left w:val="nil"/>
              <w:bottom w:val="single" w:sz="4" w:space="0" w:color="auto"/>
              <w:right w:val="single" w:sz="4" w:space="0" w:color="auto"/>
            </w:tcBorders>
            <w:shd w:val="clear" w:color="auto" w:fill="auto"/>
            <w:vAlign w:val="bottom"/>
          </w:tcPr>
          <w:p w14:paraId="04FAC857" w14:textId="430CA7A3" w:rsidR="00BA7C0D" w:rsidRDefault="00BA7C0D" w:rsidP="00BA7C0D">
            <w:pPr>
              <w:keepNext/>
              <w:jc w:val="center"/>
            </w:pPr>
            <w:r>
              <w:rPr>
                <w:rFonts w:ascii="Calibri" w:hAnsi="Calibri" w:cs="Calibri"/>
                <w:color w:val="000000"/>
              </w:rPr>
              <w:t>4</w:t>
            </w:r>
          </w:p>
        </w:tc>
      </w:tr>
    </w:tbl>
    <w:p w14:paraId="44E6570A" w14:textId="77777777" w:rsidR="00BA7C0D" w:rsidRDefault="00BA7C0D" w:rsidP="00E67459">
      <w:pPr>
        <w:pStyle w:val="ListParagraph"/>
        <w:ind w:left="1152"/>
        <w:rPr>
          <w:rFonts w:cstheme="minorHAnsi"/>
        </w:rPr>
      </w:pPr>
    </w:p>
    <w:p w14:paraId="7C4C4F18" w14:textId="0F548E27" w:rsidR="00BA7C0D" w:rsidRDefault="00BA7C0D" w:rsidP="00BA7C0D">
      <w:pPr>
        <w:pStyle w:val="ListParagraph"/>
        <w:numPr>
          <w:ilvl w:val="2"/>
          <w:numId w:val="30"/>
        </w:numPr>
      </w:pPr>
      <w:r>
        <w:t xml:space="preserve">If we use “Remove Unequal Risks” on the ‘Catastrophic / Fatal’ column of the previous equation, we will get: </w:t>
      </w:r>
    </w:p>
    <w:p w14:paraId="44668F7E" w14:textId="77777777" w:rsidR="00BA7C0D" w:rsidRDefault="00BA7C0D" w:rsidP="00BA7C0D">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A7C0D" w:rsidRPr="00F60A9B" w14:paraId="4D424022" w14:textId="77777777" w:rsidTr="00BE77A4">
        <w:trPr>
          <w:tblHeader/>
          <w:jc w:val="center"/>
        </w:trPr>
        <w:tc>
          <w:tcPr>
            <w:tcW w:w="0" w:type="auto"/>
            <w:tcBorders>
              <w:top w:val="nil"/>
              <w:left w:val="nil"/>
              <w:bottom w:val="single" w:sz="4" w:space="0" w:color="auto"/>
            </w:tcBorders>
            <w:vAlign w:val="center"/>
          </w:tcPr>
          <w:p w14:paraId="15D45E27" w14:textId="77777777" w:rsidR="00BA7C0D" w:rsidRPr="00F60A9B" w:rsidRDefault="00000000" w:rsidP="00BE77A4">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F2CC2CE" w14:textId="77777777" w:rsidR="00BA7C0D" w:rsidRPr="00274522" w:rsidRDefault="00BA7C0D" w:rsidP="00BE77A4">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433A1AFF" w14:textId="77777777" w:rsidR="00BA7C0D" w:rsidRPr="00274522" w:rsidRDefault="00BA7C0D" w:rsidP="00BE77A4">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272A9163" w14:textId="77777777" w:rsidR="00BA7C0D" w:rsidRPr="00274522" w:rsidRDefault="00BA7C0D" w:rsidP="00BE77A4">
            <w:pPr>
              <w:keepNext/>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27185A42" w14:textId="77777777" w:rsidR="00BA7C0D" w:rsidRPr="00274522" w:rsidRDefault="00BA7C0D" w:rsidP="00BE77A4">
            <w:pPr>
              <w:keepNext/>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6C4B60E7" w14:textId="77777777" w:rsidR="00BA7C0D" w:rsidRPr="00274522" w:rsidRDefault="00BA7C0D" w:rsidP="00BE77A4">
            <w:pPr>
              <w:keepNext/>
              <w:jc w:val="center"/>
              <w:rPr>
                <w:sz w:val="14"/>
                <w:szCs w:val="14"/>
              </w:rPr>
            </w:pPr>
            <w:r w:rsidRPr="00274522">
              <w:rPr>
                <w:sz w:val="14"/>
                <w:szCs w:val="14"/>
              </w:rPr>
              <w:t xml:space="preserve">Catastrophic </w:t>
            </w:r>
          </w:p>
          <w:p w14:paraId="22D17056" w14:textId="77777777" w:rsidR="00BA7C0D" w:rsidRPr="00274522" w:rsidRDefault="00BA7C0D" w:rsidP="00BE77A4">
            <w:pPr>
              <w:keepNext/>
              <w:jc w:val="center"/>
              <w:rPr>
                <w:sz w:val="14"/>
                <w:szCs w:val="14"/>
              </w:rPr>
            </w:pPr>
            <w:r w:rsidRPr="00274522">
              <w:rPr>
                <w:sz w:val="14"/>
                <w:szCs w:val="14"/>
              </w:rPr>
              <w:t>/ Fatal</w:t>
            </w:r>
          </w:p>
        </w:tc>
        <w:tc>
          <w:tcPr>
            <w:tcW w:w="0" w:type="auto"/>
            <w:tcBorders>
              <w:top w:val="nil"/>
              <w:left w:val="nil"/>
              <w:bottom w:val="nil"/>
              <w:right w:val="nil"/>
            </w:tcBorders>
            <w:vAlign w:val="center"/>
          </w:tcPr>
          <w:p w14:paraId="57CF54CE" w14:textId="77777777" w:rsidR="00BA7C0D" w:rsidRPr="00274522" w:rsidRDefault="00BA7C0D" w:rsidP="00BE77A4">
            <w:pPr>
              <w:keepNext/>
              <w:jc w:val="center"/>
              <w:rPr>
                <w:sz w:val="14"/>
                <w:szCs w:val="14"/>
              </w:rPr>
            </w:pPr>
          </w:p>
        </w:tc>
        <w:tc>
          <w:tcPr>
            <w:tcW w:w="0" w:type="auto"/>
            <w:tcBorders>
              <w:top w:val="nil"/>
              <w:left w:val="nil"/>
              <w:bottom w:val="single" w:sz="12" w:space="0" w:color="auto"/>
            </w:tcBorders>
            <w:vAlign w:val="center"/>
          </w:tcPr>
          <w:p w14:paraId="47F53A34" w14:textId="77777777" w:rsidR="00BA7C0D" w:rsidRPr="00274522" w:rsidRDefault="00000000" w:rsidP="00BE77A4">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5C6AECA" w14:textId="77777777" w:rsidR="00BA7C0D" w:rsidRPr="00274522" w:rsidRDefault="00BA7C0D" w:rsidP="00BE77A4">
            <w:pPr>
              <w:keepNext/>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522C4350" w14:textId="77777777" w:rsidR="00BA7C0D" w:rsidRPr="00274522" w:rsidRDefault="00BA7C0D" w:rsidP="00BE77A4">
            <w:pPr>
              <w:keepNext/>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071F3C4B" w14:textId="77777777" w:rsidR="00BA7C0D" w:rsidRPr="005B7BEE" w:rsidRDefault="00BA7C0D" w:rsidP="00BE77A4">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5458AFC2" w14:textId="77777777" w:rsidR="00BA7C0D" w:rsidRPr="005B7BEE" w:rsidRDefault="00BA7C0D" w:rsidP="00BE77A4">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95B8D40" w14:textId="77777777" w:rsidR="00BA7C0D" w:rsidRPr="005B7BEE" w:rsidRDefault="00BA7C0D" w:rsidP="00BE77A4">
            <w:pPr>
              <w:keepNext/>
              <w:jc w:val="center"/>
              <w:rPr>
                <w:sz w:val="14"/>
                <w:szCs w:val="14"/>
              </w:rPr>
            </w:pPr>
            <w:r w:rsidRPr="005B7BEE">
              <w:rPr>
                <w:sz w:val="14"/>
                <w:szCs w:val="14"/>
              </w:rPr>
              <w:t xml:space="preserve">Catastrophic </w:t>
            </w:r>
          </w:p>
          <w:p w14:paraId="7846C00A" w14:textId="77777777" w:rsidR="00BA7C0D" w:rsidRDefault="00BA7C0D" w:rsidP="00BE77A4">
            <w:pPr>
              <w:keepNext/>
              <w:jc w:val="center"/>
              <w:rPr>
                <w:rFonts w:ascii="Calibri" w:eastAsia="Calibri" w:hAnsi="Calibri" w:cs="Times New Roman"/>
              </w:rPr>
            </w:pPr>
            <w:r w:rsidRPr="005B7BEE">
              <w:rPr>
                <w:sz w:val="14"/>
                <w:szCs w:val="14"/>
              </w:rPr>
              <w:t>/ Fatal</w:t>
            </w:r>
          </w:p>
        </w:tc>
      </w:tr>
      <w:tr w:rsidR="00BA7C0D" w:rsidRPr="00F60A9B" w14:paraId="2A8D0D5B" w14:textId="77777777" w:rsidTr="00BA7C0D">
        <w:trPr>
          <w:jc w:val="center"/>
        </w:trPr>
        <w:tc>
          <w:tcPr>
            <w:tcW w:w="0" w:type="auto"/>
            <w:tcBorders>
              <w:top w:val="single" w:sz="4" w:space="0" w:color="auto"/>
              <w:right w:val="single" w:sz="12" w:space="0" w:color="auto"/>
            </w:tcBorders>
            <w:vAlign w:val="center"/>
          </w:tcPr>
          <w:p w14:paraId="01A345FA" w14:textId="77777777" w:rsidR="00BA7C0D" w:rsidRPr="005B7BEE" w:rsidRDefault="00BA7C0D" w:rsidP="00BA7C0D">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FC03154" w14:textId="40675C21"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B31557C" w14:textId="197F4A30"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14:paraId="6EA93FB3" w14:textId="1E301E81" w:rsidR="00BA7C0D" w:rsidRPr="00274522" w:rsidRDefault="00BA7C0D" w:rsidP="00BA7C0D">
            <w:pPr>
              <w:keepNext/>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6DFDA512" w14:textId="54A07CD8"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14:paraId="36B284DF" w14:textId="227A5B57" w:rsidR="00BA7C0D" w:rsidRPr="00274522" w:rsidRDefault="00BA7C0D" w:rsidP="00BA7C0D">
            <w:pPr>
              <w:keepNext/>
              <w:jc w:val="center"/>
            </w:pPr>
            <w:r>
              <w:rPr>
                <w:rFonts w:ascii="Calibri" w:hAnsi="Calibri" w:cs="Calibri"/>
                <w:color w:val="000000"/>
              </w:rPr>
              <w:t>1</w:t>
            </w:r>
          </w:p>
        </w:tc>
        <w:tc>
          <w:tcPr>
            <w:tcW w:w="0" w:type="auto"/>
            <w:tcBorders>
              <w:top w:val="nil"/>
              <w:left w:val="nil"/>
              <w:bottom w:val="nil"/>
              <w:right w:val="nil"/>
            </w:tcBorders>
            <w:vAlign w:val="center"/>
          </w:tcPr>
          <w:p w14:paraId="79A0370D" w14:textId="77777777" w:rsidR="00BA7C0D" w:rsidRPr="00274522" w:rsidRDefault="00BA7C0D" w:rsidP="00BA7C0D">
            <w:pPr>
              <w:keepNext/>
              <w:jc w:val="center"/>
            </w:pPr>
          </w:p>
        </w:tc>
        <w:tc>
          <w:tcPr>
            <w:tcW w:w="0" w:type="auto"/>
            <w:tcBorders>
              <w:top w:val="single" w:sz="12" w:space="0" w:color="auto"/>
            </w:tcBorders>
            <w:vAlign w:val="center"/>
          </w:tcPr>
          <w:p w14:paraId="126CD7F9" w14:textId="77777777" w:rsidR="00BA7C0D" w:rsidRPr="00274522" w:rsidRDefault="00BA7C0D" w:rsidP="00BA7C0D">
            <w:pPr>
              <w:keepNext/>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4A634CF" w14:textId="115353B5"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744E2BC" w14:textId="6C0B8CB1" w:rsidR="00BA7C0D" w:rsidRPr="00274522"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8BB11C1" w14:textId="237C9B41" w:rsidR="00BA7C0D"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BA4C937" w14:textId="48F9D03E" w:rsidR="00BA7C0D" w:rsidRDefault="00BA7C0D" w:rsidP="00BA7C0D">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5BC83458" w14:textId="23A2C2F2" w:rsidR="00BA7C0D" w:rsidRDefault="00BA7C0D" w:rsidP="00BA7C0D">
            <w:pPr>
              <w:keepNext/>
              <w:jc w:val="center"/>
            </w:pPr>
            <w:r>
              <w:rPr>
                <w:rFonts w:ascii="Calibri" w:hAnsi="Calibri" w:cs="Calibri"/>
                <w:color w:val="000000"/>
              </w:rPr>
              <w:t>0</w:t>
            </w:r>
          </w:p>
        </w:tc>
      </w:tr>
      <w:tr w:rsidR="00BA7C0D" w:rsidRPr="00F60A9B" w14:paraId="0ECA987C" w14:textId="77777777" w:rsidTr="00BA7C0D">
        <w:trPr>
          <w:jc w:val="center"/>
        </w:trPr>
        <w:tc>
          <w:tcPr>
            <w:tcW w:w="0" w:type="auto"/>
            <w:tcBorders>
              <w:right w:val="single" w:sz="12" w:space="0" w:color="auto"/>
            </w:tcBorders>
            <w:vAlign w:val="center"/>
          </w:tcPr>
          <w:p w14:paraId="0046196E" w14:textId="77777777" w:rsidR="00BA7C0D" w:rsidRPr="005B7BEE" w:rsidRDefault="00BA7C0D" w:rsidP="00BA7C0D">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1C4A3B5F" w14:textId="1275CAC5" w:rsidR="00BA7C0D" w:rsidRPr="009C2BA8" w:rsidRDefault="00BA7C0D" w:rsidP="00BA7C0D">
            <w:pPr>
              <w:keepNext/>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D47E02" w14:textId="67E34D64" w:rsidR="00BA7C0D" w:rsidRPr="009C2BA8" w:rsidRDefault="00BA7C0D" w:rsidP="00BA7C0D">
            <w:pPr>
              <w:keepNext/>
              <w:jc w:val="cente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vAlign w:val="bottom"/>
          </w:tcPr>
          <w:p w14:paraId="00F2FA6E" w14:textId="6D919045" w:rsidR="00BA7C0D" w:rsidRPr="009C2BA8" w:rsidRDefault="00BA7C0D" w:rsidP="00BA7C0D">
            <w:pPr>
              <w:keepNext/>
              <w:jc w:val="cente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vAlign w:val="bottom"/>
          </w:tcPr>
          <w:p w14:paraId="047E106D" w14:textId="54ABFB21"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348DD7E" w14:textId="4C1C9432" w:rsidR="00BA7C0D" w:rsidRPr="009C2BA8"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4D662371" w14:textId="77777777" w:rsidR="00BA7C0D" w:rsidRPr="009C2BA8" w:rsidRDefault="00BA7C0D" w:rsidP="00BA7C0D">
            <w:pPr>
              <w:keepNext/>
              <w:jc w:val="center"/>
            </w:pPr>
          </w:p>
        </w:tc>
        <w:tc>
          <w:tcPr>
            <w:tcW w:w="0" w:type="auto"/>
            <w:vAlign w:val="center"/>
          </w:tcPr>
          <w:p w14:paraId="626A7998" w14:textId="77777777" w:rsidR="00BA7C0D" w:rsidRPr="009C2BA8" w:rsidRDefault="00BA7C0D" w:rsidP="00BA7C0D">
            <w:pPr>
              <w:keepNext/>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29C7AA5D" w14:textId="2556FB30"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DF8C12" w14:textId="3617A46F"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0D8A05" w14:textId="1E1FA992"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74C8D7" w14:textId="376881B1"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F49D704" w14:textId="39548F75" w:rsidR="00BA7C0D" w:rsidRPr="009C2BA8" w:rsidRDefault="00BA7C0D" w:rsidP="00BA7C0D">
            <w:pPr>
              <w:keepNext/>
              <w:jc w:val="center"/>
            </w:pPr>
            <w:r>
              <w:rPr>
                <w:rFonts w:ascii="Calibri" w:hAnsi="Calibri" w:cs="Calibri"/>
                <w:color w:val="000000"/>
              </w:rPr>
              <w:t>0</w:t>
            </w:r>
          </w:p>
        </w:tc>
      </w:tr>
      <w:tr w:rsidR="00BA7C0D" w:rsidRPr="00F60A9B" w14:paraId="556DC3AA" w14:textId="77777777" w:rsidTr="00ED4B22">
        <w:trPr>
          <w:jc w:val="center"/>
        </w:trPr>
        <w:tc>
          <w:tcPr>
            <w:tcW w:w="0" w:type="auto"/>
            <w:tcBorders>
              <w:right w:val="single" w:sz="12" w:space="0" w:color="auto"/>
            </w:tcBorders>
            <w:vAlign w:val="center"/>
          </w:tcPr>
          <w:p w14:paraId="0D489355" w14:textId="77777777" w:rsidR="00BA7C0D" w:rsidRPr="005B7BEE" w:rsidRDefault="00BA7C0D" w:rsidP="00BA7C0D">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3448E5E4" w14:textId="415CDFB2"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A836A4" w14:textId="18CE7878"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F45111D" w14:textId="78165ED7"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AE4FCB" w14:textId="1EB7DADD" w:rsidR="00BA7C0D" w:rsidRPr="009C2BA8" w:rsidRDefault="00BA7C0D" w:rsidP="00BA7C0D">
            <w:pPr>
              <w:keepNext/>
              <w:jc w:val="center"/>
            </w:pPr>
            <w:r>
              <w:rPr>
                <w:rFonts w:ascii="Calibri" w:hAnsi="Calibri" w:cs="Calibri"/>
                <w:color w:val="000000"/>
              </w:rPr>
              <w:t>10</w:t>
            </w:r>
          </w:p>
        </w:tc>
        <w:tc>
          <w:tcPr>
            <w:tcW w:w="0" w:type="auto"/>
            <w:tcBorders>
              <w:top w:val="nil"/>
              <w:left w:val="nil"/>
              <w:bottom w:val="single" w:sz="4" w:space="0" w:color="auto"/>
              <w:right w:val="single" w:sz="8" w:space="0" w:color="auto"/>
            </w:tcBorders>
            <w:shd w:val="clear" w:color="auto" w:fill="auto"/>
            <w:vAlign w:val="bottom"/>
          </w:tcPr>
          <w:p w14:paraId="4537D272" w14:textId="4AE72191" w:rsidR="00BA7C0D" w:rsidRPr="009C2BA8"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099145FF" w14:textId="77777777" w:rsidR="00BA7C0D" w:rsidRPr="009C2BA8" w:rsidRDefault="00BA7C0D" w:rsidP="00BA7C0D">
            <w:pPr>
              <w:keepNext/>
              <w:jc w:val="center"/>
            </w:pPr>
          </w:p>
        </w:tc>
        <w:tc>
          <w:tcPr>
            <w:tcW w:w="0" w:type="auto"/>
            <w:vAlign w:val="center"/>
          </w:tcPr>
          <w:p w14:paraId="2536EE4D" w14:textId="77777777" w:rsidR="00BA7C0D" w:rsidRPr="009C2BA8" w:rsidRDefault="00BA7C0D" w:rsidP="00BA7C0D">
            <w:pPr>
              <w:keepNext/>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4760CF52" w14:textId="168206DB"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FE6456" w14:textId="6141AD49"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5C387F" w14:textId="67B70A13"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DF02046" w14:textId="4D44B8F8" w:rsidR="00BA7C0D" w:rsidRPr="009C2BA8"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01309D9" w14:textId="1749B51F" w:rsidR="00BA7C0D" w:rsidRPr="009C2BA8" w:rsidRDefault="00BA7C0D" w:rsidP="00BA7C0D">
            <w:pPr>
              <w:keepNext/>
              <w:jc w:val="center"/>
            </w:pPr>
            <w:r>
              <w:rPr>
                <w:rFonts w:ascii="Calibri" w:hAnsi="Calibri" w:cs="Calibri"/>
                <w:color w:val="000000"/>
              </w:rPr>
              <w:t>0</w:t>
            </w:r>
          </w:p>
        </w:tc>
      </w:tr>
      <w:tr w:rsidR="00BA7C0D" w:rsidRPr="00F60A9B" w14:paraId="2148EBE0" w14:textId="77777777" w:rsidTr="003468AE">
        <w:trPr>
          <w:jc w:val="center"/>
        </w:trPr>
        <w:tc>
          <w:tcPr>
            <w:tcW w:w="0" w:type="auto"/>
            <w:tcBorders>
              <w:right w:val="single" w:sz="12" w:space="0" w:color="auto"/>
            </w:tcBorders>
            <w:vAlign w:val="center"/>
          </w:tcPr>
          <w:p w14:paraId="6EF837EE" w14:textId="77777777" w:rsidR="00BA7C0D" w:rsidRPr="005B7BEE" w:rsidRDefault="00BA7C0D" w:rsidP="00BA7C0D">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386AA3C" w14:textId="2D1C087E"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3D948B" w14:textId="401B326C"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785CAE" w14:textId="7C9D8168"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588644B" w14:textId="0F161C44"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7C7C4611" w14:textId="3BAF977F" w:rsidR="00BA7C0D" w:rsidRPr="00F60A9B" w:rsidRDefault="0039069F" w:rsidP="00BA7C0D">
            <w:pPr>
              <w:keepNext/>
              <w:jc w:val="center"/>
            </w:pPr>
            <w:r>
              <w:rPr>
                <w:rFonts w:ascii="Calibri" w:hAnsi="Calibri" w:cs="Calibri"/>
                <w:color w:val="000000"/>
              </w:rPr>
              <w:t xml:space="preserve">10 – 4 = </w:t>
            </w:r>
            <w:r w:rsidR="00BA7C0D">
              <w:rPr>
                <w:rFonts w:ascii="Calibri" w:hAnsi="Calibri" w:cs="Calibri"/>
                <w:color w:val="000000"/>
              </w:rPr>
              <w:t>6</w:t>
            </w:r>
          </w:p>
        </w:tc>
        <w:tc>
          <w:tcPr>
            <w:tcW w:w="0" w:type="auto"/>
            <w:tcBorders>
              <w:top w:val="nil"/>
              <w:left w:val="nil"/>
              <w:bottom w:val="nil"/>
              <w:right w:val="nil"/>
            </w:tcBorders>
            <w:tcMar>
              <w:left w:w="115" w:type="dxa"/>
              <w:right w:w="144" w:type="dxa"/>
            </w:tcMar>
            <w:vAlign w:val="center"/>
          </w:tcPr>
          <w:p w14:paraId="4698FC8D" w14:textId="77777777" w:rsidR="00BA7C0D" w:rsidRDefault="00000000" w:rsidP="00BA7C0D">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761D8928" w14:textId="77777777" w:rsidR="00BA7C0D" w:rsidRDefault="00BA7C0D" w:rsidP="00BA7C0D">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6623BEDC" w14:textId="42007997"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45DFD87" w14:textId="2F05DAE4" w:rsidR="00BA7C0D" w:rsidRDefault="00BA7C0D" w:rsidP="00BA7C0D">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4D3E455" w14:textId="56F30B99"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EB64DF" w14:textId="30148959"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BFBFBF" w:themeFill="background1" w:themeFillShade="BF"/>
            <w:vAlign w:val="bottom"/>
          </w:tcPr>
          <w:p w14:paraId="3489B09B" w14:textId="59794C77" w:rsidR="00BA7C0D" w:rsidRDefault="0039069F" w:rsidP="00BA7C0D">
            <w:pPr>
              <w:keepNext/>
              <w:jc w:val="center"/>
            </w:pPr>
            <w:r>
              <w:rPr>
                <w:rFonts w:ascii="Calibri" w:hAnsi="Calibri" w:cs="Calibri"/>
                <w:color w:val="000000"/>
              </w:rPr>
              <w:t xml:space="preserve">4 – 4 = </w:t>
            </w:r>
            <w:r w:rsidR="00BA7C0D">
              <w:rPr>
                <w:rFonts w:ascii="Calibri" w:hAnsi="Calibri" w:cs="Calibri"/>
                <w:color w:val="000000"/>
              </w:rPr>
              <w:t>0</w:t>
            </w:r>
          </w:p>
        </w:tc>
      </w:tr>
      <w:tr w:rsidR="00BA7C0D" w:rsidRPr="00F60A9B" w14:paraId="6D4082A4" w14:textId="77777777" w:rsidTr="00ED4B22">
        <w:trPr>
          <w:jc w:val="center"/>
        </w:trPr>
        <w:tc>
          <w:tcPr>
            <w:tcW w:w="0" w:type="auto"/>
            <w:tcBorders>
              <w:right w:val="single" w:sz="12" w:space="0" w:color="auto"/>
            </w:tcBorders>
            <w:vAlign w:val="center"/>
          </w:tcPr>
          <w:p w14:paraId="058DA162" w14:textId="77777777" w:rsidR="00BA7C0D" w:rsidRPr="005B7BEE" w:rsidRDefault="00BA7C0D" w:rsidP="00BA7C0D">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574D823" w14:textId="3897C4A1"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E947EA6" w14:textId="29D4D175"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CB682A" w14:textId="5D0C1507"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680680" w14:textId="261297B6"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CE1E0F" w14:textId="33EB40C1"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4664232E" w14:textId="77777777" w:rsidR="00BA7C0D" w:rsidRDefault="00BA7C0D" w:rsidP="00BA7C0D">
            <w:pPr>
              <w:keepNext/>
              <w:jc w:val="center"/>
            </w:pPr>
          </w:p>
        </w:tc>
        <w:tc>
          <w:tcPr>
            <w:tcW w:w="0" w:type="auto"/>
            <w:vAlign w:val="center"/>
          </w:tcPr>
          <w:p w14:paraId="0AA66D9C" w14:textId="77777777" w:rsidR="00BA7C0D" w:rsidRDefault="00BA7C0D" w:rsidP="00BA7C0D">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DC7C19B" w14:textId="1230341E"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5B192B" w14:textId="2BBAA7BE"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8E179DD" w14:textId="53F05E97" w:rsidR="00BA7C0D" w:rsidRDefault="00BA7C0D" w:rsidP="00BA7C0D">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3D0CD4B3" w14:textId="3BB3ADE9"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048A075" w14:textId="2E5A38D4" w:rsidR="00BA7C0D" w:rsidRDefault="00BA7C0D" w:rsidP="00BA7C0D">
            <w:pPr>
              <w:keepNext/>
              <w:jc w:val="center"/>
            </w:pPr>
            <w:r>
              <w:rPr>
                <w:rFonts w:ascii="Calibri" w:hAnsi="Calibri" w:cs="Calibri"/>
                <w:color w:val="000000"/>
              </w:rPr>
              <w:t>0</w:t>
            </w:r>
          </w:p>
        </w:tc>
      </w:tr>
      <w:tr w:rsidR="00BA7C0D" w:rsidRPr="00F60A9B" w14:paraId="7FC724F9" w14:textId="77777777" w:rsidTr="00ED4B22">
        <w:trPr>
          <w:jc w:val="center"/>
        </w:trPr>
        <w:tc>
          <w:tcPr>
            <w:tcW w:w="0" w:type="auto"/>
            <w:tcBorders>
              <w:right w:val="single" w:sz="12" w:space="0" w:color="auto"/>
            </w:tcBorders>
            <w:vAlign w:val="center"/>
          </w:tcPr>
          <w:p w14:paraId="5EE0BB1F" w14:textId="77777777" w:rsidR="00BA7C0D" w:rsidRPr="005B7BEE" w:rsidRDefault="00BA7C0D" w:rsidP="00BA7C0D">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E7783AD" w14:textId="5EC7D0DB"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0387DE" w14:textId="6139ED37"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48051F2" w14:textId="05CF9F1F"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9D4AC51" w14:textId="7D90CBF5"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EE3A5EB" w14:textId="4E164A00"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2E612A60" w14:textId="77777777" w:rsidR="00BA7C0D" w:rsidRDefault="00BA7C0D" w:rsidP="00BA7C0D">
            <w:pPr>
              <w:keepNext/>
              <w:jc w:val="center"/>
            </w:pPr>
          </w:p>
        </w:tc>
        <w:tc>
          <w:tcPr>
            <w:tcW w:w="0" w:type="auto"/>
            <w:vAlign w:val="center"/>
          </w:tcPr>
          <w:p w14:paraId="60A35E0B" w14:textId="77777777" w:rsidR="00BA7C0D" w:rsidRDefault="00BA7C0D" w:rsidP="00BA7C0D">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65BBC89" w14:textId="61E282C8"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85CCD3B" w14:textId="69446371"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3A14D7" w14:textId="65B22EDF" w:rsidR="00BA7C0D" w:rsidRDefault="00BA7C0D" w:rsidP="00BA7C0D">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E3E7616" w14:textId="1365A70A" w:rsidR="00BA7C0D" w:rsidRDefault="00BA7C0D" w:rsidP="00BA7C0D">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1D451F1C" w14:textId="6A5CB00D" w:rsidR="00BA7C0D" w:rsidRDefault="00BA7C0D" w:rsidP="00BA7C0D">
            <w:pPr>
              <w:keepNext/>
              <w:jc w:val="center"/>
            </w:pPr>
            <w:r>
              <w:rPr>
                <w:rFonts w:ascii="Calibri" w:hAnsi="Calibri" w:cs="Calibri"/>
                <w:color w:val="000000"/>
              </w:rPr>
              <w:t>0</w:t>
            </w:r>
          </w:p>
        </w:tc>
      </w:tr>
      <w:tr w:rsidR="00BA7C0D" w:rsidRPr="00F60A9B" w14:paraId="20E55310" w14:textId="77777777" w:rsidTr="00ED4B22">
        <w:trPr>
          <w:jc w:val="center"/>
        </w:trPr>
        <w:tc>
          <w:tcPr>
            <w:tcW w:w="0" w:type="auto"/>
            <w:tcBorders>
              <w:right w:val="single" w:sz="12" w:space="0" w:color="auto"/>
            </w:tcBorders>
            <w:vAlign w:val="center"/>
          </w:tcPr>
          <w:p w14:paraId="15E26051" w14:textId="77777777" w:rsidR="00BA7C0D" w:rsidRPr="005B7BEE" w:rsidRDefault="00BA7C0D" w:rsidP="00BA7C0D">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895C0A5" w14:textId="4FD4286D" w:rsidR="00BA7C0D" w:rsidRPr="00F60A9B"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40C3CC8" w14:textId="70B8F643"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4847908" w14:textId="75551F84"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9240078" w14:textId="6A501E34" w:rsidR="00BA7C0D" w:rsidRPr="00210DD1"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5532F042" w14:textId="07B12433" w:rsidR="00BA7C0D" w:rsidRPr="00F60A9B" w:rsidRDefault="00BA7C0D" w:rsidP="00BA7C0D">
            <w:pPr>
              <w:keepNext/>
              <w:jc w:val="center"/>
            </w:pPr>
            <w:r>
              <w:rPr>
                <w:rFonts w:ascii="Calibri" w:hAnsi="Calibri" w:cs="Calibri"/>
                <w:color w:val="000000"/>
              </w:rPr>
              <w:t>0</w:t>
            </w:r>
          </w:p>
        </w:tc>
        <w:tc>
          <w:tcPr>
            <w:tcW w:w="0" w:type="auto"/>
            <w:tcBorders>
              <w:top w:val="nil"/>
              <w:left w:val="nil"/>
              <w:bottom w:val="nil"/>
              <w:right w:val="nil"/>
            </w:tcBorders>
            <w:vAlign w:val="center"/>
          </w:tcPr>
          <w:p w14:paraId="1E37E6B3" w14:textId="77777777" w:rsidR="00BA7C0D" w:rsidRDefault="00BA7C0D" w:rsidP="00BA7C0D">
            <w:pPr>
              <w:keepNext/>
              <w:jc w:val="center"/>
            </w:pPr>
          </w:p>
        </w:tc>
        <w:tc>
          <w:tcPr>
            <w:tcW w:w="0" w:type="auto"/>
            <w:vAlign w:val="center"/>
          </w:tcPr>
          <w:p w14:paraId="619A28E2" w14:textId="77777777" w:rsidR="00BA7C0D" w:rsidRDefault="00BA7C0D" w:rsidP="00BA7C0D">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21F475B" w14:textId="6355686A" w:rsidR="00BA7C0D" w:rsidRDefault="00BA7C0D" w:rsidP="00BA7C0D">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3501656C" w14:textId="5C82A4E1" w:rsidR="00BA7C0D" w:rsidRDefault="00BA7C0D" w:rsidP="00BA7C0D">
            <w:pPr>
              <w:keepNext/>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119CA15A" w14:textId="59DAE6AA" w:rsidR="00BA7C0D" w:rsidRDefault="00BA7C0D" w:rsidP="00BA7C0D">
            <w:pPr>
              <w:keepNext/>
              <w:jc w:val="center"/>
            </w:pPr>
            <w:r>
              <w:rPr>
                <w:rFonts w:ascii="Calibri" w:hAnsi="Calibri" w:cs="Calibri"/>
                <w:color w:val="000000"/>
              </w:rPr>
              <w:t>4</w:t>
            </w:r>
          </w:p>
        </w:tc>
        <w:tc>
          <w:tcPr>
            <w:tcW w:w="0" w:type="auto"/>
            <w:tcBorders>
              <w:top w:val="nil"/>
              <w:left w:val="nil"/>
              <w:bottom w:val="single" w:sz="8" w:space="0" w:color="auto"/>
              <w:right w:val="single" w:sz="4" w:space="0" w:color="auto"/>
            </w:tcBorders>
            <w:shd w:val="clear" w:color="auto" w:fill="auto"/>
            <w:vAlign w:val="bottom"/>
          </w:tcPr>
          <w:p w14:paraId="40E6A741" w14:textId="6CBAC8FB" w:rsidR="00BA7C0D" w:rsidRDefault="00BA7C0D" w:rsidP="00BA7C0D">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6BAB2CDF" w14:textId="7C01D9F2" w:rsidR="00BA7C0D" w:rsidRDefault="00BA7C0D" w:rsidP="00BA7C0D">
            <w:pPr>
              <w:keepNext/>
              <w:jc w:val="center"/>
            </w:pPr>
            <w:r>
              <w:rPr>
                <w:rFonts w:ascii="Calibri" w:hAnsi="Calibri" w:cs="Calibri"/>
                <w:color w:val="000000"/>
              </w:rPr>
              <w:t>0</w:t>
            </w:r>
          </w:p>
        </w:tc>
      </w:tr>
    </w:tbl>
    <w:p w14:paraId="45BACEE9" w14:textId="77777777" w:rsidR="00BA7C0D" w:rsidRDefault="00BA7C0D" w:rsidP="00BA7C0D">
      <w:pPr>
        <w:pStyle w:val="ListParagraph"/>
        <w:ind w:left="1152"/>
      </w:pPr>
    </w:p>
    <w:p w14:paraId="392B9C07" w14:textId="0AECECEE" w:rsidR="007026E6" w:rsidRDefault="00BA7C0D" w:rsidP="00BA7C0D">
      <w:pPr>
        <w:pStyle w:val="ListParagraph"/>
        <w:ind w:left="1152"/>
      </w:pPr>
      <w:r>
        <w:t xml:space="preserve">So, the left-most and right-most columns of the right-hand side of the equation now have no risks. </w:t>
      </w:r>
    </w:p>
    <w:p w14:paraId="3DDFE631" w14:textId="77777777" w:rsidR="00BA7C0D" w:rsidRDefault="00BA7C0D" w:rsidP="00BA7C0D">
      <w:pPr>
        <w:pStyle w:val="ListParagraph"/>
        <w:ind w:left="1152"/>
      </w:pPr>
    </w:p>
    <w:p w14:paraId="1DC8AE37" w14:textId="4DFEA5F3" w:rsidR="007026E6" w:rsidRDefault="00BA7C0D" w:rsidP="009A7B18">
      <w:pPr>
        <w:pStyle w:val="ListParagraph"/>
        <w:numPr>
          <w:ilvl w:val="2"/>
          <w:numId w:val="30"/>
        </w:numPr>
      </w:pPr>
      <w:r>
        <w:t xml:space="preserve">If we use “Remove Unequal Risks” on the ‘Critical’ </w:t>
      </w:r>
      <w:r w:rsidR="003468AE">
        <w:t xml:space="preserve">and ‘Serious / Major’ </w:t>
      </w:r>
      <w:r>
        <w:t>column of the previous equation, we will get:</w:t>
      </w:r>
    </w:p>
    <w:p w14:paraId="60D5DE82" w14:textId="77777777" w:rsidR="00BA7C0D" w:rsidRDefault="00BA7C0D" w:rsidP="009A7B18">
      <w:pPr>
        <w:pStyle w:val="ListParagraph"/>
        <w:ind w:left="1152"/>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BA7C0D" w:rsidRPr="00F60A9B" w14:paraId="63FC11EB" w14:textId="77777777" w:rsidTr="00BE77A4">
        <w:trPr>
          <w:tblHeader/>
          <w:jc w:val="center"/>
        </w:trPr>
        <w:tc>
          <w:tcPr>
            <w:tcW w:w="0" w:type="auto"/>
            <w:tcBorders>
              <w:top w:val="nil"/>
              <w:left w:val="nil"/>
              <w:bottom w:val="single" w:sz="4" w:space="0" w:color="auto"/>
            </w:tcBorders>
            <w:vAlign w:val="center"/>
          </w:tcPr>
          <w:p w14:paraId="2437AAC6" w14:textId="77777777" w:rsidR="00BA7C0D" w:rsidRPr="00F60A9B" w:rsidRDefault="00000000" w:rsidP="009A7B18">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069F3231" w14:textId="77777777" w:rsidR="00BA7C0D" w:rsidRPr="00274522" w:rsidRDefault="00BA7C0D" w:rsidP="009A7B18">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2455477C" w14:textId="77777777" w:rsidR="00BA7C0D" w:rsidRPr="00274522" w:rsidRDefault="00BA7C0D" w:rsidP="009A7B18">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76A43709" w14:textId="77777777" w:rsidR="00BA7C0D" w:rsidRPr="00274522" w:rsidRDefault="00BA7C0D" w:rsidP="009A7B18">
            <w:pPr>
              <w:jc w:val="center"/>
              <w:rPr>
                <w:sz w:val="14"/>
                <w:szCs w:val="14"/>
              </w:rPr>
            </w:pPr>
            <w:r w:rsidRPr="00274522">
              <w:rPr>
                <w:sz w:val="14"/>
                <w:szCs w:val="14"/>
              </w:rPr>
              <w:t>Serious /Major</w:t>
            </w:r>
          </w:p>
        </w:tc>
        <w:tc>
          <w:tcPr>
            <w:tcW w:w="0" w:type="auto"/>
            <w:tcBorders>
              <w:top w:val="single" w:sz="4" w:space="0" w:color="auto"/>
              <w:bottom w:val="single" w:sz="12" w:space="0" w:color="auto"/>
            </w:tcBorders>
            <w:vAlign w:val="center"/>
          </w:tcPr>
          <w:p w14:paraId="14E0500E" w14:textId="77777777" w:rsidR="00BA7C0D" w:rsidRPr="00274522" w:rsidRDefault="00BA7C0D" w:rsidP="009A7B18">
            <w:pPr>
              <w:jc w:val="center"/>
              <w:rPr>
                <w:sz w:val="14"/>
                <w:szCs w:val="14"/>
              </w:rPr>
            </w:pPr>
            <w:r w:rsidRPr="00274522">
              <w:rPr>
                <w:sz w:val="14"/>
                <w:szCs w:val="14"/>
              </w:rPr>
              <w:t>Critical</w:t>
            </w:r>
          </w:p>
        </w:tc>
        <w:tc>
          <w:tcPr>
            <w:tcW w:w="0" w:type="auto"/>
            <w:tcBorders>
              <w:top w:val="single" w:sz="4" w:space="0" w:color="auto"/>
              <w:bottom w:val="single" w:sz="12" w:space="0" w:color="auto"/>
            </w:tcBorders>
            <w:vAlign w:val="center"/>
          </w:tcPr>
          <w:p w14:paraId="7C6BDF41" w14:textId="77777777" w:rsidR="00BA7C0D" w:rsidRPr="00274522" w:rsidRDefault="00BA7C0D" w:rsidP="009A7B18">
            <w:pPr>
              <w:jc w:val="center"/>
              <w:rPr>
                <w:sz w:val="14"/>
                <w:szCs w:val="14"/>
              </w:rPr>
            </w:pPr>
            <w:r w:rsidRPr="00274522">
              <w:rPr>
                <w:sz w:val="14"/>
                <w:szCs w:val="14"/>
              </w:rPr>
              <w:t xml:space="preserve">Catastrophic </w:t>
            </w:r>
          </w:p>
          <w:p w14:paraId="5160CD54" w14:textId="77777777" w:rsidR="00BA7C0D" w:rsidRPr="00274522" w:rsidRDefault="00BA7C0D" w:rsidP="009A7B18">
            <w:pPr>
              <w:jc w:val="center"/>
              <w:rPr>
                <w:sz w:val="14"/>
                <w:szCs w:val="14"/>
              </w:rPr>
            </w:pPr>
            <w:r w:rsidRPr="00274522">
              <w:rPr>
                <w:sz w:val="14"/>
                <w:szCs w:val="14"/>
              </w:rPr>
              <w:t>/ Fatal</w:t>
            </w:r>
          </w:p>
        </w:tc>
        <w:tc>
          <w:tcPr>
            <w:tcW w:w="0" w:type="auto"/>
            <w:tcBorders>
              <w:top w:val="nil"/>
              <w:left w:val="nil"/>
              <w:bottom w:val="nil"/>
              <w:right w:val="nil"/>
            </w:tcBorders>
            <w:vAlign w:val="center"/>
          </w:tcPr>
          <w:p w14:paraId="09B1EE27" w14:textId="77777777" w:rsidR="00BA7C0D" w:rsidRPr="00274522" w:rsidRDefault="00BA7C0D" w:rsidP="009A7B18">
            <w:pPr>
              <w:jc w:val="center"/>
              <w:rPr>
                <w:sz w:val="14"/>
                <w:szCs w:val="14"/>
              </w:rPr>
            </w:pPr>
          </w:p>
        </w:tc>
        <w:tc>
          <w:tcPr>
            <w:tcW w:w="0" w:type="auto"/>
            <w:tcBorders>
              <w:top w:val="nil"/>
              <w:left w:val="nil"/>
              <w:bottom w:val="single" w:sz="12" w:space="0" w:color="auto"/>
            </w:tcBorders>
            <w:vAlign w:val="center"/>
          </w:tcPr>
          <w:p w14:paraId="0A0A1175" w14:textId="77777777" w:rsidR="00BA7C0D" w:rsidRPr="00274522" w:rsidRDefault="00000000" w:rsidP="009A7B18">
            <w:pP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3F4C6D53" w14:textId="77777777" w:rsidR="00BA7C0D" w:rsidRPr="00274522" w:rsidRDefault="00BA7C0D" w:rsidP="009A7B18">
            <w:pPr>
              <w:jc w:val="center"/>
              <w:rPr>
                <w:sz w:val="14"/>
                <w:szCs w:val="14"/>
              </w:rPr>
            </w:pPr>
            <w:r w:rsidRPr="00274522">
              <w:rPr>
                <w:sz w:val="14"/>
                <w:szCs w:val="14"/>
              </w:rPr>
              <w:t>Negligible</w:t>
            </w:r>
          </w:p>
        </w:tc>
        <w:tc>
          <w:tcPr>
            <w:tcW w:w="0" w:type="auto"/>
            <w:tcBorders>
              <w:top w:val="single" w:sz="4" w:space="0" w:color="auto"/>
              <w:bottom w:val="single" w:sz="12" w:space="0" w:color="auto"/>
            </w:tcBorders>
            <w:vAlign w:val="center"/>
          </w:tcPr>
          <w:p w14:paraId="720AEF5A" w14:textId="77777777" w:rsidR="00BA7C0D" w:rsidRPr="00274522" w:rsidRDefault="00BA7C0D" w:rsidP="009A7B18">
            <w:pPr>
              <w:jc w:val="center"/>
              <w:rPr>
                <w:sz w:val="14"/>
                <w:szCs w:val="14"/>
              </w:rPr>
            </w:pPr>
            <w:r w:rsidRPr="00274522">
              <w:rPr>
                <w:sz w:val="14"/>
                <w:szCs w:val="14"/>
              </w:rPr>
              <w:t>Minor</w:t>
            </w:r>
          </w:p>
        </w:tc>
        <w:tc>
          <w:tcPr>
            <w:tcW w:w="0" w:type="auto"/>
            <w:tcBorders>
              <w:top w:val="single" w:sz="4" w:space="0" w:color="auto"/>
              <w:bottom w:val="single" w:sz="12" w:space="0" w:color="auto"/>
            </w:tcBorders>
            <w:vAlign w:val="center"/>
          </w:tcPr>
          <w:p w14:paraId="288D469C" w14:textId="77777777" w:rsidR="00BA7C0D" w:rsidRPr="005B7BEE" w:rsidRDefault="00BA7C0D" w:rsidP="009A7B18">
            <w:pPr>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EDA8C56" w14:textId="77777777" w:rsidR="00BA7C0D" w:rsidRPr="005B7BEE" w:rsidRDefault="00BA7C0D" w:rsidP="009A7B18">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3146ABE4" w14:textId="77777777" w:rsidR="00BA7C0D" w:rsidRPr="005B7BEE" w:rsidRDefault="00BA7C0D" w:rsidP="009A7B18">
            <w:pPr>
              <w:jc w:val="center"/>
              <w:rPr>
                <w:sz w:val="14"/>
                <w:szCs w:val="14"/>
              </w:rPr>
            </w:pPr>
            <w:r w:rsidRPr="005B7BEE">
              <w:rPr>
                <w:sz w:val="14"/>
                <w:szCs w:val="14"/>
              </w:rPr>
              <w:t xml:space="preserve">Catastrophic </w:t>
            </w:r>
          </w:p>
          <w:p w14:paraId="7F3D0BD6" w14:textId="77777777" w:rsidR="00BA7C0D" w:rsidRDefault="00BA7C0D" w:rsidP="009A7B18">
            <w:pPr>
              <w:jc w:val="center"/>
              <w:rPr>
                <w:rFonts w:ascii="Calibri" w:eastAsia="Calibri" w:hAnsi="Calibri" w:cs="Times New Roman"/>
              </w:rPr>
            </w:pPr>
            <w:r w:rsidRPr="005B7BEE">
              <w:rPr>
                <w:sz w:val="14"/>
                <w:szCs w:val="14"/>
              </w:rPr>
              <w:t>/ Fatal</w:t>
            </w:r>
          </w:p>
        </w:tc>
      </w:tr>
      <w:tr w:rsidR="00BA7C0D" w:rsidRPr="00F60A9B" w14:paraId="52348A53" w14:textId="77777777" w:rsidTr="00BF094B">
        <w:trPr>
          <w:jc w:val="center"/>
        </w:trPr>
        <w:tc>
          <w:tcPr>
            <w:tcW w:w="0" w:type="auto"/>
            <w:tcBorders>
              <w:top w:val="single" w:sz="4" w:space="0" w:color="auto"/>
              <w:right w:val="single" w:sz="12" w:space="0" w:color="auto"/>
            </w:tcBorders>
            <w:vAlign w:val="center"/>
          </w:tcPr>
          <w:p w14:paraId="584843E7" w14:textId="77777777" w:rsidR="00BA7C0D" w:rsidRPr="005B7BEE" w:rsidRDefault="00BA7C0D" w:rsidP="009A7B18">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761E575" w14:textId="3AAD4A90" w:rsidR="00BA7C0D" w:rsidRPr="00274522"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1ACB2F7" w14:textId="4BFB49EF" w:rsidR="00BA7C0D" w:rsidRPr="00274522"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95A7211" w14:textId="57F6CD4D" w:rsidR="00BA7C0D" w:rsidRPr="00274522" w:rsidRDefault="00BA7C0D" w:rsidP="009A7B18">
            <w:pPr>
              <w:jc w:val="center"/>
            </w:pPr>
            <w:r>
              <w:rPr>
                <w:rFonts w:ascii="Calibri" w:hAnsi="Calibri" w:cs="Calibri"/>
                <w:color w:val="000000"/>
              </w:rPr>
              <w:t>1</w:t>
            </w:r>
          </w:p>
        </w:tc>
        <w:tc>
          <w:tcPr>
            <w:tcW w:w="0" w:type="auto"/>
            <w:tcBorders>
              <w:top w:val="single" w:sz="8" w:space="0" w:color="auto"/>
              <w:left w:val="nil"/>
              <w:bottom w:val="single" w:sz="4" w:space="0" w:color="auto"/>
              <w:right w:val="single" w:sz="4" w:space="0" w:color="auto"/>
            </w:tcBorders>
            <w:shd w:val="clear" w:color="auto" w:fill="auto"/>
            <w:vAlign w:val="bottom"/>
          </w:tcPr>
          <w:p w14:paraId="2DD6C2D4" w14:textId="4CD1099B" w:rsidR="00BA7C0D" w:rsidRPr="00274522"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2FD11E3" w14:textId="2CA5DB95" w:rsidR="00BA7C0D" w:rsidRPr="00274522" w:rsidRDefault="00BA7C0D" w:rsidP="009A7B18">
            <w:pPr>
              <w:jc w:val="center"/>
            </w:pPr>
            <w:r>
              <w:rPr>
                <w:rFonts w:ascii="Calibri" w:hAnsi="Calibri" w:cs="Calibri"/>
                <w:color w:val="000000"/>
              </w:rPr>
              <w:t>1</w:t>
            </w:r>
          </w:p>
        </w:tc>
        <w:tc>
          <w:tcPr>
            <w:tcW w:w="0" w:type="auto"/>
            <w:tcBorders>
              <w:top w:val="nil"/>
              <w:left w:val="nil"/>
              <w:bottom w:val="nil"/>
              <w:right w:val="nil"/>
            </w:tcBorders>
            <w:vAlign w:val="center"/>
          </w:tcPr>
          <w:p w14:paraId="61A40742" w14:textId="77777777" w:rsidR="00BA7C0D" w:rsidRPr="00274522" w:rsidRDefault="00BA7C0D" w:rsidP="009A7B18">
            <w:pPr>
              <w:jc w:val="center"/>
            </w:pPr>
          </w:p>
        </w:tc>
        <w:tc>
          <w:tcPr>
            <w:tcW w:w="0" w:type="auto"/>
            <w:tcBorders>
              <w:top w:val="single" w:sz="12" w:space="0" w:color="auto"/>
            </w:tcBorders>
            <w:vAlign w:val="center"/>
          </w:tcPr>
          <w:p w14:paraId="6CB747FD" w14:textId="77777777" w:rsidR="00BA7C0D" w:rsidRPr="00274522" w:rsidRDefault="00BA7C0D" w:rsidP="009A7B18">
            <w:pPr>
              <w:jc w:val="center"/>
            </w:pPr>
            <w:r w:rsidRPr="00274522">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4E51AD05" w14:textId="4B4B3709" w:rsidR="00BA7C0D" w:rsidRPr="00274522"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E677940" w14:textId="3B158718" w:rsidR="00BA7C0D" w:rsidRPr="00274522"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2A35D52" w14:textId="5F386F8C" w:rsidR="00BA7C0D"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0400128" w14:textId="3C061A5C" w:rsidR="00BA7C0D" w:rsidRDefault="00BA7C0D" w:rsidP="009A7B18">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12794ABA" w14:textId="71768B8D" w:rsidR="00BA7C0D" w:rsidRDefault="00BA7C0D" w:rsidP="009A7B18">
            <w:pPr>
              <w:jc w:val="center"/>
            </w:pPr>
            <w:r>
              <w:rPr>
                <w:rFonts w:ascii="Calibri" w:hAnsi="Calibri" w:cs="Calibri"/>
                <w:color w:val="000000"/>
              </w:rPr>
              <w:t>0</w:t>
            </w:r>
          </w:p>
        </w:tc>
      </w:tr>
      <w:tr w:rsidR="003468AE" w:rsidRPr="00F60A9B" w14:paraId="51005E8E" w14:textId="77777777" w:rsidTr="003468AE">
        <w:trPr>
          <w:jc w:val="center"/>
        </w:trPr>
        <w:tc>
          <w:tcPr>
            <w:tcW w:w="0" w:type="auto"/>
            <w:tcBorders>
              <w:right w:val="single" w:sz="12" w:space="0" w:color="auto"/>
            </w:tcBorders>
            <w:vAlign w:val="center"/>
          </w:tcPr>
          <w:p w14:paraId="44AB7A4D" w14:textId="77777777" w:rsidR="00BA7C0D" w:rsidRPr="005B7BEE" w:rsidRDefault="00BA7C0D" w:rsidP="009A7B18">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17FC840" w14:textId="1311247B"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31DE6C" w14:textId="0F861F6F" w:rsidR="00BA7C0D" w:rsidRPr="009C2BA8" w:rsidRDefault="00BA7C0D" w:rsidP="009A7B18">
            <w:pPr>
              <w:jc w:val="center"/>
            </w:pPr>
            <w:r>
              <w:rPr>
                <w:rFonts w:ascii="Calibri" w:hAnsi="Calibri" w:cs="Calibri"/>
                <w:color w:val="000000"/>
              </w:rPr>
              <w:t>5</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7A2E9E4A" w14:textId="43721C94" w:rsidR="00BA7C0D" w:rsidRPr="009C2BA8" w:rsidRDefault="003468AE" w:rsidP="009A7B18">
            <w:pPr>
              <w:jc w:val="center"/>
            </w:pPr>
            <w:r>
              <w:rPr>
                <w:rFonts w:ascii="Calibri" w:hAnsi="Calibri" w:cs="Calibri"/>
                <w:color w:val="000000"/>
              </w:rPr>
              <w:t xml:space="preserve">10 – 6 = </w:t>
            </w:r>
            <w:r w:rsidR="00BA7C0D">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vAlign w:val="bottom"/>
          </w:tcPr>
          <w:p w14:paraId="697B660B" w14:textId="338140D2"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E069E78" w14:textId="2B8B883B" w:rsidR="00BA7C0D" w:rsidRPr="009C2BA8" w:rsidRDefault="00BA7C0D" w:rsidP="009A7B18">
            <w:pPr>
              <w:jc w:val="center"/>
            </w:pPr>
            <w:r>
              <w:rPr>
                <w:rFonts w:ascii="Calibri" w:hAnsi="Calibri" w:cs="Calibri"/>
                <w:color w:val="000000"/>
              </w:rPr>
              <w:t>0</w:t>
            </w:r>
          </w:p>
        </w:tc>
        <w:tc>
          <w:tcPr>
            <w:tcW w:w="0" w:type="auto"/>
            <w:tcBorders>
              <w:top w:val="nil"/>
              <w:left w:val="nil"/>
              <w:bottom w:val="nil"/>
              <w:right w:val="nil"/>
            </w:tcBorders>
            <w:vAlign w:val="center"/>
          </w:tcPr>
          <w:p w14:paraId="1EFA3FB5" w14:textId="77777777" w:rsidR="00BA7C0D" w:rsidRPr="009C2BA8" w:rsidRDefault="00BA7C0D" w:rsidP="009A7B18">
            <w:pPr>
              <w:jc w:val="center"/>
            </w:pPr>
          </w:p>
        </w:tc>
        <w:tc>
          <w:tcPr>
            <w:tcW w:w="0" w:type="auto"/>
            <w:vAlign w:val="center"/>
          </w:tcPr>
          <w:p w14:paraId="016ABBA1" w14:textId="77777777" w:rsidR="00BA7C0D" w:rsidRPr="009C2BA8" w:rsidRDefault="00BA7C0D" w:rsidP="009A7B18">
            <w:pPr>
              <w:jc w:val="center"/>
              <w:rPr>
                <w:sz w:val="14"/>
                <w:szCs w:val="14"/>
              </w:rPr>
            </w:pPr>
            <w:r w:rsidRPr="009C2BA8">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6ACBDCA" w14:textId="54274948"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BF9F853" w14:textId="011D0047"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B87CF8" w14:textId="305830B9"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9EF064" w14:textId="5C82D51A"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378EBF2" w14:textId="151EF88D" w:rsidR="00BA7C0D" w:rsidRPr="009C2BA8" w:rsidRDefault="00BA7C0D" w:rsidP="009A7B18">
            <w:pPr>
              <w:jc w:val="center"/>
            </w:pPr>
            <w:r>
              <w:rPr>
                <w:rFonts w:ascii="Calibri" w:hAnsi="Calibri" w:cs="Calibri"/>
                <w:color w:val="000000"/>
              </w:rPr>
              <w:t>0</w:t>
            </w:r>
          </w:p>
        </w:tc>
      </w:tr>
      <w:tr w:rsidR="00BA7C0D" w:rsidRPr="00F60A9B" w14:paraId="6BE01688" w14:textId="77777777" w:rsidTr="003468AE">
        <w:trPr>
          <w:jc w:val="center"/>
        </w:trPr>
        <w:tc>
          <w:tcPr>
            <w:tcW w:w="0" w:type="auto"/>
            <w:tcBorders>
              <w:right w:val="single" w:sz="12" w:space="0" w:color="auto"/>
            </w:tcBorders>
            <w:vAlign w:val="center"/>
          </w:tcPr>
          <w:p w14:paraId="16385DE8" w14:textId="77777777" w:rsidR="00BA7C0D" w:rsidRPr="005B7BEE" w:rsidRDefault="00BA7C0D" w:rsidP="009A7B18">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B774B7A" w14:textId="53321243"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9731A7" w14:textId="10C0F1E2"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58C590" w14:textId="4EDB0FF8"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099FDC63" w14:textId="2C97754F" w:rsidR="00BA7C0D" w:rsidRPr="009C2BA8" w:rsidRDefault="003468AE" w:rsidP="009A7B18">
            <w:pPr>
              <w:jc w:val="center"/>
            </w:pPr>
            <w:r>
              <w:rPr>
                <w:rFonts w:ascii="Calibri" w:hAnsi="Calibri" w:cs="Calibri"/>
                <w:color w:val="000000"/>
              </w:rPr>
              <w:t xml:space="preserve">10 – 7 = </w:t>
            </w:r>
            <w:r w:rsidR="00BA7C0D">
              <w:rPr>
                <w:rFonts w:ascii="Calibri" w:hAnsi="Calibri" w:cs="Calibri"/>
                <w:color w:val="000000"/>
              </w:rPr>
              <w:t>3</w:t>
            </w:r>
          </w:p>
        </w:tc>
        <w:tc>
          <w:tcPr>
            <w:tcW w:w="0" w:type="auto"/>
            <w:tcBorders>
              <w:top w:val="nil"/>
              <w:left w:val="nil"/>
              <w:bottom w:val="single" w:sz="4" w:space="0" w:color="auto"/>
              <w:right w:val="single" w:sz="8" w:space="0" w:color="auto"/>
            </w:tcBorders>
            <w:shd w:val="clear" w:color="auto" w:fill="auto"/>
            <w:vAlign w:val="bottom"/>
          </w:tcPr>
          <w:p w14:paraId="54D688D9" w14:textId="4EF0567D" w:rsidR="00BA7C0D" w:rsidRPr="009C2BA8" w:rsidRDefault="00BA7C0D" w:rsidP="009A7B18">
            <w:pPr>
              <w:jc w:val="center"/>
            </w:pPr>
            <w:r>
              <w:rPr>
                <w:rFonts w:ascii="Calibri" w:hAnsi="Calibri" w:cs="Calibri"/>
                <w:color w:val="000000"/>
              </w:rPr>
              <w:t>0</w:t>
            </w:r>
          </w:p>
        </w:tc>
        <w:tc>
          <w:tcPr>
            <w:tcW w:w="0" w:type="auto"/>
            <w:tcBorders>
              <w:top w:val="nil"/>
              <w:left w:val="nil"/>
              <w:bottom w:val="nil"/>
              <w:right w:val="nil"/>
            </w:tcBorders>
            <w:vAlign w:val="center"/>
          </w:tcPr>
          <w:p w14:paraId="454CC03A" w14:textId="77777777" w:rsidR="00BA7C0D" w:rsidRPr="009C2BA8" w:rsidRDefault="00BA7C0D" w:rsidP="009A7B18">
            <w:pPr>
              <w:jc w:val="center"/>
            </w:pPr>
          </w:p>
        </w:tc>
        <w:tc>
          <w:tcPr>
            <w:tcW w:w="0" w:type="auto"/>
            <w:vAlign w:val="center"/>
          </w:tcPr>
          <w:p w14:paraId="2C775148" w14:textId="77777777" w:rsidR="00BA7C0D" w:rsidRPr="009C2BA8" w:rsidRDefault="00BA7C0D" w:rsidP="009A7B18">
            <w:pPr>
              <w:jc w:val="center"/>
              <w:rPr>
                <w:sz w:val="14"/>
                <w:szCs w:val="14"/>
              </w:rPr>
            </w:pPr>
            <w:r w:rsidRPr="009C2BA8">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875F352" w14:textId="789CC650"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0048B85" w14:textId="546B9C89"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9695B8A" w14:textId="09D54587"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9E97807" w14:textId="01B278C7" w:rsidR="00BA7C0D" w:rsidRPr="009C2BA8"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CAE758B" w14:textId="6635E137" w:rsidR="00BA7C0D" w:rsidRPr="009C2BA8" w:rsidRDefault="00BA7C0D" w:rsidP="009A7B18">
            <w:pPr>
              <w:jc w:val="center"/>
            </w:pPr>
            <w:r>
              <w:rPr>
                <w:rFonts w:ascii="Calibri" w:hAnsi="Calibri" w:cs="Calibri"/>
                <w:color w:val="000000"/>
              </w:rPr>
              <w:t>0</w:t>
            </w:r>
          </w:p>
        </w:tc>
      </w:tr>
      <w:tr w:rsidR="00BA7C0D" w:rsidRPr="00F60A9B" w14:paraId="0372C20E" w14:textId="77777777" w:rsidTr="00BE77A4">
        <w:trPr>
          <w:jc w:val="center"/>
        </w:trPr>
        <w:tc>
          <w:tcPr>
            <w:tcW w:w="0" w:type="auto"/>
            <w:tcBorders>
              <w:right w:val="single" w:sz="12" w:space="0" w:color="auto"/>
            </w:tcBorders>
            <w:vAlign w:val="center"/>
          </w:tcPr>
          <w:p w14:paraId="0ECD52B9" w14:textId="77777777" w:rsidR="00BA7C0D" w:rsidRPr="005B7BEE" w:rsidRDefault="00BA7C0D" w:rsidP="009A7B18">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5EB4BA9" w14:textId="3B887CC8" w:rsidR="00BA7C0D" w:rsidRPr="00F60A9B"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EC28509" w14:textId="5B197999"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7680CF" w14:textId="67C9958D"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387D89" w14:textId="02C7203D"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A34BFAB" w14:textId="41B4315B" w:rsidR="00BA7C0D" w:rsidRPr="00F60A9B" w:rsidRDefault="00BA7C0D" w:rsidP="009A7B18">
            <w:pPr>
              <w:jc w:val="center"/>
            </w:pPr>
            <w:r>
              <w:rPr>
                <w:rFonts w:ascii="Calibri" w:hAnsi="Calibri" w:cs="Calibri"/>
                <w:color w:val="000000"/>
              </w:rPr>
              <w:t>6</w:t>
            </w:r>
          </w:p>
        </w:tc>
        <w:tc>
          <w:tcPr>
            <w:tcW w:w="0" w:type="auto"/>
            <w:tcBorders>
              <w:top w:val="nil"/>
              <w:left w:val="nil"/>
              <w:bottom w:val="nil"/>
              <w:right w:val="nil"/>
            </w:tcBorders>
            <w:tcMar>
              <w:left w:w="115" w:type="dxa"/>
              <w:right w:w="144" w:type="dxa"/>
            </w:tcMar>
            <w:vAlign w:val="center"/>
          </w:tcPr>
          <w:p w14:paraId="14A9E73A" w14:textId="77777777" w:rsidR="00BA7C0D" w:rsidRDefault="00000000" w:rsidP="009A7B18">
            <w:pPr>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vAlign w:val="center"/>
          </w:tcPr>
          <w:p w14:paraId="55186952" w14:textId="77777777" w:rsidR="00BA7C0D" w:rsidRDefault="00BA7C0D" w:rsidP="009A7B18">
            <w:pPr>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48D530C" w14:textId="7F4D4D09"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CB7A82F" w14:textId="0971B992"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CBBEF17" w14:textId="7DFDD057"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CFFAEE" w14:textId="4E203F58"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5DA516D" w14:textId="796C601E" w:rsidR="00BA7C0D" w:rsidRDefault="00BA7C0D" w:rsidP="009A7B18">
            <w:pPr>
              <w:jc w:val="center"/>
            </w:pPr>
            <w:r>
              <w:rPr>
                <w:rFonts w:ascii="Calibri" w:hAnsi="Calibri" w:cs="Calibri"/>
                <w:color w:val="000000"/>
              </w:rPr>
              <w:t>0</w:t>
            </w:r>
          </w:p>
        </w:tc>
      </w:tr>
      <w:tr w:rsidR="00BA7C0D" w:rsidRPr="00F60A9B" w14:paraId="5AD3A733" w14:textId="77777777" w:rsidTr="003468AE">
        <w:trPr>
          <w:jc w:val="center"/>
        </w:trPr>
        <w:tc>
          <w:tcPr>
            <w:tcW w:w="0" w:type="auto"/>
            <w:tcBorders>
              <w:right w:val="single" w:sz="12" w:space="0" w:color="auto"/>
            </w:tcBorders>
            <w:vAlign w:val="center"/>
          </w:tcPr>
          <w:p w14:paraId="648B4570" w14:textId="77777777" w:rsidR="00BA7C0D" w:rsidRPr="005B7BEE" w:rsidRDefault="00BA7C0D" w:rsidP="009A7B18">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DF3B5EC" w14:textId="0CFB0F77" w:rsidR="00BA7C0D" w:rsidRPr="00F60A9B"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970F94" w14:textId="3D0DD8FB"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3D695F" w14:textId="4BAE1BFB"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003BB9" w14:textId="12959E0A"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2001CBA" w14:textId="7A5D93AB" w:rsidR="00BA7C0D" w:rsidRPr="00F60A9B" w:rsidRDefault="00BA7C0D" w:rsidP="009A7B18">
            <w:pPr>
              <w:jc w:val="center"/>
            </w:pPr>
            <w:r>
              <w:rPr>
                <w:rFonts w:ascii="Calibri" w:hAnsi="Calibri" w:cs="Calibri"/>
                <w:color w:val="000000"/>
              </w:rPr>
              <w:t>0</w:t>
            </w:r>
          </w:p>
        </w:tc>
        <w:tc>
          <w:tcPr>
            <w:tcW w:w="0" w:type="auto"/>
            <w:tcBorders>
              <w:top w:val="nil"/>
              <w:left w:val="nil"/>
              <w:bottom w:val="nil"/>
              <w:right w:val="nil"/>
            </w:tcBorders>
            <w:vAlign w:val="center"/>
          </w:tcPr>
          <w:p w14:paraId="595AAA11" w14:textId="77777777" w:rsidR="00BA7C0D" w:rsidRDefault="00BA7C0D" w:rsidP="009A7B18">
            <w:pPr>
              <w:jc w:val="center"/>
            </w:pPr>
          </w:p>
        </w:tc>
        <w:tc>
          <w:tcPr>
            <w:tcW w:w="0" w:type="auto"/>
            <w:vAlign w:val="center"/>
          </w:tcPr>
          <w:p w14:paraId="063B2540" w14:textId="77777777" w:rsidR="00BA7C0D" w:rsidRDefault="00BA7C0D" w:rsidP="009A7B18">
            <w:pPr>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2610AEEA" w14:textId="7EDC0131"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13165B" w14:textId="3B2BEE02"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1C4D889D" w14:textId="48DB2EFD" w:rsidR="00BA7C0D" w:rsidRDefault="003468AE" w:rsidP="009A7B18">
            <w:pPr>
              <w:jc w:val="center"/>
            </w:pPr>
            <w:r>
              <w:rPr>
                <w:rFonts w:ascii="Calibri" w:hAnsi="Calibri" w:cs="Calibri"/>
                <w:color w:val="000000"/>
              </w:rPr>
              <w:t xml:space="preserve">2 – 2 = </w:t>
            </w:r>
            <w:r w:rsidR="00BA7C0D">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7EA38F" w14:textId="1FBDDDBC"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558B73" w14:textId="06C6152E" w:rsidR="00BA7C0D" w:rsidRDefault="00BA7C0D" w:rsidP="009A7B18">
            <w:pPr>
              <w:jc w:val="center"/>
            </w:pPr>
            <w:r>
              <w:rPr>
                <w:rFonts w:ascii="Calibri" w:hAnsi="Calibri" w:cs="Calibri"/>
                <w:color w:val="000000"/>
              </w:rPr>
              <w:t>0</w:t>
            </w:r>
          </w:p>
        </w:tc>
      </w:tr>
      <w:tr w:rsidR="00BA7C0D" w:rsidRPr="00F60A9B" w14:paraId="7439A3DA" w14:textId="77777777" w:rsidTr="003468AE">
        <w:trPr>
          <w:jc w:val="center"/>
        </w:trPr>
        <w:tc>
          <w:tcPr>
            <w:tcW w:w="0" w:type="auto"/>
            <w:tcBorders>
              <w:right w:val="single" w:sz="12" w:space="0" w:color="auto"/>
            </w:tcBorders>
            <w:vAlign w:val="center"/>
          </w:tcPr>
          <w:p w14:paraId="04C22300" w14:textId="77777777" w:rsidR="00BA7C0D" w:rsidRPr="005B7BEE" w:rsidRDefault="00BA7C0D" w:rsidP="009A7B18">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6C577D1" w14:textId="081AA156" w:rsidR="00BA7C0D" w:rsidRPr="00F60A9B"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9244FA" w14:textId="655201F2"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66CD934" w14:textId="1DA898AA"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D56414" w14:textId="4FD9F6B2" w:rsidR="00BA7C0D" w:rsidRPr="00210DD1"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D6D1D7A" w14:textId="7ECC4743" w:rsidR="00BA7C0D" w:rsidRPr="00F60A9B" w:rsidRDefault="00BA7C0D" w:rsidP="009A7B18">
            <w:pPr>
              <w:jc w:val="center"/>
            </w:pPr>
            <w:r>
              <w:rPr>
                <w:rFonts w:ascii="Calibri" w:hAnsi="Calibri" w:cs="Calibri"/>
                <w:color w:val="000000"/>
              </w:rPr>
              <w:t>0</w:t>
            </w:r>
          </w:p>
        </w:tc>
        <w:tc>
          <w:tcPr>
            <w:tcW w:w="0" w:type="auto"/>
            <w:tcBorders>
              <w:top w:val="nil"/>
              <w:left w:val="nil"/>
              <w:bottom w:val="nil"/>
              <w:right w:val="nil"/>
            </w:tcBorders>
            <w:vAlign w:val="center"/>
          </w:tcPr>
          <w:p w14:paraId="6E10B375" w14:textId="77777777" w:rsidR="00BA7C0D" w:rsidRDefault="00BA7C0D" w:rsidP="009A7B18">
            <w:pPr>
              <w:jc w:val="center"/>
            </w:pPr>
          </w:p>
        </w:tc>
        <w:tc>
          <w:tcPr>
            <w:tcW w:w="0" w:type="auto"/>
            <w:vAlign w:val="center"/>
          </w:tcPr>
          <w:p w14:paraId="11C16F44" w14:textId="77777777" w:rsidR="00BA7C0D" w:rsidRDefault="00BA7C0D" w:rsidP="009A7B18">
            <w:pPr>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4D63C93" w14:textId="15C68139"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DEA812" w14:textId="7DF52D4B"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E29E1F" w14:textId="085178E8" w:rsidR="00BA7C0D" w:rsidRDefault="00BA7C0D" w:rsidP="009A7B18">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BFBFBF" w:themeFill="background1" w:themeFillShade="BF"/>
            <w:vAlign w:val="bottom"/>
          </w:tcPr>
          <w:p w14:paraId="19D8CE1A" w14:textId="6C0F3696" w:rsidR="00BA7C0D" w:rsidRDefault="003468AE" w:rsidP="009A7B18">
            <w:pPr>
              <w:jc w:val="center"/>
            </w:pPr>
            <w:r>
              <w:rPr>
                <w:rFonts w:ascii="Calibri" w:hAnsi="Calibri" w:cs="Calibri"/>
                <w:color w:val="000000"/>
              </w:rPr>
              <w:t xml:space="preserve">1 – 1 = </w:t>
            </w:r>
            <w:r w:rsidR="00BA7C0D">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D676FD2" w14:textId="59BF2B5D" w:rsidR="00BA7C0D" w:rsidRDefault="00BA7C0D" w:rsidP="009A7B18">
            <w:pPr>
              <w:jc w:val="center"/>
            </w:pPr>
            <w:r>
              <w:rPr>
                <w:rFonts w:ascii="Calibri" w:hAnsi="Calibri" w:cs="Calibri"/>
                <w:color w:val="000000"/>
              </w:rPr>
              <w:t>0</w:t>
            </w:r>
          </w:p>
        </w:tc>
      </w:tr>
      <w:tr w:rsidR="003468AE" w:rsidRPr="00F60A9B" w14:paraId="5B73AB54" w14:textId="77777777" w:rsidTr="003468AE">
        <w:trPr>
          <w:jc w:val="center"/>
        </w:trPr>
        <w:tc>
          <w:tcPr>
            <w:tcW w:w="0" w:type="auto"/>
            <w:tcBorders>
              <w:right w:val="single" w:sz="12" w:space="0" w:color="auto"/>
            </w:tcBorders>
            <w:vAlign w:val="center"/>
          </w:tcPr>
          <w:p w14:paraId="624FD6DB" w14:textId="77777777" w:rsidR="00BA7C0D" w:rsidRPr="005B7BEE" w:rsidRDefault="00BA7C0D" w:rsidP="009A7B18">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2BF288B8" w14:textId="35B40847" w:rsidR="00BA7C0D" w:rsidRPr="00F60A9B"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273C9AC" w14:textId="7BABC773" w:rsidR="00BA7C0D" w:rsidRPr="00210DD1"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F0C8241" w14:textId="5846CB15" w:rsidR="00BA7C0D" w:rsidRPr="00210DD1"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1DEDEF5A" w14:textId="5A399C60" w:rsidR="00BA7C0D" w:rsidRPr="00210DD1"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4C040D5C" w14:textId="423727D5" w:rsidR="00BA7C0D" w:rsidRPr="00F60A9B" w:rsidRDefault="00BA7C0D" w:rsidP="009A7B18">
            <w:pPr>
              <w:jc w:val="center"/>
            </w:pPr>
            <w:r>
              <w:rPr>
                <w:rFonts w:ascii="Calibri" w:hAnsi="Calibri" w:cs="Calibri"/>
                <w:color w:val="000000"/>
              </w:rPr>
              <w:t>0</w:t>
            </w:r>
          </w:p>
        </w:tc>
        <w:tc>
          <w:tcPr>
            <w:tcW w:w="0" w:type="auto"/>
            <w:tcBorders>
              <w:top w:val="nil"/>
              <w:left w:val="nil"/>
              <w:bottom w:val="nil"/>
              <w:right w:val="nil"/>
            </w:tcBorders>
            <w:vAlign w:val="center"/>
          </w:tcPr>
          <w:p w14:paraId="52816F11" w14:textId="77777777" w:rsidR="00BA7C0D" w:rsidRDefault="00BA7C0D" w:rsidP="009A7B18">
            <w:pPr>
              <w:jc w:val="center"/>
            </w:pPr>
          </w:p>
        </w:tc>
        <w:tc>
          <w:tcPr>
            <w:tcW w:w="0" w:type="auto"/>
            <w:vAlign w:val="center"/>
          </w:tcPr>
          <w:p w14:paraId="4A8EC78D" w14:textId="77777777" w:rsidR="00BA7C0D" w:rsidRDefault="00BA7C0D" w:rsidP="009A7B18">
            <w:pPr>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28A4709" w14:textId="207306EC" w:rsidR="00BA7C0D"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DD403CD" w14:textId="01E7FD17" w:rsidR="00BA7C0D" w:rsidRDefault="00BA7C0D" w:rsidP="009A7B18">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BFBFBF" w:themeFill="background1" w:themeFillShade="BF"/>
            <w:vAlign w:val="bottom"/>
          </w:tcPr>
          <w:p w14:paraId="79A2C003" w14:textId="510F60A9" w:rsidR="00BA7C0D" w:rsidRDefault="003468AE" w:rsidP="009A7B18">
            <w:pPr>
              <w:jc w:val="center"/>
            </w:pPr>
            <w:r>
              <w:rPr>
                <w:rFonts w:ascii="Calibri" w:hAnsi="Calibri" w:cs="Calibri"/>
                <w:color w:val="000000"/>
              </w:rPr>
              <w:t xml:space="preserve">4 – 4 = </w:t>
            </w:r>
            <w:r w:rsidR="00BA7C0D">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BFBFBF" w:themeFill="background1" w:themeFillShade="BF"/>
            <w:vAlign w:val="bottom"/>
          </w:tcPr>
          <w:p w14:paraId="73AD2CB2" w14:textId="1CD0E898" w:rsidR="00BA7C0D" w:rsidRDefault="003468AE" w:rsidP="009A7B18">
            <w:pPr>
              <w:jc w:val="center"/>
            </w:pPr>
            <w:r>
              <w:rPr>
                <w:rFonts w:ascii="Calibri" w:hAnsi="Calibri" w:cs="Calibri"/>
                <w:color w:val="000000"/>
              </w:rPr>
              <w:t xml:space="preserve">6 – 6 = </w:t>
            </w:r>
            <w:r w:rsidR="00BA7C0D">
              <w:rPr>
                <w:rFonts w:ascii="Calibri" w:hAnsi="Calibri" w:cs="Calibri"/>
                <w:color w:val="000000"/>
              </w:rPr>
              <w:t>0</w:t>
            </w:r>
          </w:p>
        </w:tc>
        <w:tc>
          <w:tcPr>
            <w:tcW w:w="0" w:type="auto"/>
            <w:tcBorders>
              <w:top w:val="nil"/>
              <w:left w:val="nil"/>
              <w:bottom w:val="single" w:sz="8" w:space="0" w:color="auto"/>
              <w:right w:val="single" w:sz="8" w:space="0" w:color="auto"/>
            </w:tcBorders>
            <w:shd w:val="clear" w:color="auto" w:fill="auto"/>
            <w:vAlign w:val="bottom"/>
          </w:tcPr>
          <w:p w14:paraId="5598A15F" w14:textId="78DEE4CB" w:rsidR="00BA7C0D" w:rsidRDefault="00BA7C0D" w:rsidP="009A7B18">
            <w:pPr>
              <w:jc w:val="center"/>
            </w:pPr>
            <w:r>
              <w:rPr>
                <w:rFonts w:ascii="Calibri" w:hAnsi="Calibri" w:cs="Calibri"/>
                <w:color w:val="000000"/>
              </w:rPr>
              <w:t>0</w:t>
            </w:r>
          </w:p>
        </w:tc>
      </w:tr>
    </w:tbl>
    <w:p w14:paraId="71F5C9D1" w14:textId="6ADFF882" w:rsidR="00BA7C0D" w:rsidRDefault="003468AE" w:rsidP="009A7B18">
      <w:pPr>
        <w:pStyle w:val="Caption"/>
        <w:spacing w:before="120"/>
        <w:jc w:val="center"/>
      </w:pPr>
      <w:bookmarkStart w:id="104" w:name="_Ref163334156"/>
      <w:r>
        <w:lastRenderedPageBreak/>
        <w:t xml:space="preserve">Equation </w:t>
      </w:r>
      <w:r>
        <w:fldChar w:fldCharType="begin"/>
      </w:r>
      <w:r>
        <w:instrText xml:space="preserve"> SEQ Equation \* ARABIC </w:instrText>
      </w:r>
      <w:r>
        <w:fldChar w:fldCharType="separate"/>
      </w:r>
      <w:r>
        <w:rPr>
          <w:noProof/>
        </w:rPr>
        <w:t>27</w:t>
      </w:r>
      <w:r>
        <w:fldChar w:fldCharType="end"/>
      </w:r>
      <w:bookmarkEnd w:id="104"/>
    </w:p>
    <w:p w14:paraId="118640D0" w14:textId="77777777" w:rsidR="0039069F" w:rsidRDefault="0039069F" w:rsidP="009A7B18">
      <w:pPr>
        <w:pStyle w:val="ListParagraph"/>
        <w:ind w:left="1152"/>
      </w:pPr>
    </w:p>
    <w:p w14:paraId="239B02CF" w14:textId="77777777" w:rsidR="00677435" w:rsidRPr="00677435" w:rsidRDefault="003468AE" w:rsidP="009A7B18">
      <w:pPr>
        <w:pStyle w:val="ListParagraph"/>
        <w:numPr>
          <w:ilvl w:val="1"/>
          <w:numId w:val="30"/>
        </w:numPr>
      </w:pPr>
      <w:r>
        <w:rPr>
          <w:rFonts w:cstheme="minorHAnsi"/>
        </w:rPr>
        <w:fldChar w:fldCharType="begin"/>
      </w:r>
      <w:r>
        <w:rPr>
          <w:rFonts w:cstheme="minorHAnsi"/>
        </w:rPr>
        <w:instrText xml:space="preserve"> REF _Ref163334156 \h </w:instrText>
      </w:r>
      <w:r>
        <w:rPr>
          <w:rFonts w:cstheme="minorHAnsi"/>
        </w:rPr>
      </w:r>
      <w:r>
        <w:rPr>
          <w:rFonts w:cstheme="minorHAnsi"/>
        </w:rPr>
        <w:fldChar w:fldCharType="separate"/>
      </w:r>
      <w:r>
        <w:t xml:space="preserve">Equation </w:t>
      </w:r>
      <w:r>
        <w:rPr>
          <w:noProof/>
        </w:rPr>
        <w:t>27</w:t>
      </w:r>
      <w:r>
        <w:rPr>
          <w:rFonts w:cstheme="minorHAnsi"/>
        </w:rPr>
        <w:fldChar w:fldCharType="end"/>
      </w:r>
      <w:r>
        <w:rPr>
          <w:rFonts w:cstheme="minorHAnsi"/>
        </w:rPr>
        <w:t xml:space="preserve"> now no risks left on the right-hand side </w:t>
      </w:r>
      <w:r w:rsidR="00677435">
        <w:rPr>
          <w:rFonts w:cstheme="minorHAnsi"/>
        </w:rPr>
        <w:t xml:space="preserve">of the equation </w:t>
      </w:r>
      <w:r>
        <w:rPr>
          <w:rFonts w:cstheme="minorHAnsi"/>
        </w:rPr>
        <w:t xml:space="preserve">and </w:t>
      </w:r>
      <w:r w:rsidR="00677435">
        <w:rPr>
          <w:rFonts w:cstheme="minorHAnsi"/>
        </w:rPr>
        <w:t xml:space="preserve">19 risks left on the left-hand side of the equation.  Therefore, </w:t>
      </w:r>
      <w:r w:rsidR="00677435">
        <w:rPr>
          <w:rFonts w:cstheme="minorHAnsi"/>
        </w:rPr>
        <w:fldChar w:fldCharType="begin"/>
      </w:r>
      <w:r w:rsidR="00677435">
        <w:rPr>
          <w:rFonts w:cstheme="minorHAnsi"/>
        </w:rPr>
        <w:instrText xml:space="preserve"> REF _Ref163334156 \h </w:instrText>
      </w:r>
      <w:r w:rsidR="00677435">
        <w:rPr>
          <w:rFonts w:cstheme="minorHAnsi"/>
        </w:rPr>
      </w:r>
      <w:r w:rsidR="00677435">
        <w:rPr>
          <w:rFonts w:cstheme="minorHAnsi"/>
        </w:rPr>
        <w:fldChar w:fldCharType="separate"/>
      </w:r>
      <w:r w:rsidR="00677435">
        <w:t xml:space="preserve">Equation </w:t>
      </w:r>
      <w:r w:rsidR="00677435">
        <w:rPr>
          <w:noProof/>
        </w:rPr>
        <w:t>27</w:t>
      </w:r>
      <w:r w:rsidR="00677435">
        <w:rPr>
          <w:rFonts w:cstheme="minorHAnsi"/>
        </w:rPr>
        <w:fldChar w:fldCharType="end"/>
      </w:r>
      <w:r w:rsidR="00677435">
        <w:rPr>
          <w:rFonts w:cstheme="minorHAnsi"/>
        </w:rPr>
        <w:t xml:space="preserve"> has more risks on the left-hand side of the equation and the equation is true.  </w:t>
      </w:r>
    </w:p>
    <w:p w14:paraId="5AC9458B" w14:textId="77777777" w:rsidR="00677435" w:rsidRDefault="00677435" w:rsidP="009A7B18">
      <w:pPr>
        <w:pStyle w:val="ListParagraph"/>
        <w:ind w:left="864"/>
      </w:pPr>
    </w:p>
    <w:p w14:paraId="0A010DE3" w14:textId="62251EB8" w:rsidR="00677435" w:rsidRDefault="00677435" w:rsidP="00677435">
      <w:pPr>
        <w:pStyle w:val="ListParagraph"/>
        <w:ind w:left="864"/>
      </w:pPr>
      <w:r>
        <w:t xml:space="preserve">Since </w:t>
      </w:r>
      <w:r>
        <w:rPr>
          <w:rFonts w:cstheme="minorHAnsi"/>
        </w:rPr>
        <w:fldChar w:fldCharType="begin"/>
      </w:r>
      <w:r>
        <w:rPr>
          <w:rFonts w:cstheme="minorHAnsi"/>
        </w:rPr>
        <w:instrText xml:space="preserve"> REF _Ref163334156 \h </w:instrText>
      </w:r>
      <w:r>
        <w:rPr>
          <w:rFonts w:cstheme="minorHAnsi"/>
        </w:rPr>
      </w:r>
      <w:r>
        <w:rPr>
          <w:rFonts w:cstheme="minorHAnsi"/>
        </w:rPr>
        <w:fldChar w:fldCharType="separate"/>
      </w:r>
      <w:r>
        <w:t xml:space="preserve">Equation </w:t>
      </w:r>
      <w:r>
        <w:rPr>
          <w:noProof/>
        </w:rPr>
        <w:t>27</w:t>
      </w:r>
      <w:r>
        <w:rPr>
          <w:rFonts w:cstheme="minorHAnsi"/>
        </w:rPr>
        <w:fldChar w:fldCharType="end"/>
      </w:r>
      <w:r>
        <w:rPr>
          <w:rFonts w:cstheme="minorHAnsi"/>
        </w:rPr>
        <w:t xml:space="preserve"> is true, and since we reached </w:t>
      </w:r>
      <w:r>
        <w:rPr>
          <w:rFonts w:cstheme="minorHAnsi"/>
        </w:rPr>
        <w:fldChar w:fldCharType="begin"/>
      </w:r>
      <w:r>
        <w:rPr>
          <w:rFonts w:cstheme="minorHAnsi"/>
        </w:rPr>
        <w:instrText xml:space="preserve"> REF _Ref163334156 \h </w:instrText>
      </w:r>
      <w:r>
        <w:rPr>
          <w:rFonts w:cstheme="minorHAnsi"/>
        </w:rPr>
      </w:r>
      <w:r>
        <w:rPr>
          <w:rFonts w:cstheme="minorHAnsi"/>
        </w:rPr>
        <w:fldChar w:fldCharType="separate"/>
      </w:r>
      <w:r>
        <w:t xml:space="preserve">Equation </w:t>
      </w:r>
      <w:r>
        <w:rPr>
          <w:noProof/>
        </w:rPr>
        <w:t>27</w:t>
      </w:r>
      <w:r>
        <w:rPr>
          <w:rFonts w:cstheme="minorHAnsi"/>
        </w:rPr>
        <w:fldChar w:fldCharType="end"/>
      </w:r>
      <w:r>
        <w:rPr>
          <w:rFonts w:cstheme="minorHAnsi"/>
        </w:rPr>
        <w:t xml:space="preserve"> from </w:t>
      </w:r>
      <w:r>
        <w:rPr>
          <w:rFonts w:cstheme="minorHAnsi"/>
        </w:rPr>
        <w:fldChar w:fldCharType="begin"/>
      </w:r>
      <w:r>
        <w:rPr>
          <w:rFonts w:cstheme="minorHAnsi"/>
        </w:rPr>
        <w:instrText xml:space="preserve"> REF _Ref147478729 \h </w:instrText>
      </w:r>
      <w:r>
        <w:rPr>
          <w:rFonts w:cstheme="minorHAnsi"/>
        </w:rPr>
      </w:r>
      <w:r>
        <w:rPr>
          <w:rFonts w:cstheme="minorHAnsi"/>
        </w:rPr>
        <w:fldChar w:fldCharType="separate"/>
      </w:r>
      <w:r>
        <w:t xml:space="preserve">Equation </w:t>
      </w:r>
      <w:r>
        <w:rPr>
          <w:noProof/>
        </w:rPr>
        <w:t>23</w:t>
      </w:r>
      <w:r>
        <w:rPr>
          <w:rFonts w:cstheme="minorHAnsi"/>
        </w:rPr>
        <w:fldChar w:fldCharType="end"/>
      </w:r>
      <w:r>
        <w:rPr>
          <w:rFonts w:cstheme="minorHAnsi"/>
        </w:rPr>
        <w:t xml:space="preserve"> using operations that won’t change which side of the equation has more risk, then </w:t>
      </w:r>
      <w:r>
        <w:rPr>
          <w:rFonts w:cstheme="minorHAnsi"/>
        </w:rPr>
        <w:fldChar w:fldCharType="begin"/>
      </w:r>
      <w:r>
        <w:rPr>
          <w:rFonts w:cstheme="minorHAnsi"/>
        </w:rPr>
        <w:instrText xml:space="preserve"> REF _Ref147478729 \h </w:instrText>
      </w:r>
      <w:r>
        <w:rPr>
          <w:rFonts w:cstheme="minorHAnsi"/>
        </w:rPr>
      </w:r>
      <w:r>
        <w:rPr>
          <w:rFonts w:cstheme="minorHAnsi"/>
        </w:rPr>
        <w:fldChar w:fldCharType="separate"/>
      </w:r>
      <w:r>
        <w:t xml:space="preserve">Equation </w:t>
      </w:r>
      <w:r>
        <w:rPr>
          <w:noProof/>
        </w:rPr>
        <w:t>23</w:t>
      </w:r>
      <w:r>
        <w:rPr>
          <w:rFonts w:cstheme="minorHAnsi"/>
        </w:rPr>
        <w:fldChar w:fldCharType="end"/>
      </w:r>
      <w:r>
        <w:rPr>
          <w:rFonts w:cstheme="minorHAnsi"/>
        </w:rPr>
        <w:t xml:space="preserve"> is </w:t>
      </w:r>
      <w:r w:rsidR="009A7B18">
        <w:rPr>
          <w:rFonts w:cstheme="minorHAnsi"/>
        </w:rPr>
        <w:t xml:space="preserve">also </w:t>
      </w:r>
      <w:r>
        <w:rPr>
          <w:rFonts w:cstheme="minorHAnsi"/>
        </w:rPr>
        <w:t>true</w:t>
      </w:r>
      <w:r w:rsidR="009A7B18">
        <w:rPr>
          <w:rFonts w:cstheme="minorHAnsi"/>
        </w:rPr>
        <w:t xml:space="preserve">.  And because </w:t>
      </w:r>
      <w:r>
        <w:rPr>
          <w:rFonts w:cstheme="minorHAnsi"/>
        </w:rPr>
        <w:t xml:space="preserve"> </w:t>
      </w:r>
      <w:r w:rsidR="009A7B18">
        <w:rPr>
          <w:rFonts w:cstheme="minorHAnsi"/>
        </w:rPr>
        <w:fldChar w:fldCharType="begin"/>
      </w:r>
      <w:r w:rsidR="009A7B18">
        <w:rPr>
          <w:rFonts w:cstheme="minorHAnsi"/>
        </w:rPr>
        <w:instrText xml:space="preserve"> REF _Ref147478729 \h </w:instrText>
      </w:r>
      <w:r w:rsidR="009A7B18">
        <w:rPr>
          <w:rFonts w:cstheme="minorHAnsi"/>
        </w:rPr>
      </w:r>
      <w:r w:rsidR="009A7B18">
        <w:rPr>
          <w:rFonts w:cstheme="minorHAnsi"/>
        </w:rPr>
        <w:fldChar w:fldCharType="separate"/>
      </w:r>
      <w:r w:rsidR="009A7B18">
        <w:t xml:space="preserve">Equation </w:t>
      </w:r>
      <w:r w:rsidR="009A7B18">
        <w:rPr>
          <w:noProof/>
        </w:rPr>
        <w:t>23</w:t>
      </w:r>
      <w:r w:rsidR="009A7B18">
        <w:rPr>
          <w:rFonts w:cstheme="minorHAnsi"/>
        </w:rPr>
        <w:fldChar w:fldCharType="end"/>
      </w:r>
      <w:r w:rsidR="009A7B18">
        <w:rPr>
          <w:rFonts w:cstheme="minorHAnsi"/>
        </w:rPr>
        <w:t xml:space="preserve"> is, then we have shown that, </w:t>
      </w:r>
      <w:r>
        <w:rPr>
          <w:rFonts w:cstheme="minorHAnsi"/>
        </w:rPr>
        <w:t xml:space="preserve">for this patient population, the benefit of a blood transfusion outweighs the risk.  </w:t>
      </w:r>
    </w:p>
    <w:p w14:paraId="3EF71E77" w14:textId="482ABC6C" w:rsidR="001639C0" w:rsidRDefault="001639C0" w:rsidP="00AA2310">
      <w:pPr>
        <w:spacing w:after="0" w:line="240" w:lineRule="auto"/>
        <w:rPr>
          <w:rFonts w:cstheme="minorHAnsi"/>
        </w:rPr>
      </w:pPr>
      <w:bookmarkStart w:id="105" w:name="_Hlk148042990"/>
    </w:p>
    <w:p w14:paraId="0A1C5F12" w14:textId="77777777" w:rsidR="00D15E95" w:rsidRDefault="00D15E95" w:rsidP="003468AE">
      <w:pPr>
        <w:pStyle w:val="ListParagraph"/>
        <w:numPr>
          <w:ilvl w:val="0"/>
          <w:numId w:val="30"/>
        </w:numPr>
        <w:outlineLvl w:val="2"/>
        <w:rPr>
          <w:rFonts w:cstheme="minorHAnsi"/>
        </w:rPr>
      </w:pPr>
      <w:bookmarkStart w:id="106" w:name="_Toc156728665"/>
      <w:bookmarkEnd w:id="105"/>
      <w:r>
        <w:rPr>
          <w:rFonts w:cstheme="minorHAnsi"/>
        </w:rPr>
        <w:t>Document the cross-functional team’s concurrence</w:t>
      </w:r>
      <w:bookmarkEnd w:id="106"/>
    </w:p>
    <w:p w14:paraId="7D77DEAC" w14:textId="77777777" w:rsidR="00D15E95" w:rsidRDefault="00D15E95" w:rsidP="00D15E95">
      <w:pPr>
        <w:ind w:left="504"/>
        <w:rPr>
          <w:rFonts w:eastAsiaTheme="minorEastAsia"/>
        </w:rPr>
      </w:pPr>
      <w:r>
        <w:rPr>
          <w:rFonts w:cstheme="minorHAnsi"/>
        </w:rPr>
        <w:t xml:space="preserve">Once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t xml:space="preserve">Equation </w:t>
      </w:r>
      <w:r>
        <w:rPr>
          <w:noProof/>
        </w:rPr>
        <w:t>9</w:t>
      </w:r>
      <w:r>
        <w:rPr>
          <w:rFonts w:cstheme="minorHAnsi"/>
        </w:rPr>
        <w:fldChar w:fldCharType="end"/>
      </w:r>
      <w:r>
        <w:rPr>
          <w:rFonts w:cstheme="minorHAnsi"/>
        </w:rPr>
        <w:t xml:space="preserve">  has been simplified, the cross-functional team should review the </w:t>
      </w:r>
      <w:r>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Pr>
          <w:rFonts w:eastAsiaTheme="minorEastAsia"/>
        </w:rPr>
        <w:t xml:space="preserve"> for completeness and concurrence with the risk metrics.  If this review causes changes, then the simplification process will need to be repeated.  If this review does not result in any changes, then the team’s thinking should be documented.  </w:t>
      </w:r>
    </w:p>
    <w:p w14:paraId="7AA661F8" w14:textId="77777777" w:rsidR="00D15E95" w:rsidRDefault="00D15E95" w:rsidP="00D15E95">
      <w:pPr>
        <w:ind w:left="504"/>
        <w:rPr>
          <w:rFonts w:eastAsiaTheme="minorEastAsia"/>
        </w:rPr>
      </w:pPr>
      <w:r>
        <w:rPr>
          <w:rFonts w:eastAsiaTheme="minorEastAsia"/>
        </w:rPr>
        <w:t xml:space="preserve">Similarly, the cross-functional team should review the steps taken to simplify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t xml:space="preserve">Equation </w:t>
      </w:r>
      <w:r>
        <w:rPr>
          <w:noProof/>
        </w:rPr>
        <w:t>9</w:t>
      </w:r>
      <w:r>
        <w:rPr>
          <w:rFonts w:cstheme="minorHAnsi"/>
        </w:rPr>
        <w:fldChar w:fldCharType="end"/>
      </w:r>
      <w:r>
        <w:rPr>
          <w:rFonts w:cstheme="minorHAnsi"/>
        </w:rPr>
        <w:t xml:space="preserve">.  Considerations for each risk algebra operation are listed ate the end of the explanation of each explanation.  The team should confirm they still agree with each simplification step.  </w:t>
      </w:r>
      <w:r>
        <w:rPr>
          <w:rFonts w:eastAsiaTheme="minorEastAsia"/>
        </w:rPr>
        <w:t xml:space="preserve">If this review causes changes, then the simplification process will need to be repeated.  If this review does not result in any changes, then the team’s thinking should be documented.  </w:t>
      </w:r>
    </w:p>
    <w:p w14:paraId="5C09601A" w14:textId="3FD92D68" w:rsidR="00D15E95" w:rsidRDefault="00D15E95" w:rsidP="00D15E95">
      <w:pPr>
        <w:ind w:left="504"/>
        <w:rPr>
          <w:rFonts w:cstheme="minorHAnsi"/>
        </w:rPr>
      </w:pPr>
      <w:r>
        <w:rPr>
          <w:rFonts w:eastAsiaTheme="minorEastAsia"/>
        </w:rPr>
        <w:t xml:space="preserve">This documentation should be released as part of the </w:t>
      </w:r>
      <w:r w:rsidR="00EC42E0">
        <w:rPr>
          <w:rFonts w:eastAsiaTheme="minorEastAsia"/>
        </w:rPr>
        <w:t>Benefit-Risk</w:t>
      </w:r>
      <w:r>
        <w:rPr>
          <w:rFonts w:eastAsiaTheme="minorEastAsia"/>
        </w:rPr>
        <w:t xml:space="preserve"> Analysis document.  </w:t>
      </w:r>
    </w:p>
    <w:p w14:paraId="3B792425" w14:textId="77777777" w:rsidR="0096435F" w:rsidRDefault="0096435F" w:rsidP="00AA2310">
      <w:pPr>
        <w:spacing w:after="0" w:line="240" w:lineRule="auto"/>
        <w:rPr>
          <w:rFonts w:eastAsia="TimesNewRomanPSMT" w:cs="TimesNewRomanPSMT"/>
          <w:b/>
          <w:color w:val="000000"/>
          <w:sz w:val="26"/>
          <w:szCs w:val="26"/>
          <w:u w:val="single"/>
        </w:rPr>
      </w:pPr>
    </w:p>
    <w:p w14:paraId="316C7ED4" w14:textId="7E9C8A50" w:rsidR="0096435F" w:rsidRDefault="0096435F" w:rsidP="00CB3939">
      <w:pPr>
        <w:pStyle w:val="Heading2"/>
      </w:pPr>
      <w:bookmarkStart w:id="107" w:name="_Toc156728666"/>
      <w:r>
        <w:rPr>
          <w:rFonts w:eastAsia="TimesNewRomanPSMT" w:cs="TimesNewRomanPSMT"/>
          <w:b/>
          <w:color w:val="000000"/>
          <w:u w:val="single"/>
        </w:rPr>
        <w:t>Example #2</w:t>
      </w:r>
      <w:bookmarkEnd w:id="107"/>
    </w:p>
    <w:p w14:paraId="6EAE6561" w14:textId="582FD25B" w:rsidR="001639C0" w:rsidRPr="00315DE1" w:rsidRDefault="006E314F">
      <w:pPr>
        <w:pStyle w:val="ListParagraph"/>
        <w:numPr>
          <w:ilvl w:val="0"/>
          <w:numId w:val="31"/>
        </w:numPr>
        <w:outlineLvl w:val="2"/>
        <w:rPr>
          <w:rFonts w:eastAsiaTheme="minorEastAsia"/>
        </w:rPr>
      </w:pPr>
      <w:bookmarkStart w:id="108" w:name="_Toc156728667"/>
      <w:r>
        <w:t>Define the medical treatment and patient population</w:t>
      </w:r>
      <w:bookmarkEnd w:id="108"/>
      <w:r w:rsidR="00892476">
        <w:t xml:space="preserve"> </w:t>
      </w:r>
      <w:r w:rsidR="001639C0">
        <w:t xml:space="preserve"> </w:t>
      </w:r>
    </w:p>
    <w:p w14:paraId="33743C3D" w14:textId="77777777" w:rsidR="001639C0" w:rsidRPr="00315DE1" w:rsidRDefault="001639C0" w:rsidP="001639C0">
      <w:pPr>
        <w:pStyle w:val="ListParagraph"/>
        <w:ind w:left="1440"/>
        <w:rPr>
          <w:rFonts w:eastAsiaTheme="minorEastAsia"/>
        </w:rPr>
      </w:pPr>
    </w:p>
    <w:p w14:paraId="0D37CFB2" w14:textId="38A78250" w:rsidR="001639C0" w:rsidRPr="00AB7CCA" w:rsidRDefault="001639C0">
      <w:pPr>
        <w:pStyle w:val="ListParagraph"/>
        <w:numPr>
          <w:ilvl w:val="1"/>
          <w:numId w:val="31"/>
        </w:numPr>
        <w:ind w:left="1152"/>
        <w:rPr>
          <w:rFonts w:eastAsiaTheme="minorEastAsia"/>
        </w:rPr>
      </w:pPr>
      <w:r>
        <w:t xml:space="preserve">Select the medical treatment and patient population on which you want to perform a </w:t>
      </w:r>
      <w:r w:rsidR="00EC42E0">
        <w:t>Benefit-Risk</w:t>
      </w:r>
      <w:r>
        <w:t xml:space="preserve"> analysis.  </w:t>
      </w:r>
    </w:p>
    <w:p w14:paraId="3127A9D8" w14:textId="5B5AED7D" w:rsidR="001639C0" w:rsidRPr="00AB7CCA" w:rsidRDefault="001639C0">
      <w:pPr>
        <w:pStyle w:val="ListParagraph"/>
        <w:numPr>
          <w:ilvl w:val="2"/>
          <w:numId w:val="31"/>
        </w:numPr>
        <w:ind w:left="1584"/>
        <w:rPr>
          <w:rFonts w:eastAsiaTheme="minorEastAsia"/>
        </w:rPr>
      </w:pPr>
      <w:r>
        <w:t xml:space="preserve">For this example, we chose a blood transfusion for the medical treatment and </w:t>
      </w:r>
      <w:r w:rsidR="00A5109F">
        <w:t xml:space="preserve">chose </w:t>
      </w:r>
      <w:r w:rsidR="00892476">
        <w:t xml:space="preserve">the patients in the United States </w:t>
      </w:r>
      <w:r w:rsidR="003C6908">
        <w:t>w</w:t>
      </w:r>
      <w:r w:rsidR="00892476">
        <w:t>ho have upper GI bleeding</w:t>
      </w:r>
      <w:r w:rsidR="00A5109F" w:rsidRPr="00A5109F">
        <w:t xml:space="preserve"> </w:t>
      </w:r>
      <w:r w:rsidR="00A5109F">
        <w:t>for the patient population</w:t>
      </w:r>
      <w:r w:rsidR="00892476">
        <w:t xml:space="preserve">.  These patients may, or may not, meet the ER’s criteria for needing a transfusion.  </w:t>
      </w:r>
    </w:p>
    <w:p w14:paraId="26BBFD03" w14:textId="77777777" w:rsidR="001639C0" w:rsidRPr="00AA2310" w:rsidRDefault="001639C0" w:rsidP="00AA2310">
      <w:pPr>
        <w:spacing w:after="0" w:line="240" w:lineRule="auto"/>
        <w:rPr>
          <w:rFonts w:eastAsiaTheme="minorEastAsia"/>
        </w:rPr>
      </w:pPr>
    </w:p>
    <w:p w14:paraId="14E628BF" w14:textId="46085025" w:rsidR="001639C0" w:rsidRPr="00D31706" w:rsidRDefault="006E314F">
      <w:pPr>
        <w:pStyle w:val="ListParagraph"/>
        <w:numPr>
          <w:ilvl w:val="0"/>
          <w:numId w:val="31"/>
        </w:numPr>
        <w:outlineLvl w:val="2"/>
        <w:rPr>
          <w:rFonts w:eastAsiaTheme="minorEastAsia"/>
        </w:rPr>
      </w:pPr>
      <w:bookmarkStart w:id="109" w:name="_Toc156728668"/>
      <w:r>
        <w:t xml:space="preserve">Identify the cross-functional team that will perform the </w:t>
      </w:r>
      <w:r w:rsidR="00EC42E0">
        <w:t>Benefit-Risk</w:t>
      </w:r>
      <w:r>
        <w:t xml:space="preserve"> analysis</w:t>
      </w:r>
      <w:bookmarkEnd w:id="109"/>
      <w:r w:rsidR="001639C0">
        <w:t xml:space="preserve"> </w:t>
      </w:r>
    </w:p>
    <w:p w14:paraId="5CB5D3E5" w14:textId="77777777" w:rsidR="001639C0" w:rsidRPr="00D31706" w:rsidRDefault="001639C0">
      <w:pPr>
        <w:pStyle w:val="ListParagraph"/>
        <w:numPr>
          <w:ilvl w:val="1"/>
          <w:numId w:val="31"/>
        </w:numPr>
        <w:rPr>
          <w:rFonts w:eastAsiaTheme="minorEastAsia"/>
        </w:rPr>
      </w:pPr>
      <w:r>
        <w:lastRenderedPageBreak/>
        <w:t xml:space="preserve">A physician who has worked in an ‘emergency room’ for over 10 years; i.e., a physician specialist who is expert in the practice of blood transfusions.  </w:t>
      </w:r>
    </w:p>
    <w:p w14:paraId="468ECDFC" w14:textId="77777777" w:rsidR="001639C0" w:rsidRPr="00D31706" w:rsidRDefault="001639C0">
      <w:pPr>
        <w:pStyle w:val="ListParagraph"/>
        <w:numPr>
          <w:ilvl w:val="1"/>
          <w:numId w:val="31"/>
        </w:numPr>
        <w:rPr>
          <w:rFonts w:eastAsiaTheme="minorEastAsia"/>
        </w:rPr>
      </w:pPr>
      <w:r>
        <w:t xml:space="preserve">A risk management engineer who has worked on apheresis equipment for over 10 years; i.e., an engineering specialist who is expert in the medical devices for collecting and infusing blood.  </w:t>
      </w:r>
    </w:p>
    <w:p w14:paraId="6F81158F" w14:textId="77777777" w:rsidR="001639C0" w:rsidRPr="00315DE1" w:rsidRDefault="001639C0" w:rsidP="006E314F">
      <w:pPr>
        <w:ind w:left="504"/>
        <w:rPr>
          <w:rFonts w:eastAsiaTheme="minorEastAsia"/>
        </w:rPr>
      </w:pPr>
      <w:r>
        <w:t xml:space="preserve">Normally, this list would include additional personnel (e.g., a representative from quality, production, post-market surveillance, etc., as the product’s risk analysis needs dictate); however, because this example is being created to illustrate ‘risk algebra’ and not to make regulatory decisions, the cross-functional team is limited to these two people. </w:t>
      </w:r>
    </w:p>
    <w:p w14:paraId="4625070F" w14:textId="77777777" w:rsidR="001639C0" w:rsidRPr="00315DE1" w:rsidRDefault="001639C0" w:rsidP="00AA2310">
      <w:pPr>
        <w:spacing w:after="0" w:line="240" w:lineRule="auto"/>
        <w:rPr>
          <w:rFonts w:eastAsiaTheme="minorEastAsia"/>
        </w:rPr>
      </w:pPr>
    </w:p>
    <w:p w14:paraId="158CAAE3" w14:textId="3525E8C5" w:rsidR="001639C0" w:rsidRPr="00315DE1" w:rsidRDefault="006046E3">
      <w:pPr>
        <w:pStyle w:val="ListParagraph"/>
        <w:numPr>
          <w:ilvl w:val="0"/>
          <w:numId w:val="31"/>
        </w:numPr>
        <w:outlineLvl w:val="2"/>
        <w:rPr>
          <w:rFonts w:eastAsiaTheme="minorEastAsia"/>
        </w:rPr>
      </w:pPr>
      <w:bookmarkStart w:id="110" w:name="_Toc156728669"/>
      <w:r>
        <w:t xml:space="preserve">Identify the 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bookmarkEnd w:id="110"/>
    </w:p>
    <w:p w14:paraId="5084712C" w14:textId="77777777" w:rsidR="001639C0" w:rsidRDefault="001639C0" w:rsidP="001639C0">
      <w:pPr>
        <w:pStyle w:val="ListParagraph"/>
        <w:ind w:left="1440"/>
        <w:rPr>
          <w:rFonts w:eastAsiaTheme="minorEastAsia"/>
        </w:rPr>
      </w:pPr>
    </w:p>
    <w:p w14:paraId="03F6935C" w14:textId="77777777" w:rsidR="001639C0" w:rsidRPr="00D31706" w:rsidRDefault="001639C0">
      <w:pPr>
        <w:pStyle w:val="ListParagraph"/>
        <w:numPr>
          <w:ilvl w:val="1"/>
          <w:numId w:val="31"/>
        </w:numPr>
      </w:pPr>
      <w:r>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Pr>
          <w:rFonts w:eastAsiaTheme="minorEastAsia"/>
        </w:rPr>
        <w:t>:</w:t>
      </w:r>
      <w:r>
        <w:t xml:space="preserve">  </w:t>
      </w:r>
    </w:p>
    <w:p w14:paraId="257FD2E4" w14:textId="77777777" w:rsidR="001639C0" w:rsidRPr="003C22FC" w:rsidRDefault="001639C0" w:rsidP="001639C0">
      <w:pPr>
        <w:pStyle w:val="ListParagraph"/>
        <w:ind w:left="1440"/>
      </w:pPr>
    </w:p>
    <w:p w14:paraId="2D6F90F7" w14:textId="35235994" w:rsidR="0019558C" w:rsidRDefault="001639C0">
      <w:pPr>
        <w:pStyle w:val="ListParagraph"/>
        <w:numPr>
          <w:ilvl w:val="2"/>
          <w:numId w:val="13"/>
        </w:numPr>
      </w:pPr>
      <w:r>
        <w:t xml:space="preserve">Start generating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t xml:space="preserve"> by identifying the health conditions that might cause this patient population to receive this medical treatment; i.e., for this example, the health conditions that might cause a bleeding ulcer to lose enough blood that a transfusion might be indicated to treat the blood loss. </w:t>
      </w:r>
    </w:p>
    <w:p w14:paraId="70A96547" w14:textId="77777777" w:rsidR="001639C0" w:rsidRDefault="001639C0" w:rsidP="001639C0">
      <w:pPr>
        <w:pStyle w:val="ListParagraph"/>
        <w:ind w:left="2160"/>
      </w:pPr>
    </w:p>
    <w:tbl>
      <w:tblPr>
        <w:tblStyle w:val="TableGrid"/>
        <w:tblW w:w="0" w:type="auto"/>
        <w:tblInd w:w="1885" w:type="dxa"/>
        <w:tblLook w:val="04A0" w:firstRow="1" w:lastRow="0" w:firstColumn="1" w:lastColumn="0" w:noHBand="0" w:noVBand="1"/>
      </w:tblPr>
      <w:tblGrid>
        <w:gridCol w:w="3037"/>
        <w:gridCol w:w="7673"/>
      </w:tblGrid>
      <w:tr w:rsidR="001639C0" w:rsidRPr="000E3F5A" w14:paraId="19C8650C" w14:textId="77777777" w:rsidTr="000331A7">
        <w:trPr>
          <w:cantSplit/>
          <w:tblHeader/>
        </w:trPr>
        <w:tc>
          <w:tcPr>
            <w:tcW w:w="3037" w:type="dxa"/>
          </w:tcPr>
          <w:p w14:paraId="2D9F4111" w14:textId="77777777" w:rsidR="001639C0" w:rsidRPr="000E3F5A" w:rsidRDefault="001639C0" w:rsidP="00024DD9">
            <w:pPr>
              <w:pStyle w:val="ListParagraph"/>
              <w:ind w:left="0"/>
              <w:contextualSpacing w:val="0"/>
              <w:rPr>
                <w:rFonts w:cstheme="minorHAnsi"/>
                <w:b/>
                <w:bCs/>
                <w:sz w:val="26"/>
                <w:szCs w:val="26"/>
              </w:rPr>
            </w:pPr>
            <w:r>
              <w:rPr>
                <w:rFonts w:cstheme="minorHAnsi"/>
                <w:b/>
                <w:bCs/>
                <w:sz w:val="26"/>
                <w:szCs w:val="26"/>
              </w:rPr>
              <w:t xml:space="preserve">Medical Description of the </w:t>
            </w:r>
            <w:r w:rsidRPr="000E3F5A">
              <w:rPr>
                <w:rFonts w:cstheme="minorHAnsi"/>
                <w:b/>
                <w:bCs/>
                <w:sz w:val="26"/>
                <w:szCs w:val="26"/>
              </w:rPr>
              <w:t>Health Condition</w:t>
            </w:r>
          </w:p>
        </w:tc>
        <w:tc>
          <w:tcPr>
            <w:tcW w:w="7673" w:type="dxa"/>
          </w:tcPr>
          <w:p w14:paraId="518FEEC9" w14:textId="77777777" w:rsidR="001639C0" w:rsidRPr="000E3F5A" w:rsidRDefault="001639C0" w:rsidP="00024DD9">
            <w:pPr>
              <w:pStyle w:val="ListParagraph"/>
              <w:ind w:left="0"/>
              <w:contextualSpacing w:val="0"/>
              <w:rPr>
                <w:rFonts w:cstheme="minorHAnsi"/>
                <w:b/>
                <w:bCs/>
                <w:sz w:val="26"/>
                <w:szCs w:val="26"/>
              </w:rPr>
            </w:pPr>
            <w:r w:rsidRPr="000E3F5A">
              <w:rPr>
                <w:rFonts w:cstheme="minorHAnsi"/>
                <w:b/>
                <w:bCs/>
                <w:sz w:val="26"/>
                <w:szCs w:val="26"/>
              </w:rPr>
              <w:t>Non-Specialist Description</w:t>
            </w:r>
          </w:p>
        </w:tc>
      </w:tr>
      <w:tr w:rsidR="001639C0" w:rsidRPr="000E3F5A" w14:paraId="6CFA3B55" w14:textId="77777777" w:rsidTr="000331A7">
        <w:trPr>
          <w:cantSplit/>
        </w:trPr>
        <w:tc>
          <w:tcPr>
            <w:tcW w:w="3037" w:type="dxa"/>
          </w:tcPr>
          <w:p w14:paraId="37D93089" w14:textId="77777777" w:rsidR="001639C0" w:rsidRPr="000E3F5A" w:rsidRDefault="001639C0" w:rsidP="00024DD9">
            <w:pPr>
              <w:rPr>
                <w:rFonts w:cstheme="minorHAnsi"/>
              </w:rPr>
            </w:pPr>
            <w:r w:rsidRPr="000E3F5A">
              <w:rPr>
                <w:rFonts w:cstheme="minorHAnsi"/>
              </w:rPr>
              <w:t xml:space="preserve">Altered Mental State </w:t>
            </w:r>
          </w:p>
        </w:tc>
        <w:tc>
          <w:tcPr>
            <w:tcW w:w="7673" w:type="dxa"/>
          </w:tcPr>
          <w:p w14:paraId="2227D3EF" w14:textId="77777777" w:rsidR="001639C0" w:rsidRPr="000E3F5A" w:rsidRDefault="001639C0" w:rsidP="00024DD9">
            <w:pPr>
              <w:pStyle w:val="ListParagraph"/>
              <w:ind w:left="0"/>
              <w:contextualSpacing w:val="0"/>
              <w:rPr>
                <w:rFonts w:cstheme="minorHAnsi"/>
              </w:rPr>
            </w:pPr>
            <w:r w:rsidRPr="000E3F5A">
              <w:rPr>
                <w:rFonts w:cstheme="minorHAnsi"/>
              </w:rPr>
              <w:t xml:space="preserve">The patient becomes disoriented, more easily distracted, and less able to focus. </w:t>
            </w:r>
          </w:p>
        </w:tc>
      </w:tr>
      <w:tr w:rsidR="001639C0" w:rsidRPr="000E3F5A" w14:paraId="7726477E" w14:textId="77777777" w:rsidTr="000331A7">
        <w:trPr>
          <w:cantSplit/>
        </w:trPr>
        <w:tc>
          <w:tcPr>
            <w:tcW w:w="3037" w:type="dxa"/>
          </w:tcPr>
          <w:p w14:paraId="56C31EF8" w14:textId="77777777" w:rsidR="001639C0" w:rsidRPr="000E3F5A" w:rsidRDefault="001639C0" w:rsidP="00024DD9">
            <w:pPr>
              <w:pStyle w:val="ListParagraph"/>
              <w:ind w:left="0"/>
              <w:contextualSpacing w:val="0"/>
              <w:rPr>
                <w:rFonts w:cstheme="minorHAnsi"/>
              </w:rPr>
            </w:pPr>
            <w:r w:rsidRPr="000E3F5A">
              <w:rPr>
                <w:rFonts w:cstheme="minorHAnsi"/>
              </w:rPr>
              <w:t>Circulatory Collapse</w:t>
            </w:r>
          </w:p>
        </w:tc>
        <w:tc>
          <w:tcPr>
            <w:tcW w:w="7673" w:type="dxa"/>
          </w:tcPr>
          <w:p w14:paraId="1687E9F0" w14:textId="77777777" w:rsidR="001639C0" w:rsidRPr="000E3F5A" w:rsidRDefault="001639C0" w:rsidP="00024DD9">
            <w:pPr>
              <w:pStyle w:val="ListParagraph"/>
              <w:ind w:left="0"/>
              <w:contextualSpacing w:val="0"/>
              <w:rPr>
                <w:rFonts w:cstheme="minorHAnsi"/>
              </w:rPr>
            </w:pPr>
            <w:r w:rsidRPr="000E3F5A">
              <w:rPr>
                <w:rFonts w:cstheme="minorHAnsi"/>
              </w:rPr>
              <w:t xml:space="preserve">The patient has bled so much that the heart has too little blood volume to pump.  Standard of care directs that such a patient has an endoscopy after the transfusion to identify / correct the reason for such extensive bleeding. </w:t>
            </w:r>
          </w:p>
        </w:tc>
      </w:tr>
      <w:tr w:rsidR="001639C0" w:rsidRPr="000E3F5A" w14:paraId="51CC53B0" w14:textId="77777777" w:rsidTr="000331A7">
        <w:trPr>
          <w:cantSplit/>
        </w:trPr>
        <w:tc>
          <w:tcPr>
            <w:tcW w:w="3037" w:type="dxa"/>
          </w:tcPr>
          <w:p w14:paraId="1291AC87" w14:textId="77777777" w:rsidR="001639C0" w:rsidRPr="000E3F5A" w:rsidRDefault="001639C0" w:rsidP="00024DD9">
            <w:pPr>
              <w:pStyle w:val="ListParagraph"/>
              <w:ind w:left="0"/>
              <w:contextualSpacing w:val="0"/>
              <w:rPr>
                <w:rFonts w:cstheme="minorHAnsi"/>
              </w:rPr>
            </w:pPr>
            <w:r w:rsidRPr="000E3F5A">
              <w:rPr>
                <w:rFonts w:cstheme="minorHAnsi"/>
              </w:rPr>
              <w:t>Heart attack, stroke, Kidney injury</w:t>
            </w:r>
          </w:p>
        </w:tc>
        <w:tc>
          <w:tcPr>
            <w:tcW w:w="7673" w:type="dxa"/>
          </w:tcPr>
          <w:p w14:paraId="79948557" w14:textId="77777777" w:rsidR="001639C0" w:rsidRPr="000E3F5A" w:rsidRDefault="001639C0" w:rsidP="00024DD9">
            <w:pPr>
              <w:pStyle w:val="ListParagraph"/>
              <w:ind w:left="0"/>
              <w:contextualSpacing w:val="0"/>
              <w:rPr>
                <w:rFonts w:cstheme="minorHAnsi"/>
              </w:rPr>
            </w:pPr>
            <w:r w:rsidRPr="000E3F5A">
              <w:rPr>
                <w:rFonts w:cstheme="minorHAnsi"/>
              </w:rPr>
              <w:t>The circulatory system can</w:t>
            </w:r>
            <w:r>
              <w:rPr>
                <w:rFonts w:cstheme="minorHAnsi"/>
              </w:rPr>
              <w:t>no</w:t>
            </w:r>
            <w:r w:rsidRPr="000E3F5A">
              <w:rPr>
                <w:rFonts w:cstheme="minorHAnsi"/>
              </w:rPr>
              <w:t xml:space="preserve">t transport sufficient oxygen to sustain the body’s organs. </w:t>
            </w:r>
          </w:p>
        </w:tc>
      </w:tr>
      <w:tr w:rsidR="001639C0" w:rsidRPr="000E3F5A" w14:paraId="6967F661" w14:textId="77777777" w:rsidTr="000331A7">
        <w:trPr>
          <w:cantSplit/>
        </w:trPr>
        <w:tc>
          <w:tcPr>
            <w:tcW w:w="3037" w:type="dxa"/>
          </w:tcPr>
          <w:p w14:paraId="26B37529" w14:textId="77777777" w:rsidR="001639C0" w:rsidRPr="000E3F5A" w:rsidRDefault="001639C0" w:rsidP="00024DD9">
            <w:pPr>
              <w:pStyle w:val="ListParagraph"/>
              <w:ind w:left="0"/>
              <w:contextualSpacing w:val="0"/>
              <w:rPr>
                <w:rFonts w:cstheme="minorHAnsi"/>
              </w:rPr>
            </w:pPr>
            <w:r w:rsidRPr="000E3F5A">
              <w:rPr>
                <w:rFonts w:cstheme="minorHAnsi"/>
              </w:rPr>
              <w:t>Esophageal Varices</w:t>
            </w:r>
          </w:p>
        </w:tc>
        <w:tc>
          <w:tcPr>
            <w:tcW w:w="7673" w:type="dxa"/>
          </w:tcPr>
          <w:p w14:paraId="4DA260CA" w14:textId="77777777" w:rsidR="001639C0" w:rsidRPr="000E3F5A" w:rsidRDefault="001639C0" w:rsidP="00024DD9">
            <w:pPr>
              <w:pStyle w:val="ListParagraph"/>
              <w:ind w:left="0"/>
              <w:contextualSpacing w:val="0"/>
              <w:rPr>
                <w:rFonts w:cstheme="minorHAnsi"/>
              </w:rPr>
            </w:pPr>
            <w:r w:rsidRPr="000E3F5A">
              <w:rPr>
                <w:rFonts w:cstheme="minorHAnsi"/>
              </w:rPr>
              <w:t xml:space="preserve">A </w:t>
            </w:r>
            <w:r>
              <w:rPr>
                <w:rFonts w:cstheme="minorHAnsi"/>
              </w:rPr>
              <w:t xml:space="preserve">pre-existing risk factor </w:t>
            </w:r>
            <w:r w:rsidRPr="000E3F5A">
              <w:rPr>
                <w:rFonts w:cstheme="minorHAnsi"/>
              </w:rPr>
              <w:t xml:space="preserve">that </w:t>
            </w:r>
            <w:r>
              <w:rPr>
                <w:rFonts w:cstheme="minorHAnsi"/>
              </w:rPr>
              <w:t>can result in significant upper GI bleeding</w:t>
            </w:r>
            <w:r w:rsidRPr="000E3F5A">
              <w:rPr>
                <w:rFonts w:cstheme="minorHAnsi"/>
              </w:rPr>
              <w:t xml:space="preserve">.  Variceal bleeding accounts for 10–30% of all cases of upper gastrointestinal bleeding. </w:t>
            </w:r>
          </w:p>
        </w:tc>
      </w:tr>
    </w:tbl>
    <w:p w14:paraId="5463CEA3" w14:textId="77777777" w:rsidR="001639C0" w:rsidRPr="006E333A" w:rsidRDefault="001639C0" w:rsidP="001639C0">
      <w:pPr>
        <w:pStyle w:val="ListParagraph"/>
        <w:ind w:left="1440"/>
        <w:contextualSpacing w:val="0"/>
      </w:pPr>
    </w:p>
    <w:p w14:paraId="5B4130BB" w14:textId="79A36B83" w:rsidR="001E2072" w:rsidRPr="00D60B07" w:rsidRDefault="001639C0">
      <w:pPr>
        <w:pStyle w:val="ListParagraph"/>
        <w:numPr>
          <w:ilvl w:val="2"/>
          <w:numId w:val="13"/>
        </w:numPr>
      </w:pPr>
      <w:r w:rsidRPr="00931D3A">
        <w:rPr>
          <w:rFonts w:eastAsiaTheme="minorEastAsia" w:cstheme="minorHAnsi"/>
        </w:rPr>
        <w:t xml:space="preserve">Identify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w:t>
      </w:r>
      <w:r>
        <w:rPr>
          <w:rFonts w:eastAsiaTheme="minorEastAsia" w:cstheme="minorHAnsi"/>
        </w:rPr>
        <w:t xml:space="preserve">categories of </w:t>
      </w:r>
      <w:r w:rsidRPr="00931D3A">
        <w:rPr>
          <w:rFonts w:eastAsiaTheme="minorEastAsia" w:cstheme="minorHAnsi"/>
        </w:rPr>
        <w:t xml:space="preserve">severities of harm for each ‘Health Condition’ / Hazardous Situation, </w:t>
      </w:r>
      <w:r>
        <w:rPr>
          <w:rFonts w:eastAsiaTheme="minorEastAsia" w:cstheme="minorHAnsi"/>
        </w:rPr>
        <w:t xml:space="preserve">cite the reference used to </w:t>
      </w:r>
      <w:r w:rsidRPr="00931D3A">
        <w:rPr>
          <w:rFonts w:eastAsiaTheme="minorEastAsia" w:cstheme="minorHAnsi"/>
        </w:rPr>
        <w:t xml:space="preserve">determine </w:t>
      </w:r>
      <m:oMath>
        <m:r>
          <w:rPr>
            <w:rFonts w:ascii="Cambria Math" w:eastAsiaTheme="minorEastAsia" w:hAnsi="Cambria Math" w:cstheme="minorHAnsi"/>
          </w:rPr>
          <m:t>P</m:t>
        </m:r>
      </m:oMath>
      <w:r w:rsidRPr="00931D3A">
        <w:rPr>
          <w:rFonts w:eastAsiaTheme="minorEastAsia" w:cstheme="minorHAnsi"/>
        </w:rPr>
        <w:t xml:space="preserve"> </w:t>
      </w:r>
      <w:r w:rsidRPr="00931D3A">
        <w:rPr>
          <w:rFonts w:eastAsiaTheme="minorEastAsia" w:cstheme="minorHAnsi"/>
        </w:rPr>
        <w:lastRenderedPageBreak/>
        <w:t xml:space="preserve">(when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w:t>
      </w:r>
      <w:r>
        <w:rPr>
          <w:rFonts w:eastAsiaTheme="minorEastAsia" w:cstheme="minorHAnsi"/>
        </w:rPr>
        <w:t>, and enter the category of probability for each severity of harm</w:t>
      </w:r>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and </w:t>
      </w:r>
      <w:r>
        <w:rPr>
          <w:rFonts w:eastAsiaTheme="minorEastAsia" w:cstheme="minorHAnsi"/>
        </w:rPr>
        <w:fldChar w:fldCharType="begin"/>
      </w:r>
      <w:r>
        <w:rPr>
          <w:rFonts w:eastAsiaTheme="minorEastAsia" w:cstheme="minorHAnsi"/>
        </w:rPr>
        <w:instrText xml:space="preserve"> REF _Ref146694551 \h </w:instrText>
      </w:r>
      <w:r>
        <w:rPr>
          <w:rFonts w:eastAsiaTheme="minorEastAsia" w:cstheme="minorHAnsi"/>
        </w:rPr>
      </w:r>
      <w:r>
        <w:rPr>
          <w:rFonts w:eastAsiaTheme="minorEastAsia" w:cstheme="minorHAnsi"/>
        </w:rPr>
        <w:fldChar w:fldCharType="separate"/>
      </w:r>
      <w:r w:rsidR="001E41EA">
        <w:t xml:space="preserve">Table </w:t>
      </w:r>
      <w:r w:rsidR="001E41EA">
        <w:rPr>
          <w:noProof/>
        </w:rPr>
        <w:t>4</w:t>
      </w:r>
      <w:r>
        <w:rPr>
          <w:rFonts w:eastAsiaTheme="minorEastAsia" w:cstheme="minorHAnsi"/>
        </w:rPr>
        <w:fldChar w:fldCharType="end"/>
      </w:r>
      <w:r>
        <w:rPr>
          <w:rFonts w:eastAsiaTheme="minorEastAsia" w:cstheme="minorHAnsi"/>
        </w:rPr>
        <w:t xml:space="preserve"> to assign probability and severity categories for the various scenarios associated with each Hazardous Situation. </w:t>
      </w:r>
    </w:p>
    <w:p w14:paraId="4832913C" w14:textId="77777777" w:rsidR="00D60B07" w:rsidRPr="000331A7" w:rsidRDefault="00D60B07" w:rsidP="00D60B07">
      <w:pPr>
        <w:pStyle w:val="ListParagraph"/>
        <w:ind w:left="1152"/>
      </w:pPr>
    </w:p>
    <w:tbl>
      <w:tblPr>
        <w:tblStyle w:val="TableGrid"/>
        <w:tblW w:w="11268" w:type="dxa"/>
        <w:tblInd w:w="1327" w:type="dxa"/>
        <w:tblLook w:val="04A0" w:firstRow="1" w:lastRow="0" w:firstColumn="1" w:lastColumn="0" w:noHBand="0" w:noVBand="1"/>
      </w:tblPr>
      <w:tblGrid>
        <w:gridCol w:w="1349"/>
        <w:gridCol w:w="5244"/>
        <w:gridCol w:w="1249"/>
        <w:gridCol w:w="1034"/>
        <w:gridCol w:w="1249"/>
        <w:gridCol w:w="1335"/>
      </w:tblGrid>
      <w:tr w:rsidR="001E2072" w:rsidRPr="000E3F5A" w14:paraId="16E705B3" w14:textId="77777777" w:rsidTr="000331A7">
        <w:trPr>
          <w:cantSplit/>
          <w:tblHeader/>
        </w:trPr>
        <w:tc>
          <w:tcPr>
            <w:tcW w:w="1349" w:type="dxa"/>
            <w:vAlign w:val="center"/>
          </w:tcPr>
          <w:p w14:paraId="6C61A421" w14:textId="77777777" w:rsidR="001E2072" w:rsidRPr="000E3F5A" w:rsidRDefault="001E2072" w:rsidP="00024DD9">
            <w:pPr>
              <w:pStyle w:val="ListParagraph"/>
              <w:ind w:left="0"/>
              <w:contextualSpacing w:val="0"/>
              <w:rPr>
                <w:rFonts w:cstheme="minorHAnsi"/>
                <w:b/>
                <w:bCs/>
                <w:sz w:val="26"/>
                <w:szCs w:val="26"/>
              </w:rPr>
            </w:pPr>
            <w:r w:rsidRPr="000E3F5A">
              <w:rPr>
                <w:rFonts w:cstheme="minorHAnsi"/>
                <w:b/>
                <w:bCs/>
                <w:sz w:val="26"/>
                <w:szCs w:val="26"/>
              </w:rPr>
              <w:t xml:space="preserve">Hazardous Situation </w:t>
            </w:r>
          </w:p>
        </w:tc>
        <w:tc>
          <w:tcPr>
            <w:tcW w:w="5244" w:type="dxa"/>
            <w:vAlign w:val="center"/>
          </w:tcPr>
          <w:p w14:paraId="78E27AE0" w14:textId="77777777" w:rsidR="001E2072" w:rsidRPr="000E3F5A" w:rsidRDefault="001E2072" w:rsidP="00024DD9">
            <w:pPr>
              <w:pStyle w:val="ListParagraph"/>
              <w:ind w:left="0"/>
              <w:contextualSpacing w:val="0"/>
              <w:rPr>
                <w:rFonts w:cstheme="minorHAnsi"/>
                <w:b/>
                <w:bCs/>
                <w:sz w:val="26"/>
                <w:szCs w:val="26"/>
              </w:rPr>
            </w:pPr>
            <w:r>
              <w:rPr>
                <w:rFonts w:cstheme="minorHAnsi"/>
                <w:b/>
                <w:bCs/>
                <w:sz w:val="26"/>
                <w:szCs w:val="26"/>
              </w:rPr>
              <w:t>Reference Information</w:t>
            </w:r>
          </w:p>
        </w:tc>
        <w:tc>
          <w:tcPr>
            <w:tcW w:w="1096" w:type="dxa"/>
            <w:vAlign w:val="center"/>
          </w:tcPr>
          <w:p w14:paraId="2390CB01" w14:textId="77777777" w:rsidR="001E2072" w:rsidRPr="000E3F5A"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097" w:type="dxa"/>
            <w:vAlign w:val="center"/>
          </w:tcPr>
          <w:p w14:paraId="04C8A0EF" w14:textId="77777777" w:rsidR="001E2072" w:rsidRPr="000E3F5A"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097" w:type="dxa"/>
            <w:vAlign w:val="center"/>
          </w:tcPr>
          <w:p w14:paraId="1FD2B3D0" w14:textId="77777777" w:rsidR="001E2072" w:rsidRPr="000E3F5A" w:rsidRDefault="001E2072" w:rsidP="00024DD9">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1385" w:type="dxa"/>
            <w:vAlign w:val="center"/>
          </w:tcPr>
          <w:p w14:paraId="7148F4DF" w14:textId="77777777" w:rsidR="001E2072" w:rsidRPr="000E3F5A" w:rsidRDefault="001E2072" w:rsidP="00024DD9">
            <w:pPr>
              <w:pStyle w:val="ListParagraph"/>
              <w:ind w:left="0"/>
              <w:contextualSpacing w:val="0"/>
              <w:rPr>
                <w:rFonts w:cstheme="minorHAnsi"/>
                <w:b/>
                <w:bCs/>
                <w:sz w:val="26"/>
                <w:szCs w:val="26"/>
              </w:rPr>
            </w:pPr>
            <w:r w:rsidRPr="000E3F5A">
              <w:rPr>
                <w:rFonts w:cstheme="minorHAnsi"/>
                <w:b/>
                <w:bCs/>
                <w:sz w:val="26"/>
                <w:szCs w:val="26"/>
              </w:rPr>
              <w:t>Severity</w:t>
            </w:r>
          </w:p>
        </w:tc>
      </w:tr>
      <w:tr w:rsidR="002435A5" w:rsidRPr="000E3F5A" w14:paraId="562FDF3C" w14:textId="77777777" w:rsidTr="00026741">
        <w:trPr>
          <w:cantSplit/>
        </w:trPr>
        <w:tc>
          <w:tcPr>
            <w:tcW w:w="1349" w:type="dxa"/>
            <w:vAlign w:val="center"/>
          </w:tcPr>
          <w:p w14:paraId="37D27314" w14:textId="77777777" w:rsidR="002435A5" w:rsidRPr="000E3F5A" w:rsidRDefault="002435A5" w:rsidP="002435A5">
            <w:pPr>
              <w:rPr>
                <w:rFonts w:cstheme="minorHAnsi"/>
              </w:rPr>
            </w:pPr>
            <w:r w:rsidRPr="000E3F5A">
              <w:rPr>
                <w:rFonts w:cstheme="minorHAnsi"/>
              </w:rPr>
              <w:t xml:space="preserve">Altered Mental State </w:t>
            </w:r>
          </w:p>
        </w:tc>
        <w:tc>
          <w:tcPr>
            <w:tcW w:w="5244" w:type="dxa"/>
            <w:vAlign w:val="center"/>
          </w:tcPr>
          <w:p w14:paraId="79BAAC97"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Probability: </w:t>
            </w:r>
            <w:r>
              <w:rPr>
                <w:rFonts w:eastAsiaTheme="minorEastAsia" w:cstheme="minorHAnsi"/>
                <w:sz w:val="21"/>
                <w:szCs w:val="21"/>
              </w:rPr>
              <w:t xml:space="preserve"> </w:t>
            </w:r>
          </w:p>
          <w:p w14:paraId="097C1D49" w14:textId="4664732D" w:rsidR="002435A5" w:rsidRPr="00695B2F" w:rsidRDefault="002435A5" w:rsidP="002435A5">
            <w:pPr>
              <w:pStyle w:val="ListParagraph"/>
              <w:numPr>
                <w:ilvl w:val="0"/>
                <w:numId w:val="18"/>
              </w:numPr>
              <w:contextualSpacing w:val="0"/>
              <w:rPr>
                <w:rFonts w:eastAsiaTheme="minorEastAsia" w:cstheme="minorHAnsi"/>
                <w:sz w:val="21"/>
                <w:szCs w:val="21"/>
              </w:rPr>
            </w:pPr>
            <w:r>
              <w:rPr>
                <w:rFonts w:eastAsiaTheme="minorEastAsia" w:cstheme="minorHAnsi"/>
                <w:sz w:val="21"/>
                <w:szCs w:val="21"/>
              </w:rPr>
              <w:t xml:space="preserve">Per </w:t>
            </w:r>
            <w:r w:rsidRPr="00695B2F">
              <w:rPr>
                <w:rFonts w:eastAsiaTheme="minorEastAsia" w:cstheme="minorHAnsi"/>
                <w:sz w:val="21"/>
                <w:szCs w:val="21"/>
              </w:rPr>
              <w:t xml:space="preserve">Hemorrhagic shock: </w:t>
            </w:r>
            <w:hyperlink r:id="rId17" w:history="1">
              <w:r w:rsidRPr="00695B2F">
                <w:rPr>
                  <w:rStyle w:val="Hyperlink"/>
                  <w:rFonts w:eastAsiaTheme="minorEastAsia" w:cstheme="minorHAnsi"/>
                  <w:sz w:val="21"/>
                  <w:szCs w:val="21"/>
                </w:rPr>
                <w:t>https://www.ncbi.nlm.nih.gov/books/NBK470382/</w:t>
              </w:r>
            </w:hyperlink>
            <w:r w:rsidRPr="00695B2F">
              <w:rPr>
                <w:rFonts w:eastAsiaTheme="minorEastAsia" w:cstheme="minorHAnsi"/>
                <w:sz w:val="21"/>
                <w:szCs w:val="21"/>
              </w:rPr>
              <w:t xml:space="preserve"> </w:t>
            </w:r>
            <w:r>
              <w:rPr>
                <w:rFonts w:eastAsiaTheme="minorEastAsia" w:cstheme="minorHAnsi"/>
                <w:sz w:val="21"/>
                <w:szCs w:val="21"/>
              </w:rPr>
              <w:br/>
            </w:r>
            <w:r w:rsidRPr="00695B2F">
              <w:rPr>
                <w:rFonts w:eastAsiaTheme="minorEastAsia" w:cstheme="minorHAnsi"/>
                <w:sz w:val="21"/>
                <w:szCs w:val="21"/>
              </w:rPr>
              <w:t>"Class 3: Volume loss from 30% to 40% of total blood volume, from 1500 mL to 2000 mL.</w:t>
            </w:r>
            <w:r w:rsidR="0034405F">
              <w:rPr>
                <w:rFonts w:eastAsiaTheme="minorEastAsia" w:cstheme="minorHAnsi"/>
                <w:sz w:val="21"/>
                <w:szCs w:val="21"/>
              </w:rPr>
              <w:t xml:space="preserve"> </w:t>
            </w:r>
            <w:r w:rsidRPr="00695B2F">
              <w:rPr>
                <w:rFonts w:eastAsiaTheme="minorEastAsia" w:cstheme="minorHAnsi"/>
                <w:sz w:val="21"/>
                <w:szCs w:val="21"/>
              </w:rPr>
              <w:t xml:space="preserve"> A significant drop in blood pressure and changes in mental status occurs.  Heart rate and respiratory rate are significantly elevated (more than 120 BPM). Urine output declines. Capillary refill is delayed."</w:t>
            </w:r>
          </w:p>
          <w:p w14:paraId="797C39E1" w14:textId="77777777" w:rsidR="002435A5" w:rsidRPr="00D31706" w:rsidRDefault="002435A5" w:rsidP="002435A5">
            <w:pPr>
              <w:pStyle w:val="ListParagraph"/>
              <w:numPr>
                <w:ilvl w:val="0"/>
                <w:numId w:val="18"/>
              </w:numPr>
              <w:contextualSpacing w:val="0"/>
              <w:rPr>
                <w:rFonts w:cstheme="minorHAnsi"/>
                <w:sz w:val="21"/>
                <w:szCs w:val="21"/>
              </w:rPr>
            </w:pPr>
            <w:r>
              <w:rPr>
                <w:rFonts w:eastAsiaTheme="minorEastAsia" w:cstheme="minorHAnsi"/>
                <w:sz w:val="21"/>
                <w:szCs w:val="21"/>
              </w:rPr>
              <w:t>Per board-certified Emergency Room physician for over 10 years.</w:t>
            </w:r>
          </w:p>
          <w:p w14:paraId="2DC56E11" w14:textId="77777777" w:rsidR="002435A5" w:rsidRPr="00D31706" w:rsidRDefault="002435A5" w:rsidP="002435A5">
            <w:pPr>
              <w:pStyle w:val="ListParagraph"/>
              <w:ind w:left="0"/>
              <w:contextualSpacing w:val="0"/>
              <w:rPr>
                <w:rFonts w:cstheme="minorHAnsi"/>
                <w:sz w:val="21"/>
                <w:szCs w:val="21"/>
              </w:rPr>
            </w:pPr>
          </w:p>
          <w:p w14:paraId="0A1C4970"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Per board-certified Emergency Room physician for over 10 years.</w:t>
            </w:r>
          </w:p>
          <w:p w14:paraId="7A39F732" w14:textId="77777777" w:rsidR="002435A5" w:rsidRDefault="002435A5" w:rsidP="002435A5">
            <w:pPr>
              <w:pStyle w:val="ListParagraph"/>
              <w:ind w:left="0"/>
              <w:contextualSpacing w:val="0"/>
              <w:rPr>
                <w:rFonts w:eastAsiaTheme="minorEastAsia" w:cstheme="minorHAnsi"/>
                <w:sz w:val="21"/>
                <w:szCs w:val="21"/>
              </w:rPr>
            </w:pPr>
          </w:p>
          <w:p w14:paraId="273ABDB1" w14:textId="005434C7" w:rsidR="002435A5" w:rsidRPr="00D31706" w:rsidRDefault="002435A5" w:rsidP="002435A5">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m:t>
              </m:r>
              <m:r>
                <w:rPr>
                  <w:rFonts w:ascii="Cambria Math" w:eastAsiaTheme="minorEastAsia" w:hAnsi="Cambria Math" w:cstheme="minorHAnsi"/>
                  <w:sz w:val="21"/>
                  <w:szCs w:val="21"/>
                </w:rPr>
                <m:t>ccasional</m:t>
              </m:r>
            </m:oMath>
          </w:p>
        </w:tc>
        <w:tc>
          <w:tcPr>
            <w:tcW w:w="1096" w:type="dxa"/>
            <w:tcBorders>
              <w:top w:val="nil"/>
              <w:left w:val="nil"/>
              <w:bottom w:val="single" w:sz="8" w:space="0" w:color="auto"/>
              <w:right w:val="single" w:sz="8" w:space="0" w:color="auto"/>
            </w:tcBorders>
            <w:vAlign w:val="center"/>
          </w:tcPr>
          <w:p w14:paraId="138BFA28" w14:textId="4A8E0BB8" w:rsidR="002435A5" w:rsidRPr="000E3F5A" w:rsidRDefault="0034405F" w:rsidP="002435A5">
            <w:pPr>
              <w:pStyle w:val="ListParagraph"/>
              <w:ind w:left="0"/>
              <w:contextualSpacing w:val="0"/>
              <w:jc w:val="center"/>
              <w:rPr>
                <w:rFonts w:cstheme="minorHAnsi"/>
              </w:rPr>
            </w:pPr>
            <w:r>
              <w:rPr>
                <w:rFonts w:cstheme="minorHAnsi"/>
              </w:rPr>
              <w:t>Occasional</w:t>
            </w:r>
          </w:p>
        </w:tc>
        <w:tc>
          <w:tcPr>
            <w:tcW w:w="1097" w:type="dxa"/>
            <w:tcBorders>
              <w:top w:val="nil"/>
              <w:left w:val="nil"/>
              <w:bottom w:val="single" w:sz="8" w:space="0" w:color="auto"/>
              <w:right w:val="single" w:sz="8" w:space="0" w:color="auto"/>
            </w:tcBorders>
            <w:vAlign w:val="center"/>
          </w:tcPr>
          <w:p w14:paraId="7C08959D" w14:textId="78A16E88" w:rsidR="002435A5" w:rsidRPr="000E3F5A" w:rsidRDefault="002435A5" w:rsidP="002435A5">
            <w:pPr>
              <w:pStyle w:val="ListParagraph"/>
              <w:ind w:left="0"/>
              <w:contextualSpacing w:val="0"/>
              <w:jc w:val="center"/>
              <w:rPr>
                <w:rFonts w:cstheme="minorHAnsi"/>
              </w:rPr>
            </w:pPr>
            <w:r>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70609401" w14:textId="5E8A0348" w:rsidR="002435A5" w:rsidRPr="000E3F5A" w:rsidRDefault="002435A5" w:rsidP="002435A5">
            <w:pPr>
              <w:pStyle w:val="ListParagraph"/>
              <w:ind w:left="0"/>
              <w:contextualSpacing w:val="0"/>
              <w:jc w:val="center"/>
              <w:rPr>
                <w:rFonts w:cstheme="minorHAnsi"/>
              </w:rPr>
            </w:pPr>
            <w:r>
              <w:rPr>
                <w:rFonts w:ascii="Calibri" w:hAnsi="Calibri" w:cs="Calibri"/>
                <w:color w:val="000000"/>
              </w:rPr>
              <w:t>Occasional</w:t>
            </w:r>
          </w:p>
        </w:tc>
        <w:tc>
          <w:tcPr>
            <w:tcW w:w="1385" w:type="dxa"/>
            <w:vAlign w:val="center"/>
          </w:tcPr>
          <w:p w14:paraId="441AE0D3" w14:textId="2B94B1C5" w:rsidR="002435A5" w:rsidRPr="000E3F5A" w:rsidRDefault="002435A5" w:rsidP="002435A5">
            <w:pPr>
              <w:pStyle w:val="ListParagraph"/>
              <w:ind w:left="0"/>
              <w:contextualSpacing w:val="0"/>
              <w:jc w:val="center"/>
              <w:rPr>
                <w:rFonts w:cstheme="minorHAnsi"/>
              </w:rPr>
            </w:pPr>
            <w:r w:rsidRPr="00345B5B">
              <w:rPr>
                <w:rFonts w:cstheme="minorHAnsi"/>
              </w:rPr>
              <w:t>Negligible</w:t>
            </w:r>
          </w:p>
        </w:tc>
      </w:tr>
      <w:tr w:rsidR="002435A5" w:rsidRPr="000E3F5A" w14:paraId="45B73364" w14:textId="77777777" w:rsidTr="00026741">
        <w:trPr>
          <w:cantSplit/>
          <w:trHeight w:val="1565"/>
        </w:trPr>
        <w:tc>
          <w:tcPr>
            <w:tcW w:w="1349" w:type="dxa"/>
            <w:vMerge w:val="restart"/>
            <w:vAlign w:val="center"/>
          </w:tcPr>
          <w:p w14:paraId="0593DFCF" w14:textId="77777777" w:rsidR="002435A5" w:rsidRPr="000E3F5A" w:rsidRDefault="002435A5" w:rsidP="002435A5">
            <w:pPr>
              <w:pStyle w:val="ListParagraph"/>
              <w:ind w:left="0"/>
              <w:contextualSpacing w:val="0"/>
              <w:rPr>
                <w:rFonts w:cstheme="minorHAnsi"/>
              </w:rPr>
            </w:pPr>
            <w:r w:rsidRPr="000E3F5A">
              <w:rPr>
                <w:rFonts w:cstheme="minorHAnsi"/>
              </w:rPr>
              <w:t>Circulatory Collapse</w:t>
            </w:r>
          </w:p>
        </w:tc>
        <w:tc>
          <w:tcPr>
            <w:tcW w:w="5244" w:type="dxa"/>
            <w:vMerge w:val="restart"/>
            <w:vAlign w:val="center"/>
          </w:tcPr>
          <w:p w14:paraId="77D31C4A" w14:textId="77777777" w:rsidR="002435A5" w:rsidRPr="0083668E" w:rsidRDefault="002435A5" w:rsidP="002435A5">
            <w:pPr>
              <w:pStyle w:val="ListParagraph"/>
              <w:keepNext/>
              <w:ind w:left="0"/>
              <w:contextualSpacing w:val="0"/>
              <w:rPr>
                <w:rFonts w:eastAsiaTheme="minorEastAsia" w:cstheme="minorHAnsi"/>
                <w:color w:val="000000" w:themeColor="text1"/>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sidRPr="0083668E">
              <w:rPr>
                <w:rFonts w:eastAsiaTheme="minorEastAsia" w:cstheme="minorHAnsi"/>
                <w:color w:val="000000" w:themeColor="text1"/>
                <w:sz w:val="21"/>
                <w:szCs w:val="21"/>
              </w:rPr>
              <w:t xml:space="preserve">Probability:  </w:t>
            </w:r>
          </w:p>
          <w:p w14:paraId="78F12DE1" w14:textId="77777777" w:rsidR="002435A5" w:rsidRPr="0083668E" w:rsidRDefault="002435A5" w:rsidP="002435A5">
            <w:pPr>
              <w:pStyle w:val="ListParagraph"/>
              <w:keepNext/>
              <w:numPr>
                <w:ilvl w:val="0"/>
                <w:numId w:val="17"/>
              </w:numPr>
              <w:contextualSpacing w:val="0"/>
              <w:rPr>
                <w:rFonts w:eastAsiaTheme="minorEastAsia" w:cstheme="minorHAnsi"/>
                <w:color w:val="000000" w:themeColor="text1"/>
                <w:sz w:val="21"/>
                <w:szCs w:val="21"/>
              </w:rPr>
            </w:pPr>
            <w:r w:rsidRPr="0083668E">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83668E">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5779F943" w14:textId="77777777" w:rsidR="002435A5" w:rsidRPr="00D31706" w:rsidRDefault="002435A5" w:rsidP="002435A5">
            <w:pPr>
              <w:pStyle w:val="ListParagraph"/>
              <w:numPr>
                <w:ilvl w:val="0"/>
                <w:numId w:val="17"/>
              </w:numPr>
              <w:contextualSpacing w:val="0"/>
              <w:rPr>
                <w:rFonts w:cstheme="minorHAnsi"/>
                <w:sz w:val="21"/>
                <w:szCs w:val="21"/>
              </w:rPr>
            </w:pPr>
            <w:r>
              <w:rPr>
                <w:rFonts w:eastAsiaTheme="minorEastAsia" w:cstheme="minorHAnsi"/>
                <w:color w:val="000000" w:themeColor="text1"/>
                <w:sz w:val="21"/>
                <w:szCs w:val="21"/>
              </w:rPr>
              <w:t xml:space="preserve">Per </w:t>
            </w:r>
            <w:r w:rsidRPr="0083668E">
              <w:rPr>
                <w:rFonts w:eastAsiaTheme="minorEastAsia" w:cstheme="minorHAnsi"/>
                <w:color w:val="000000" w:themeColor="text1"/>
                <w:sz w:val="21"/>
                <w:szCs w:val="21"/>
              </w:rPr>
              <w:t>board-</w:t>
            </w:r>
            <w:r>
              <w:rPr>
                <w:rFonts w:eastAsiaTheme="minorEastAsia" w:cstheme="minorHAnsi"/>
                <w:sz w:val="21"/>
                <w:szCs w:val="21"/>
              </w:rPr>
              <w:t xml:space="preserve">certified Emergency Room physician for over 10 years. </w:t>
            </w:r>
          </w:p>
          <w:p w14:paraId="7D5C6829" w14:textId="77777777" w:rsidR="002435A5" w:rsidRDefault="002435A5" w:rsidP="002435A5">
            <w:pPr>
              <w:pStyle w:val="ListParagraph"/>
              <w:ind w:left="0"/>
              <w:contextualSpacing w:val="0"/>
              <w:rPr>
                <w:rFonts w:cstheme="minorHAnsi"/>
                <w:sz w:val="21"/>
                <w:szCs w:val="21"/>
              </w:rPr>
            </w:pPr>
          </w:p>
          <w:p w14:paraId="5D14F184"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and board-certified Emergency Room physician for over 10 years.</w:t>
            </w:r>
          </w:p>
          <w:p w14:paraId="07824247" w14:textId="77777777" w:rsidR="002435A5" w:rsidRDefault="002435A5" w:rsidP="002435A5">
            <w:pPr>
              <w:pStyle w:val="ListParagraph"/>
              <w:ind w:left="0"/>
              <w:contextualSpacing w:val="0"/>
              <w:rPr>
                <w:rFonts w:eastAsiaTheme="minorEastAsia" w:cstheme="minorHAnsi"/>
                <w:sz w:val="21"/>
                <w:szCs w:val="21"/>
              </w:rPr>
            </w:pPr>
          </w:p>
          <w:p w14:paraId="17430579" w14:textId="4C43807F" w:rsidR="002435A5" w:rsidRPr="0083668E"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m:t>
              </m:r>
              <m:r>
                <w:rPr>
                  <w:rFonts w:ascii="Cambria Math" w:eastAsiaTheme="minorEastAsia" w:hAnsi="Cambria Math" w:cstheme="minorHAnsi"/>
                  <w:sz w:val="21"/>
                  <w:szCs w:val="21"/>
                </w:rPr>
                <m:t>Occassional</m:t>
              </m:r>
            </m:oMath>
          </w:p>
        </w:tc>
        <w:tc>
          <w:tcPr>
            <w:tcW w:w="1096" w:type="dxa"/>
            <w:vMerge w:val="restart"/>
            <w:tcBorders>
              <w:top w:val="nil"/>
              <w:left w:val="nil"/>
              <w:bottom w:val="single" w:sz="8" w:space="0" w:color="auto"/>
              <w:right w:val="single" w:sz="8" w:space="0" w:color="auto"/>
            </w:tcBorders>
            <w:vAlign w:val="center"/>
          </w:tcPr>
          <w:p w14:paraId="0135BCFE" w14:textId="49D351E4" w:rsidR="002435A5" w:rsidRPr="000E3F5A" w:rsidRDefault="00255709" w:rsidP="002435A5">
            <w:pPr>
              <w:pStyle w:val="ListParagraph"/>
              <w:ind w:left="0"/>
              <w:contextualSpacing w:val="0"/>
              <w:jc w:val="center"/>
              <w:rPr>
                <w:rFonts w:cstheme="minorHAnsi"/>
              </w:rPr>
            </w:pPr>
            <w:r>
              <w:rPr>
                <w:rFonts w:cstheme="minorHAnsi"/>
              </w:rPr>
              <w:lastRenderedPageBreak/>
              <w:t>Probable</w:t>
            </w:r>
          </w:p>
        </w:tc>
        <w:tc>
          <w:tcPr>
            <w:tcW w:w="1097" w:type="dxa"/>
            <w:vMerge w:val="restart"/>
            <w:tcBorders>
              <w:top w:val="nil"/>
              <w:left w:val="nil"/>
              <w:bottom w:val="single" w:sz="8" w:space="0" w:color="auto"/>
              <w:right w:val="single" w:sz="8" w:space="0" w:color="auto"/>
            </w:tcBorders>
            <w:vAlign w:val="center"/>
          </w:tcPr>
          <w:p w14:paraId="05A00971" w14:textId="571B940A" w:rsidR="002435A5" w:rsidRPr="000E3F5A" w:rsidRDefault="00255709" w:rsidP="002435A5">
            <w:pPr>
              <w:pStyle w:val="ListParagraph"/>
              <w:ind w:left="0"/>
              <w:contextualSpacing w:val="0"/>
              <w:jc w:val="center"/>
              <w:rPr>
                <w:rFonts w:cstheme="minorHAnsi"/>
              </w:rPr>
            </w:pPr>
            <w:r>
              <w:rPr>
                <w:rFonts w:cstheme="minorHAnsi"/>
              </w:rPr>
              <w:t>Often</w:t>
            </w:r>
          </w:p>
        </w:tc>
        <w:tc>
          <w:tcPr>
            <w:tcW w:w="1097" w:type="dxa"/>
            <w:tcBorders>
              <w:top w:val="nil"/>
              <w:left w:val="single" w:sz="4" w:space="0" w:color="auto"/>
              <w:bottom w:val="single" w:sz="4" w:space="0" w:color="auto"/>
              <w:right w:val="single" w:sz="4" w:space="0" w:color="auto"/>
            </w:tcBorders>
            <w:shd w:val="clear" w:color="auto" w:fill="auto"/>
            <w:vAlign w:val="center"/>
          </w:tcPr>
          <w:p w14:paraId="6796DD51" w14:textId="537CD88E" w:rsidR="002435A5" w:rsidRPr="000E3F5A" w:rsidRDefault="002435A5" w:rsidP="002435A5">
            <w:pPr>
              <w:pStyle w:val="ListParagraph"/>
              <w:ind w:left="0"/>
              <w:contextualSpacing w:val="0"/>
              <w:jc w:val="center"/>
              <w:rPr>
                <w:rFonts w:cstheme="minorHAnsi"/>
              </w:rPr>
            </w:pPr>
            <w:r>
              <w:rPr>
                <w:rFonts w:ascii="Calibri" w:hAnsi="Calibri" w:cs="Calibri"/>
                <w:color w:val="000000"/>
              </w:rPr>
              <w:t>Occasional</w:t>
            </w:r>
          </w:p>
        </w:tc>
        <w:tc>
          <w:tcPr>
            <w:tcW w:w="1385" w:type="dxa"/>
            <w:vAlign w:val="center"/>
          </w:tcPr>
          <w:p w14:paraId="21B55CD6" w14:textId="5DAC6167" w:rsidR="002435A5" w:rsidRPr="000E3F5A" w:rsidRDefault="002435A5" w:rsidP="002435A5">
            <w:pPr>
              <w:pStyle w:val="ListParagraph"/>
              <w:ind w:left="0"/>
              <w:contextualSpacing w:val="0"/>
              <w:jc w:val="center"/>
              <w:rPr>
                <w:rFonts w:cstheme="minorHAnsi"/>
              </w:rPr>
            </w:pPr>
            <w:r w:rsidRPr="00345B5B">
              <w:rPr>
                <w:rFonts w:cstheme="minorHAnsi"/>
              </w:rPr>
              <w:t>Minor</w:t>
            </w:r>
          </w:p>
        </w:tc>
      </w:tr>
      <w:tr w:rsidR="002435A5" w:rsidRPr="000E3F5A" w14:paraId="2EEE2CC6" w14:textId="77777777" w:rsidTr="00026741">
        <w:trPr>
          <w:cantSplit/>
        </w:trPr>
        <w:tc>
          <w:tcPr>
            <w:tcW w:w="1349" w:type="dxa"/>
            <w:vMerge/>
            <w:vAlign w:val="center"/>
          </w:tcPr>
          <w:p w14:paraId="203B5F44" w14:textId="77777777" w:rsidR="002435A5" w:rsidRPr="000E3F5A" w:rsidRDefault="002435A5" w:rsidP="002435A5">
            <w:pPr>
              <w:pStyle w:val="ListParagraph"/>
              <w:ind w:left="0"/>
              <w:contextualSpacing w:val="0"/>
              <w:rPr>
                <w:rFonts w:cstheme="minorHAnsi"/>
              </w:rPr>
            </w:pPr>
          </w:p>
        </w:tc>
        <w:tc>
          <w:tcPr>
            <w:tcW w:w="5244" w:type="dxa"/>
            <w:vMerge/>
            <w:vAlign w:val="center"/>
          </w:tcPr>
          <w:p w14:paraId="20C288AD" w14:textId="77777777" w:rsidR="002435A5" w:rsidRPr="00D31706" w:rsidRDefault="002435A5" w:rsidP="002435A5">
            <w:pPr>
              <w:pStyle w:val="ListParagraph"/>
              <w:ind w:left="0"/>
              <w:contextualSpacing w:val="0"/>
              <w:rPr>
                <w:rFonts w:cstheme="minorHAnsi"/>
                <w:sz w:val="21"/>
                <w:szCs w:val="21"/>
              </w:rPr>
            </w:pPr>
          </w:p>
        </w:tc>
        <w:tc>
          <w:tcPr>
            <w:tcW w:w="1096" w:type="dxa"/>
            <w:vMerge/>
            <w:tcBorders>
              <w:top w:val="nil"/>
              <w:left w:val="nil"/>
              <w:bottom w:val="single" w:sz="8" w:space="0" w:color="auto"/>
              <w:right w:val="single" w:sz="8" w:space="0" w:color="auto"/>
            </w:tcBorders>
            <w:vAlign w:val="center"/>
          </w:tcPr>
          <w:p w14:paraId="62020793" w14:textId="77777777" w:rsidR="002435A5" w:rsidRPr="000E3F5A" w:rsidRDefault="002435A5" w:rsidP="002435A5">
            <w:pPr>
              <w:pStyle w:val="ListParagraph"/>
              <w:ind w:left="0"/>
              <w:contextualSpacing w:val="0"/>
              <w:jc w:val="center"/>
              <w:rPr>
                <w:rFonts w:cstheme="minorHAnsi"/>
              </w:rPr>
            </w:pPr>
          </w:p>
        </w:tc>
        <w:tc>
          <w:tcPr>
            <w:tcW w:w="1097" w:type="dxa"/>
            <w:vMerge/>
            <w:tcBorders>
              <w:top w:val="nil"/>
              <w:left w:val="nil"/>
              <w:bottom w:val="single" w:sz="8" w:space="0" w:color="auto"/>
              <w:right w:val="single" w:sz="8" w:space="0" w:color="auto"/>
            </w:tcBorders>
            <w:vAlign w:val="center"/>
          </w:tcPr>
          <w:p w14:paraId="02E96B1F" w14:textId="77777777" w:rsidR="002435A5" w:rsidRPr="000E3F5A" w:rsidRDefault="002435A5" w:rsidP="002435A5">
            <w:pPr>
              <w:pStyle w:val="ListParagraph"/>
              <w:ind w:left="0"/>
              <w:contextualSpacing w:val="0"/>
              <w:jc w:val="center"/>
              <w:rPr>
                <w:rFonts w:cstheme="minorHAnsi"/>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4FBF3A22" w14:textId="67A1BF5F" w:rsidR="002435A5" w:rsidRPr="000E3F5A" w:rsidRDefault="002435A5" w:rsidP="002435A5">
            <w:pPr>
              <w:pStyle w:val="ListParagraph"/>
              <w:ind w:left="0"/>
              <w:contextualSpacing w:val="0"/>
              <w:jc w:val="center"/>
              <w:rPr>
                <w:rFonts w:cstheme="minorHAnsi"/>
              </w:rPr>
            </w:pPr>
            <w:r>
              <w:rPr>
                <w:rFonts w:ascii="Calibri" w:hAnsi="Calibri" w:cs="Calibri"/>
                <w:color w:val="000000"/>
              </w:rPr>
              <w:t>Occasional</w:t>
            </w:r>
          </w:p>
        </w:tc>
        <w:tc>
          <w:tcPr>
            <w:tcW w:w="1385" w:type="dxa"/>
            <w:vAlign w:val="center"/>
          </w:tcPr>
          <w:p w14:paraId="76261B31" w14:textId="089A6C8D" w:rsidR="002435A5" w:rsidRPr="000E3F5A" w:rsidRDefault="002435A5" w:rsidP="002435A5">
            <w:pPr>
              <w:pStyle w:val="ListParagraph"/>
              <w:ind w:left="0"/>
              <w:contextualSpacing w:val="0"/>
              <w:jc w:val="center"/>
              <w:rPr>
                <w:rFonts w:cstheme="minorHAnsi"/>
              </w:rPr>
            </w:pPr>
            <w:r w:rsidRPr="00345B5B">
              <w:rPr>
                <w:rFonts w:cstheme="minorHAnsi"/>
              </w:rPr>
              <w:t>Serious / Major</w:t>
            </w:r>
          </w:p>
        </w:tc>
      </w:tr>
      <w:tr w:rsidR="002435A5" w:rsidRPr="000E3F5A" w14:paraId="1809BB00" w14:textId="77777777" w:rsidTr="00026741">
        <w:trPr>
          <w:cantSplit/>
          <w:trHeight w:val="576"/>
        </w:trPr>
        <w:tc>
          <w:tcPr>
            <w:tcW w:w="1349" w:type="dxa"/>
            <w:vMerge w:val="restart"/>
            <w:vAlign w:val="center"/>
          </w:tcPr>
          <w:p w14:paraId="02387915" w14:textId="77777777" w:rsidR="002435A5" w:rsidRPr="000E3F5A" w:rsidRDefault="002435A5" w:rsidP="002435A5">
            <w:pPr>
              <w:pStyle w:val="ListParagraph"/>
              <w:ind w:left="0"/>
              <w:contextualSpacing w:val="0"/>
              <w:rPr>
                <w:rFonts w:cstheme="minorHAnsi"/>
              </w:rPr>
            </w:pPr>
            <w:r w:rsidRPr="000E3F5A">
              <w:rPr>
                <w:rFonts w:cstheme="minorHAnsi"/>
              </w:rPr>
              <w:t xml:space="preserve">Heart attack, </w:t>
            </w:r>
            <w:r>
              <w:rPr>
                <w:rFonts w:cstheme="minorHAnsi"/>
              </w:rPr>
              <w:t>S</w:t>
            </w:r>
            <w:r w:rsidRPr="000E3F5A">
              <w:rPr>
                <w:rFonts w:cstheme="minorHAnsi"/>
              </w:rPr>
              <w:t>troke, Kidney injury</w:t>
            </w:r>
          </w:p>
        </w:tc>
        <w:tc>
          <w:tcPr>
            <w:tcW w:w="5244" w:type="dxa"/>
            <w:vMerge w:val="restart"/>
            <w:vAlign w:val="center"/>
          </w:tcPr>
          <w:p w14:paraId="24CA108D" w14:textId="77777777" w:rsidR="002435A5" w:rsidRPr="00D31706" w:rsidRDefault="002435A5" w:rsidP="002435A5">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Per board-certified Emergency Room physician for over 10 years.</w:t>
            </w:r>
          </w:p>
          <w:p w14:paraId="76E9A9F1" w14:textId="77777777" w:rsidR="002435A5" w:rsidRPr="00D31706" w:rsidRDefault="002435A5" w:rsidP="002435A5">
            <w:pPr>
              <w:pStyle w:val="ListParagraph"/>
              <w:ind w:left="0"/>
              <w:contextualSpacing w:val="0"/>
              <w:rPr>
                <w:rFonts w:cstheme="minorHAnsi"/>
                <w:sz w:val="21"/>
                <w:szCs w:val="21"/>
              </w:rPr>
            </w:pPr>
          </w:p>
          <w:p w14:paraId="7D296FA5"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39ACF8C4" w14:textId="77777777" w:rsidR="002435A5" w:rsidRDefault="002435A5" w:rsidP="002435A5">
            <w:pPr>
              <w:pStyle w:val="ListParagraph"/>
              <w:ind w:left="0"/>
              <w:contextualSpacing w:val="0"/>
              <w:rPr>
                <w:rFonts w:eastAsiaTheme="minorEastAsia" w:cstheme="minorHAnsi"/>
                <w:sz w:val="21"/>
                <w:szCs w:val="21"/>
              </w:rPr>
            </w:pPr>
          </w:p>
          <w:p w14:paraId="3BD0395E" w14:textId="6936141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m:t>
              </m:r>
              <m:r>
                <w:rPr>
                  <w:rFonts w:ascii="Cambria Math" w:eastAsiaTheme="minorEastAsia" w:hAnsi="Cambria Math" w:cstheme="minorHAnsi"/>
                  <w:sz w:val="21"/>
                  <w:szCs w:val="21"/>
                </w:rPr>
                <m:t>Improbable</m:t>
              </m:r>
            </m:oMath>
          </w:p>
          <w:p w14:paraId="3E358D89" w14:textId="4CD529E5"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m:t>
              </m:r>
              <m:r>
                <w:rPr>
                  <w:rFonts w:ascii="Cambria Math" w:eastAsiaTheme="minorEastAsia" w:hAnsi="Cambria Math" w:cstheme="minorHAnsi"/>
                  <w:sz w:val="21"/>
                  <w:szCs w:val="21"/>
                </w:rPr>
                <m:t>Improbable</m:t>
              </m:r>
            </m:oMath>
          </w:p>
          <w:p w14:paraId="5B32D8F8" w14:textId="10E39654" w:rsidR="002435A5" w:rsidRPr="00D31706" w:rsidRDefault="002435A5" w:rsidP="002435A5">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m:t>
              </m:r>
              <m:r>
                <w:rPr>
                  <w:rFonts w:ascii="Cambria Math" w:eastAsiaTheme="minorEastAsia" w:hAnsi="Cambria Math" w:cstheme="minorHAnsi"/>
                  <w:sz w:val="21"/>
                  <w:szCs w:val="21"/>
                </w:rPr>
                <m:t>Improbable</m:t>
              </m:r>
            </m:oMath>
          </w:p>
        </w:tc>
        <w:tc>
          <w:tcPr>
            <w:tcW w:w="1096" w:type="dxa"/>
            <w:tcBorders>
              <w:top w:val="nil"/>
              <w:left w:val="nil"/>
              <w:right w:val="single" w:sz="8" w:space="0" w:color="auto"/>
            </w:tcBorders>
            <w:vAlign w:val="center"/>
          </w:tcPr>
          <w:p w14:paraId="48BA8C6B" w14:textId="46580D13" w:rsidR="002435A5" w:rsidRPr="000E3F5A" w:rsidRDefault="002435A5" w:rsidP="002435A5">
            <w:pPr>
              <w:pStyle w:val="ListParagraph"/>
              <w:ind w:left="0"/>
              <w:contextualSpacing w:val="0"/>
              <w:jc w:val="center"/>
              <w:rPr>
                <w:rFonts w:cstheme="minorHAnsi"/>
              </w:rPr>
            </w:pPr>
            <w:r>
              <w:rPr>
                <w:rFonts w:eastAsia="Times New Roman"/>
              </w:rPr>
              <w:t>Often</w:t>
            </w:r>
          </w:p>
        </w:tc>
        <w:tc>
          <w:tcPr>
            <w:tcW w:w="1097" w:type="dxa"/>
            <w:tcBorders>
              <w:top w:val="nil"/>
              <w:left w:val="nil"/>
              <w:bottom w:val="single" w:sz="8" w:space="0" w:color="auto"/>
              <w:right w:val="single" w:sz="8" w:space="0" w:color="auto"/>
            </w:tcBorders>
            <w:vAlign w:val="center"/>
          </w:tcPr>
          <w:p w14:paraId="37A9B50C" w14:textId="36209162" w:rsidR="002435A5" w:rsidRPr="000E3F5A" w:rsidRDefault="002435A5" w:rsidP="002435A5">
            <w:pPr>
              <w:pStyle w:val="ListParagraph"/>
              <w:ind w:left="0"/>
              <w:contextualSpacing w:val="0"/>
              <w:jc w:val="center"/>
              <w:rPr>
                <w:rFonts w:cstheme="minorHAnsi"/>
              </w:rPr>
            </w:pPr>
            <w:r>
              <w:rPr>
                <w:rFonts w:eastAsia="Times New Roman"/>
              </w:rPr>
              <w:t>Often</w:t>
            </w:r>
          </w:p>
        </w:tc>
        <w:tc>
          <w:tcPr>
            <w:tcW w:w="1097" w:type="dxa"/>
            <w:tcBorders>
              <w:top w:val="nil"/>
              <w:left w:val="single" w:sz="4" w:space="0" w:color="auto"/>
              <w:bottom w:val="single" w:sz="4" w:space="0" w:color="auto"/>
              <w:right w:val="single" w:sz="4" w:space="0" w:color="auto"/>
            </w:tcBorders>
            <w:shd w:val="clear" w:color="auto" w:fill="auto"/>
            <w:vAlign w:val="center"/>
          </w:tcPr>
          <w:p w14:paraId="04934E7A" w14:textId="457E9D9B" w:rsidR="002435A5" w:rsidRPr="000E3F5A" w:rsidRDefault="002435A5" w:rsidP="002435A5">
            <w:pPr>
              <w:pStyle w:val="ListParagraph"/>
              <w:ind w:left="0"/>
              <w:contextualSpacing w:val="0"/>
              <w:jc w:val="center"/>
              <w:rPr>
                <w:rFonts w:cstheme="minorHAnsi"/>
              </w:rPr>
            </w:pPr>
            <w:r>
              <w:rPr>
                <w:rFonts w:ascii="Calibri" w:hAnsi="Calibri" w:cs="Calibri"/>
                <w:color w:val="000000"/>
              </w:rPr>
              <w:t>Improbable</w:t>
            </w:r>
          </w:p>
        </w:tc>
        <w:tc>
          <w:tcPr>
            <w:tcW w:w="1385" w:type="dxa"/>
            <w:vAlign w:val="center"/>
          </w:tcPr>
          <w:p w14:paraId="22364BE1" w14:textId="028E5E51" w:rsidR="002435A5" w:rsidRPr="000E3F5A" w:rsidRDefault="002435A5" w:rsidP="002435A5">
            <w:pPr>
              <w:pStyle w:val="ListParagraph"/>
              <w:ind w:left="0"/>
              <w:contextualSpacing w:val="0"/>
              <w:jc w:val="center"/>
              <w:rPr>
                <w:rFonts w:cstheme="minorHAnsi"/>
              </w:rPr>
            </w:pPr>
            <w:r w:rsidRPr="001B1A9A">
              <w:rPr>
                <w:rFonts w:cstheme="minorHAnsi"/>
              </w:rPr>
              <w:t>Catastrophic / Fatal</w:t>
            </w:r>
          </w:p>
        </w:tc>
      </w:tr>
      <w:tr w:rsidR="002435A5" w:rsidRPr="000E3F5A" w14:paraId="667F2B6F" w14:textId="77777777" w:rsidTr="00026741">
        <w:trPr>
          <w:cantSplit/>
          <w:trHeight w:val="576"/>
        </w:trPr>
        <w:tc>
          <w:tcPr>
            <w:tcW w:w="1349" w:type="dxa"/>
            <w:vMerge/>
            <w:vAlign w:val="center"/>
          </w:tcPr>
          <w:p w14:paraId="4857B4AF" w14:textId="77777777" w:rsidR="002435A5" w:rsidRPr="000E3F5A" w:rsidRDefault="002435A5" w:rsidP="002435A5">
            <w:pPr>
              <w:pStyle w:val="ListParagraph"/>
              <w:ind w:left="0"/>
              <w:contextualSpacing w:val="0"/>
              <w:rPr>
                <w:rFonts w:cstheme="minorHAnsi"/>
              </w:rPr>
            </w:pPr>
          </w:p>
        </w:tc>
        <w:tc>
          <w:tcPr>
            <w:tcW w:w="5244" w:type="dxa"/>
            <w:vMerge/>
            <w:vAlign w:val="center"/>
          </w:tcPr>
          <w:p w14:paraId="67BB7490" w14:textId="77777777" w:rsidR="002435A5" w:rsidRPr="00D31706" w:rsidRDefault="002435A5" w:rsidP="002435A5">
            <w:pPr>
              <w:pStyle w:val="ListParagraph"/>
              <w:ind w:left="0"/>
              <w:contextualSpacing w:val="0"/>
              <w:rPr>
                <w:rFonts w:cstheme="minorHAnsi"/>
                <w:sz w:val="21"/>
                <w:szCs w:val="21"/>
              </w:rPr>
            </w:pPr>
          </w:p>
        </w:tc>
        <w:tc>
          <w:tcPr>
            <w:tcW w:w="1096" w:type="dxa"/>
            <w:tcBorders>
              <w:left w:val="nil"/>
              <w:right w:val="single" w:sz="8" w:space="0" w:color="auto"/>
            </w:tcBorders>
            <w:vAlign w:val="center"/>
          </w:tcPr>
          <w:p w14:paraId="1D73B419" w14:textId="643DA389" w:rsidR="002435A5" w:rsidRPr="000E3F5A" w:rsidRDefault="002435A5" w:rsidP="002435A5">
            <w:pPr>
              <w:pStyle w:val="ListParagraph"/>
              <w:ind w:left="0"/>
              <w:contextualSpacing w:val="0"/>
              <w:jc w:val="center"/>
              <w:rPr>
                <w:rFonts w:cstheme="minorHAnsi"/>
              </w:rPr>
            </w:pPr>
            <w:r>
              <w:rPr>
                <w:rFonts w:eastAsia="Times New Roman"/>
              </w:rPr>
              <w:t>Often</w:t>
            </w:r>
          </w:p>
        </w:tc>
        <w:tc>
          <w:tcPr>
            <w:tcW w:w="1097" w:type="dxa"/>
            <w:tcBorders>
              <w:top w:val="nil"/>
              <w:left w:val="nil"/>
              <w:bottom w:val="single" w:sz="8" w:space="0" w:color="auto"/>
              <w:right w:val="single" w:sz="8" w:space="0" w:color="auto"/>
            </w:tcBorders>
            <w:vAlign w:val="center"/>
          </w:tcPr>
          <w:p w14:paraId="7AD0D940" w14:textId="40E46220" w:rsidR="002435A5" w:rsidRPr="000E3F5A" w:rsidRDefault="002435A5" w:rsidP="002435A5">
            <w:pPr>
              <w:pStyle w:val="ListParagraph"/>
              <w:ind w:left="0"/>
              <w:contextualSpacing w:val="0"/>
              <w:jc w:val="center"/>
              <w:rPr>
                <w:rFonts w:cstheme="minorHAnsi"/>
              </w:rPr>
            </w:pPr>
            <w:r>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392B78F7" w14:textId="7D4A6590" w:rsidR="002435A5" w:rsidRPr="000E3F5A" w:rsidRDefault="002435A5" w:rsidP="002435A5">
            <w:pPr>
              <w:pStyle w:val="ListParagraph"/>
              <w:ind w:left="0"/>
              <w:contextualSpacing w:val="0"/>
              <w:jc w:val="center"/>
              <w:rPr>
                <w:rFonts w:cstheme="minorHAnsi"/>
              </w:rPr>
            </w:pPr>
            <w:r>
              <w:rPr>
                <w:rFonts w:ascii="Calibri" w:hAnsi="Calibri" w:cs="Calibri"/>
                <w:color w:val="000000"/>
              </w:rPr>
              <w:t>Improbable</w:t>
            </w:r>
          </w:p>
        </w:tc>
        <w:tc>
          <w:tcPr>
            <w:tcW w:w="1385" w:type="dxa"/>
            <w:vAlign w:val="center"/>
          </w:tcPr>
          <w:p w14:paraId="53CC7A5D" w14:textId="74AA1554" w:rsidR="002435A5" w:rsidRPr="000E3F5A" w:rsidRDefault="002435A5" w:rsidP="002435A5">
            <w:pPr>
              <w:pStyle w:val="ListParagraph"/>
              <w:ind w:left="0"/>
              <w:contextualSpacing w:val="0"/>
              <w:jc w:val="center"/>
              <w:rPr>
                <w:rFonts w:cstheme="minorHAnsi"/>
              </w:rPr>
            </w:pPr>
            <w:r w:rsidRPr="001B1A9A">
              <w:rPr>
                <w:rFonts w:cstheme="minorHAnsi"/>
              </w:rPr>
              <w:t>Critical</w:t>
            </w:r>
          </w:p>
        </w:tc>
      </w:tr>
      <w:tr w:rsidR="002435A5" w:rsidRPr="000E3F5A" w14:paraId="49CF584E" w14:textId="77777777" w:rsidTr="00026741">
        <w:trPr>
          <w:cantSplit/>
          <w:trHeight w:val="576"/>
        </w:trPr>
        <w:tc>
          <w:tcPr>
            <w:tcW w:w="1349" w:type="dxa"/>
            <w:vMerge/>
            <w:vAlign w:val="center"/>
          </w:tcPr>
          <w:p w14:paraId="37B21F83" w14:textId="77777777" w:rsidR="002435A5" w:rsidRPr="000E3F5A" w:rsidRDefault="002435A5" w:rsidP="002435A5">
            <w:pPr>
              <w:pStyle w:val="ListParagraph"/>
              <w:ind w:left="0"/>
              <w:contextualSpacing w:val="0"/>
              <w:rPr>
                <w:rFonts w:cstheme="minorHAnsi"/>
              </w:rPr>
            </w:pPr>
          </w:p>
        </w:tc>
        <w:tc>
          <w:tcPr>
            <w:tcW w:w="5244" w:type="dxa"/>
            <w:vMerge/>
            <w:vAlign w:val="center"/>
          </w:tcPr>
          <w:p w14:paraId="476FA46E" w14:textId="77777777" w:rsidR="002435A5" w:rsidRPr="00D31706" w:rsidRDefault="002435A5" w:rsidP="002435A5">
            <w:pPr>
              <w:pStyle w:val="ListParagraph"/>
              <w:ind w:left="0"/>
              <w:contextualSpacing w:val="0"/>
              <w:rPr>
                <w:rFonts w:cstheme="minorHAnsi"/>
                <w:sz w:val="21"/>
                <w:szCs w:val="21"/>
              </w:rPr>
            </w:pPr>
          </w:p>
        </w:tc>
        <w:tc>
          <w:tcPr>
            <w:tcW w:w="1096" w:type="dxa"/>
            <w:tcBorders>
              <w:left w:val="nil"/>
              <w:bottom w:val="single" w:sz="8" w:space="0" w:color="auto"/>
              <w:right w:val="single" w:sz="8" w:space="0" w:color="auto"/>
            </w:tcBorders>
            <w:vAlign w:val="center"/>
          </w:tcPr>
          <w:p w14:paraId="2103E083" w14:textId="1222E94A" w:rsidR="002435A5" w:rsidRPr="000E3F5A" w:rsidRDefault="002435A5" w:rsidP="002435A5">
            <w:pPr>
              <w:pStyle w:val="ListParagraph"/>
              <w:ind w:left="0"/>
              <w:contextualSpacing w:val="0"/>
              <w:jc w:val="center"/>
              <w:rPr>
                <w:rFonts w:cstheme="minorHAnsi"/>
              </w:rPr>
            </w:pPr>
            <w:r>
              <w:rPr>
                <w:rFonts w:eastAsia="Times New Roman"/>
              </w:rPr>
              <w:t>Expected</w:t>
            </w:r>
          </w:p>
        </w:tc>
        <w:tc>
          <w:tcPr>
            <w:tcW w:w="1097" w:type="dxa"/>
            <w:tcBorders>
              <w:top w:val="nil"/>
              <w:left w:val="nil"/>
              <w:bottom w:val="single" w:sz="8" w:space="0" w:color="auto"/>
              <w:right w:val="single" w:sz="8" w:space="0" w:color="auto"/>
            </w:tcBorders>
            <w:vAlign w:val="center"/>
          </w:tcPr>
          <w:p w14:paraId="2CC8BF2F" w14:textId="5919E0B3" w:rsidR="002435A5" w:rsidRPr="000E3F5A" w:rsidRDefault="002435A5" w:rsidP="002435A5">
            <w:pPr>
              <w:pStyle w:val="ListParagraph"/>
              <w:ind w:left="0"/>
              <w:contextualSpacing w:val="0"/>
              <w:jc w:val="center"/>
              <w:rPr>
                <w:rFonts w:cstheme="minorHAnsi"/>
              </w:rPr>
            </w:pPr>
            <w:r>
              <w:rPr>
                <w:rFonts w:eastAsia="Times New Roman"/>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2C5B2D64" w14:textId="3EA5B615" w:rsidR="002435A5" w:rsidRPr="000E3F5A" w:rsidRDefault="002435A5" w:rsidP="002435A5">
            <w:pPr>
              <w:pStyle w:val="ListParagraph"/>
              <w:ind w:left="0"/>
              <w:contextualSpacing w:val="0"/>
              <w:jc w:val="center"/>
              <w:rPr>
                <w:rFonts w:cstheme="minorHAnsi"/>
              </w:rPr>
            </w:pPr>
            <w:r>
              <w:rPr>
                <w:rFonts w:ascii="Calibri" w:hAnsi="Calibri" w:cs="Calibri"/>
                <w:color w:val="000000"/>
              </w:rPr>
              <w:t>Improbable</w:t>
            </w:r>
          </w:p>
        </w:tc>
        <w:tc>
          <w:tcPr>
            <w:tcW w:w="1385" w:type="dxa"/>
            <w:vAlign w:val="center"/>
          </w:tcPr>
          <w:p w14:paraId="40E91B76" w14:textId="45745956" w:rsidR="002435A5" w:rsidRPr="000E3F5A" w:rsidRDefault="002435A5" w:rsidP="002435A5">
            <w:pPr>
              <w:pStyle w:val="ListParagraph"/>
              <w:ind w:left="0"/>
              <w:contextualSpacing w:val="0"/>
              <w:jc w:val="center"/>
              <w:rPr>
                <w:rFonts w:cstheme="minorHAnsi"/>
              </w:rPr>
            </w:pPr>
            <w:r w:rsidRPr="001B1A9A">
              <w:rPr>
                <w:rFonts w:cstheme="minorHAnsi"/>
              </w:rPr>
              <w:t>Serious / Major</w:t>
            </w:r>
          </w:p>
        </w:tc>
      </w:tr>
      <w:tr w:rsidR="002435A5" w:rsidRPr="000E3F5A" w14:paraId="12525C7B" w14:textId="77777777" w:rsidTr="00026741">
        <w:trPr>
          <w:cantSplit/>
        </w:trPr>
        <w:tc>
          <w:tcPr>
            <w:tcW w:w="1349" w:type="dxa"/>
            <w:vAlign w:val="center"/>
          </w:tcPr>
          <w:p w14:paraId="327B8B64" w14:textId="77777777" w:rsidR="002435A5" w:rsidRPr="000E3F5A" w:rsidRDefault="002435A5" w:rsidP="002435A5">
            <w:pPr>
              <w:pStyle w:val="ListParagraph"/>
              <w:ind w:left="0"/>
              <w:contextualSpacing w:val="0"/>
              <w:rPr>
                <w:rFonts w:cstheme="minorHAnsi"/>
              </w:rPr>
            </w:pPr>
            <w:r w:rsidRPr="000E3F5A">
              <w:rPr>
                <w:rFonts w:cstheme="minorHAnsi"/>
              </w:rPr>
              <w:lastRenderedPageBreak/>
              <w:t>Esophageal Varices</w:t>
            </w:r>
          </w:p>
        </w:tc>
        <w:tc>
          <w:tcPr>
            <w:tcW w:w="5244" w:type="dxa"/>
            <w:vAlign w:val="center"/>
          </w:tcPr>
          <w:p w14:paraId="1C60CBF7"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Pr>
                <w:rFonts w:eastAsiaTheme="minorEastAsia" w:cstheme="minorHAnsi"/>
                <w:sz w:val="21"/>
                <w:szCs w:val="21"/>
              </w:rPr>
              <w:t xml:space="preserve"> Per references from the board-certified Emergency Room physician for over 10 years: </w:t>
            </w:r>
          </w:p>
          <w:p w14:paraId="487D8052" w14:textId="77777777" w:rsidR="002435A5" w:rsidRDefault="002435A5" w:rsidP="002435A5">
            <w:pPr>
              <w:pStyle w:val="ListParagraph"/>
              <w:ind w:left="0"/>
              <w:contextualSpacing w:val="0"/>
              <w:rPr>
                <w:rFonts w:eastAsiaTheme="minorEastAsia" w:cstheme="minorHAnsi"/>
                <w:sz w:val="21"/>
                <w:szCs w:val="21"/>
              </w:rPr>
            </w:pPr>
            <w:r>
              <w:rPr>
                <w:rFonts w:eastAsiaTheme="minorEastAsia" w:cstheme="minorHAnsi"/>
                <w:sz w:val="21"/>
                <w:szCs w:val="21"/>
              </w:rPr>
              <w:t xml:space="preserve">Between 1966 and 2013, there have been 50 cases of Esophageal Varices triggered by transfusions. </w:t>
            </w:r>
          </w:p>
          <w:p w14:paraId="11B0AF78" w14:textId="77777777" w:rsidR="002435A5" w:rsidRDefault="002435A5" w:rsidP="002435A5">
            <w:pPr>
              <w:pStyle w:val="ListParagraph"/>
              <w:ind w:left="0"/>
              <w:contextualSpacing w:val="0"/>
              <w:rPr>
                <w:rFonts w:eastAsiaTheme="minorEastAsia" w:cstheme="minorHAnsi"/>
                <w:sz w:val="21"/>
                <w:szCs w:val="21"/>
              </w:rPr>
            </w:pPr>
            <w:r>
              <w:rPr>
                <w:rFonts w:eastAsiaTheme="minorEastAsia" w:cstheme="minorHAnsi"/>
                <w:sz w:val="21"/>
                <w:szCs w:val="21"/>
              </w:rPr>
              <w:t>Per the Red Cross, there are 29,000 transfusions per day, or 10,585,000 transfusions per year.</w:t>
            </w:r>
          </w:p>
          <w:p w14:paraId="424854BA" w14:textId="77777777" w:rsidR="002435A5" w:rsidRPr="00D31706" w:rsidRDefault="002435A5" w:rsidP="002435A5">
            <w:pPr>
              <w:pStyle w:val="ListParagraph"/>
              <w:ind w:left="0"/>
              <w:contextualSpacing w:val="0"/>
              <w:rPr>
                <w:rFonts w:cstheme="minorHAnsi"/>
                <w:sz w:val="21"/>
                <w:szCs w:val="21"/>
              </w:rPr>
            </w:pPr>
            <w:r>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Pr>
                <w:rFonts w:eastAsiaTheme="minorEastAsia" w:cstheme="minorHAnsi"/>
                <w:sz w:val="21"/>
                <w:szCs w:val="21"/>
              </w:rPr>
              <w:t xml:space="preserve"> = Improbable</w:t>
            </w:r>
          </w:p>
          <w:p w14:paraId="6BE73E02" w14:textId="77777777" w:rsidR="002435A5" w:rsidRPr="00D31706" w:rsidRDefault="002435A5" w:rsidP="002435A5">
            <w:pPr>
              <w:pStyle w:val="ListParagraph"/>
              <w:ind w:left="0"/>
              <w:contextualSpacing w:val="0"/>
              <w:rPr>
                <w:rFonts w:cstheme="minorHAnsi"/>
                <w:sz w:val="21"/>
                <w:szCs w:val="21"/>
              </w:rPr>
            </w:pPr>
          </w:p>
          <w:p w14:paraId="2142B5C9" w14:textId="77777777" w:rsidR="002435A5" w:rsidRDefault="002435A5" w:rsidP="002435A5">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w:t>
            </w:r>
            <w:r>
              <w:rPr>
                <w:rFonts w:eastAsiaTheme="minorEastAsia" w:cstheme="minorHAnsi"/>
                <w:sz w:val="21"/>
                <w:szCs w:val="21"/>
              </w:rPr>
              <w:t xml:space="preserve">  Per board-certified Emergency Room physician for over 10 years. </w:t>
            </w:r>
            <w:r w:rsidRPr="00DD7103">
              <w:rPr>
                <w:rFonts w:eastAsiaTheme="minorEastAsia" w:cstheme="minorHAnsi"/>
                <w:sz w:val="21"/>
                <w:szCs w:val="21"/>
              </w:rPr>
              <w:t xml:space="preserve"> </w:t>
            </w:r>
          </w:p>
          <w:p w14:paraId="17449898" w14:textId="77777777" w:rsidR="002435A5" w:rsidRDefault="002435A5" w:rsidP="002435A5">
            <w:pPr>
              <w:pStyle w:val="ListParagraph"/>
              <w:ind w:left="0"/>
              <w:contextualSpacing w:val="0"/>
              <w:rPr>
                <w:rFonts w:eastAsiaTheme="minorEastAsia" w:cstheme="minorHAnsi"/>
                <w:sz w:val="21"/>
                <w:szCs w:val="21"/>
              </w:rPr>
            </w:pPr>
          </w:p>
          <w:p w14:paraId="4CD503DC" w14:textId="4D5F9882" w:rsidR="002435A5" w:rsidRPr="00D31706" w:rsidRDefault="002435A5" w:rsidP="002435A5">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m:t>
                      </m:r>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m:t>
              </m:r>
              <m:r>
                <w:rPr>
                  <w:rFonts w:ascii="Cambria Math" w:eastAsiaTheme="minorEastAsia" w:hAnsi="Cambria Math" w:cstheme="minorHAnsi"/>
                  <w:sz w:val="21"/>
                  <w:szCs w:val="21"/>
                </w:rPr>
                <m:t>Improbable</m:t>
              </m:r>
            </m:oMath>
          </w:p>
        </w:tc>
        <w:tc>
          <w:tcPr>
            <w:tcW w:w="1096" w:type="dxa"/>
            <w:tcBorders>
              <w:top w:val="nil"/>
              <w:left w:val="nil"/>
              <w:bottom w:val="single" w:sz="8" w:space="0" w:color="auto"/>
              <w:right w:val="single" w:sz="8" w:space="0" w:color="auto"/>
            </w:tcBorders>
            <w:vAlign w:val="center"/>
          </w:tcPr>
          <w:p w14:paraId="2301DB47" w14:textId="14AFC110" w:rsidR="002435A5" w:rsidRPr="000E3F5A" w:rsidRDefault="0046541F" w:rsidP="002435A5">
            <w:pPr>
              <w:pStyle w:val="ListParagraph"/>
              <w:ind w:left="0"/>
              <w:contextualSpacing w:val="0"/>
              <w:jc w:val="center"/>
              <w:rPr>
                <w:rFonts w:cstheme="minorHAnsi"/>
              </w:rPr>
            </w:pPr>
            <w:r>
              <w:rPr>
                <w:rFonts w:cstheme="minorHAnsi"/>
              </w:rPr>
              <w:t>Improbable</w:t>
            </w:r>
          </w:p>
        </w:tc>
        <w:tc>
          <w:tcPr>
            <w:tcW w:w="1097" w:type="dxa"/>
            <w:tcBorders>
              <w:top w:val="nil"/>
              <w:left w:val="nil"/>
              <w:bottom w:val="single" w:sz="8" w:space="0" w:color="auto"/>
              <w:right w:val="single" w:sz="8" w:space="0" w:color="auto"/>
            </w:tcBorders>
            <w:vAlign w:val="center"/>
          </w:tcPr>
          <w:p w14:paraId="1945E9CB" w14:textId="764DA808" w:rsidR="002435A5" w:rsidRPr="000E3F5A" w:rsidRDefault="0046541F" w:rsidP="002435A5">
            <w:pPr>
              <w:pStyle w:val="ListParagraph"/>
              <w:ind w:left="0"/>
              <w:contextualSpacing w:val="0"/>
              <w:jc w:val="center"/>
              <w:rPr>
                <w:rFonts w:cstheme="minorHAnsi"/>
              </w:rPr>
            </w:pPr>
            <w:r>
              <w:rPr>
                <w:rFonts w:cstheme="minorHAnsi"/>
              </w:rPr>
              <w:t>Expected</w:t>
            </w:r>
          </w:p>
        </w:tc>
        <w:tc>
          <w:tcPr>
            <w:tcW w:w="1097" w:type="dxa"/>
            <w:tcBorders>
              <w:top w:val="nil"/>
              <w:left w:val="single" w:sz="4" w:space="0" w:color="auto"/>
              <w:bottom w:val="single" w:sz="4" w:space="0" w:color="auto"/>
              <w:right w:val="single" w:sz="4" w:space="0" w:color="auto"/>
            </w:tcBorders>
            <w:shd w:val="clear" w:color="auto" w:fill="auto"/>
            <w:vAlign w:val="center"/>
          </w:tcPr>
          <w:p w14:paraId="2A26D0A9" w14:textId="1F178F3A" w:rsidR="002435A5" w:rsidRPr="000E3F5A" w:rsidRDefault="002435A5" w:rsidP="002435A5">
            <w:pPr>
              <w:pStyle w:val="ListParagraph"/>
              <w:ind w:left="0"/>
              <w:contextualSpacing w:val="0"/>
              <w:jc w:val="center"/>
              <w:rPr>
                <w:rFonts w:cstheme="minorHAnsi"/>
              </w:rPr>
            </w:pPr>
            <w:r>
              <w:rPr>
                <w:rFonts w:ascii="Calibri" w:hAnsi="Calibri" w:cs="Calibri"/>
                <w:color w:val="000000"/>
              </w:rPr>
              <w:t>Improbable</w:t>
            </w:r>
          </w:p>
        </w:tc>
        <w:tc>
          <w:tcPr>
            <w:tcW w:w="1385" w:type="dxa"/>
            <w:vAlign w:val="center"/>
          </w:tcPr>
          <w:p w14:paraId="2E1FBAEA" w14:textId="738B7BE7" w:rsidR="002435A5" w:rsidRPr="000E3F5A" w:rsidRDefault="002435A5" w:rsidP="002435A5">
            <w:pPr>
              <w:pStyle w:val="ListParagraph"/>
              <w:ind w:left="0"/>
              <w:contextualSpacing w:val="0"/>
              <w:jc w:val="center"/>
              <w:rPr>
                <w:rFonts w:cstheme="minorHAnsi"/>
              </w:rPr>
            </w:pPr>
            <w:r>
              <w:rPr>
                <w:rFonts w:cstheme="minorHAnsi"/>
              </w:rPr>
              <w:t>Catastrophic / Fatal</w:t>
            </w:r>
          </w:p>
        </w:tc>
      </w:tr>
    </w:tbl>
    <w:p w14:paraId="72427D31" w14:textId="77777777" w:rsidR="001E2072" w:rsidRDefault="001E2072" w:rsidP="001E2072">
      <w:pPr>
        <w:pStyle w:val="ListParagraph"/>
        <w:ind w:left="1584"/>
        <w:contextualSpacing w:val="0"/>
        <w:rPr>
          <w:rFonts w:eastAsiaTheme="minorEastAsia"/>
        </w:rPr>
      </w:pPr>
    </w:p>
    <w:p w14:paraId="6776529A" w14:textId="77777777" w:rsidR="001639C0" w:rsidRPr="00C45E04" w:rsidRDefault="001639C0">
      <w:pPr>
        <w:pStyle w:val="ListParagraph"/>
        <w:numPr>
          <w:ilvl w:val="2"/>
          <w:numId w:val="13"/>
        </w:numPr>
        <w:rPr>
          <w:rFonts w:cstheme="minorHAnsi"/>
        </w:rPr>
      </w:pPr>
      <w:r>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F60A9B" w14:paraId="1FDA6A37" w14:textId="77777777" w:rsidTr="00024DD9">
        <w:trPr>
          <w:cantSplit/>
          <w:tblHeader/>
          <w:jc w:val="center"/>
        </w:trPr>
        <w:tc>
          <w:tcPr>
            <w:tcW w:w="0" w:type="auto"/>
            <w:tcBorders>
              <w:top w:val="nil"/>
              <w:left w:val="nil"/>
              <w:bottom w:val="single" w:sz="4" w:space="0" w:color="auto"/>
            </w:tcBorders>
          </w:tcPr>
          <w:p w14:paraId="414BDB27" w14:textId="77777777" w:rsidR="001639C0"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6232EA7" w14:textId="77777777" w:rsidR="001639C0" w:rsidRPr="005B7BEE" w:rsidRDefault="001639C0" w:rsidP="00024DD9">
            <w:pPr>
              <w:jc w:val="center"/>
              <w:rPr>
                <w:sz w:val="14"/>
                <w:szCs w:val="14"/>
              </w:rPr>
            </w:pPr>
            <w:r w:rsidRPr="005B7BEE">
              <w:rPr>
                <w:sz w:val="14"/>
                <w:szCs w:val="14"/>
              </w:rPr>
              <w:t>Negligible</w:t>
            </w:r>
          </w:p>
          <w:p w14:paraId="5EC17B15" w14:textId="77777777" w:rsidR="001639C0" w:rsidRPr="005B7BEE" w:rsidRDefault="001639C0" w:rsidP="00024DD9">
            <w:pPr>
              <w:jc w:val="center"/>
              <w:rPr>
                <w:sz w:val="14"/>
                <w:szCs w:val="14"/>
              </w:rPr>
            </w:pPr>
          </w:p>
        </w:tc>
        <w:tc>
          <w:tcPr>
            <w:tcW w:w="0" w:type="auto"/>
            <w:tcBorders>
              <w:top w:val="single" w:sz="4" w:space="0" w:color="auto"/>
              <w:bottom w:val="single" w:sz="12" w:space="0" w:color="auto"/>
            </w:tcBorders>
            <w:vAlign w:val="center"/>
          </w:tcPr>
          <w:p w14:paraId="3F9BBA3B" w14:textId="77777777" w:rsidR="001639C0" w:rsidRPr="005B7BEE" w:rsidRDefault="001639C0"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4444EF6" w14:textId="77777777" w:rsidR="001639C0" w:rsidRPr="005B7BEE" w:rsidRDefault="001639C0" w:rsidP="00024DD9">
            <w:pPr>
              <w:jc w:val="center"/>
              <w:rPr>
                <w:sz w:val="14"/>
                <w:szCs w:val="14"/>
              </w:rPr>
            </w:pPr>
            <w:r w:rsidRPr="005B7BEE">
              <w:rPr>
                <w:sz w:val="14"/>
                <w:szCs w:val="14"/>
              </w:rPr>
              <w:t xml:space="preserve">Serious / </w:t>
            </w:r>
          </w:p>
          <w:p w14:paraId="5B9611ED" w14:textId="77777777" w:rsidR="001639C0" w:rsidRPr="005B7BEE" w:rsidRDefault="001639C0" w:rsidP="00024DD9">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273A93C8" w14:textId="77777777" w:rsidR="001639C0" w:rsidRPr="005B7BEE" w:rsidRDefault="001639C0"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D441B9A" w14:textId="77777777" w:rsidR="001639C0" w:rsidRPr="005B7BEE" w:rsidRDefault="001639C0" w:rsidP="00024DD9">
            <w:pPr>
              <w:jc w:val="center"/>
              <w:rPr>
                <w:sz w:val="14"/>
                <w:szCs w:val="14"/>
              </w:rPr>
            </w:pPr>
            <w:r w:rsidRPr="005B7BEE">
              <w:rPr>
                <w:sz w:val="14"/>
                <w:szCs w:val="14"/>
              </w:rPr>
              <w:t xml:space="preserve">Catastrophic </w:t>
            </w:r>
          </w:p>
          <w:p w14:paraId="08E3A26A" w14:textId="77777777" w:rsidR="001639C0" w:rsidRPr="005B7BEE" w:rsidRDefault="001639C0" w:rsidP="00024DD9">
            <w:pPr>
              <w:jc w:val="center"/>
              <w:rPr>
                <w:sz w:val="14"/>
                <w:szCs w:val="14"/>
              </w:rPr>
            </w:pPr>
            <w:r w:rsidRPr="005B7BEE">
              <w:rPr>
                <w:sz w:val="14"/>
                <w:szCs w:val="14"/>
              </w:rPr>
              <w:t>/ Fatal</w:t>
            </w:r>
          </w:p>
        </w:tc>
      </w:tr>
      <w:tr w:rsidR="00A124D6" w:rsidRPr="00F60A9B" w14:paraId="28FF6E34" w14:textId="77777777" w:rsidTr="00506FF5">
        <w:trPr>
          <w:cantSplit/>
          <w:jc w:val="center"/>
        </w:trPr>
        <w:tc>
          <w:tcPr>
            <w:tcW w:w="0" w:type="auto"/>
            <w:tcBorders>
              <w:top w:val="single" w:sz="4" w:space="0" w:color="auto"/>
              <w:right w:val="single" w:sz="12" w:space="0" w:color="auto"/>
            </w:tcBorders>
          </w:tcPr>
          <w:p w14:paraId="1929922E" w14:textId="77777777" w:rsidR="00A124D6" w:rsidRPr="005B7BEE" w:rsidRDefault="00A124D6" w:rsidP="00A124D6">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AD9AC26" w14:textId="0542653E" w:rsidR="00A124D6" w:rsidRPr="00F60A9B" w:rsidRDefault="00A124D6" w:rsidP="00A124D6">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BAE2BE9" w14:textId="342E9EAB" w:rsidR="00A124D6" w:rsidRPr="00210DD1" w:rsidRDefault="00A124D6" w:rsidP="00A124D6">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3D75819" w14:textId="70F7ADD7" w:rsidR="00A124D6" w:rsidRPr="00210DD1" w:rsidRDefault="00A124D6" w:rsidP="00A124D6">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75B7161" w14:textId="51844FC1" w:rsidR="00A124D6" w:rsidRPr="00210DD1" w:rsidRDefault="00A124D6" w:rsidP="00A124D6">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2A1955DB" w14:textId="4F5D7CF4" w:rsidR="00A124D6" w:rsidRPr="00F60A9B" w:rsidRDefault="00A124D6" w:rsidP="00A124D6">
            <w:pPr>
              <w:jc w:val="center"/>
            </w:pPr>
            <w:r>
              <w:rPr>
                <w:rFonts w:ascii="Calibri" w:hAnsi="Calibri" w:cs="Calibri"/>
                <w:color w:val="000000"/>
              </w:rPr>
              <w:t>0</w:t>
            </w:r>
          </w:p>
        </w:tc>
      </w:tr>
      <w:tr w:rsidR="00A124D6" w:rsidRPr="00F60A9B" w14:paraId="728CF3C2" w14:textId="77777777" w:rsidTr="00506FF5">
        <w:trPr>
          <w:cantSplit/>
          <w:jc w:val="center"/>
        </w:trPr>
        <w:tc>
          <w:tcPr>
            <w:tcW w:w="0" w:type="auto"/>
            <w:tcBorders>
              <w:right w:val="single" w:sz="12" w:space="0" w:color="auto"/>
            </w:tcBorders>
          </w:tcPr>
          <w:p w14:paraId="6A338AD8" w14:textId="77777777" w:rsidR="00A124D6" w:rsidRPr="005B7BEE" w:rsidRDefault="00A124D6" w:rsidP="00A124D6">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6626505" w14:textId="2E395665" w:rsidR="00A124D6"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CA67E1" w14:textId="640872A8"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AFFEE44" w14:textId="7337BAF7"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7648423" w14:textId="45B093E2"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62E1FF6" w14:textId="2DE7D96B" w:rsidR="00A124D6" w:rsidRDefault="00A124D6" w:rsidP="00A124D6">
            <w:pPr>
              <w:jc w:val="center"/>
            </w:pPr>
            <w:r>
              <w:rPr>
                <w:rFonts w:ascii="Calibri" w:hAnsi="Calibri" w:cs="Calibri"/>
                <w:color w:val="000000"/>
              </w:rPr>
              <w:t>0</w:t>
            </w:r>
          </w:p>
        </w:tc>
      </w:tr>
      <w:tr w:rsidR="00A124D6" w:rsidRPr="00F60A9B" w14:paraId="20F2F75E" w14:textId="77777777" w:rsidTr="00506FF5">
        <w:trPr>
          <w:cantSplit/>
          <w:jc w:val="center"/>
        </w:trPr>
        <w:tc>
          <w:tcPr>
            <w:tcW w:w="0" w:type="auto"/>
            <w:tcBorders>
              <w:top w:val="single" w:sz="4" w:space="0" w:color="auto"/>
              <w:right w:val="single" w:sz="12" w:space="0" w:color="auto"/>
            </w:tcBorders>
          </w:tcPr>
          <w:p w14:paraId="2470600D" w14:textId="77777777" w:rsidR="00A124D6" w:rsidRPr="005B7BEE" w:rsidRDefault="00A124D6" w:rsidP="00A124D6">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06218EE5" w14:textId="5AD279E7" w:rsidR="00A124D6"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739532" w14:textId="000FC702"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2F8D3B" w14:textId="064750A6"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4A0A1F" w14:textId="4EDC4AE6"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772FA23" w14:textId="448E7F80" w:rsidR="00A124D6" w:rsidRDefault="00A124D6" w:rsidP="00A124D6">
            <w:pPr>
              <w:jc w:val="center"/>
            </w:pPr>
            <w:r>
              <w:rPr>
                <w:rFonts w:ascii="Calibri" w:hAnsi="Calibri" w:cs="Calibri"/>
                <w:color w:val="000000"/>
              </w:rPr>
              <w:t>0</w:t>
            </w:r>
          </w:p>
        </w:tc>
      </w:tr>
      <w:tr w:rsidR="00A124D6" w:rsidRPr="00F60A9B" w14:paraId="1E4A7900" w14:textId="77777777" w:rsidTr="00506FF5">
        <w:trPr>
          <w:cantSplit/>
          <w:jc w:val="center"/>
        </w:trPr>
        <w:tc>
          <w:tcPr>
            <w:tcW w:w="0" w:type="auto"/>
            <w:tcBorders>
              <w:right w:val="single" w:sz="12" w:space="0" w:color="auto"/>
            </w:tcBorders>
          </w:tcPr>
          <w:p w14:paraId="2408A525" w14:textId="77777777" w:rsidR="00A124D6" w:rsidRPr="005B7BEE" w:rsidRDefault="00A124D6" w:rsidP="00A124D6">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7AB447AB" w14:textId="0209DDD4" w:rsidR="00A124D6" w:rsidRPr="00F60A9B"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12E530B" w14:textId="5B09F8E9"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34CACE" w14:textId="71B3F042"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954F36A" w14:textId="06665DE1"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0AF449" w14:textId="5A381B06" w:rsidR="00A124D6" w:rsidRPr="00F60A9B" w:rsidRDefault="00A124D6" w:rsidP="00A124D6">
            <w:pPr>
              <w:jc w:val="center"/>
            </w:pPr>
            <w:r>
              <w:rPr>
                <w:rFonts w:ascii="Calibri" w:hAnsi="Calibri" w:cs="Calibri"/>
                <w:color w:val="000000"/>
              </w:rPr>
              <w:t>0</w:t>
            </w:r>
          </w:p>
        </w:tc>
      </w:tr>
      <w:tr w:rsidR="00A124D6" w:rsidRPr="00F60A9B" w14:paraId="55E04A30" w14:textId="77777777" w:rsidTr="00506FF5">
        <w:trPr>
          <w:cantSplit/>
          <w:jc w:val="center"/>
        </w:trPr>
        <w:tc>
          <w:tcPr>
            <w:tcW w:w="0" w:type="auto"/>
            <w:tcBorders>
              <w:right w:val="single" w:sz="12" w:space="0" w:color="auto"/>
            </w:tcBorders>
          </w:tcPr>
          <w:p w14:paraId="2A10BECE" w14:textId="77777777" w:rsidR="00A124D6" w:rsidRPr="005B7BEE" w:rsidRDefault="00A124D6" w:rsidP="00A124D6">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5F74BB74" w14:textId="612C5D1D" w:rsidR="00A124D6" w:rsidRPr="00F60A9B" w:rsidRDefault="00A124D6" w:rsidP="00A124D6">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C482A15" w14:textId="723DCA41" w:rsidR="00A124D6" w:rsidRPr="00210DD1" w:rsidRDefault="00A124D6" w:rsidP="00A124D6">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7833269" w14:textId="55B2CE3F" w:rsidR="00A124D6" w:rsidRPr="00210DD1" w:rsidRDefault="00A124D6" w:rsidP="00A124D6">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F31A443" w14:textId="3EF3AE87"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E776812" w14:textId="046AC37F" w:rsidR="00A124D6" w:rsidRPr="00F60A9B" w:rsidRDefault="00A124D6" w:rsidP="00A124D6">
            <w:pPr>
              <w:jc w:val="center"/>
            </w:pPr>
            <w:r>
              <w:rPr>
                <w:rFonts w:ascii="Calibri" w:hAnsi="Calibri" w:cs="Calibri"/>
                <w:color w:val="000000"/>
              </w:rPr>
              <w:t>0</w:t>
            </w:r>
          </w:p>
        </w:tc>
      </w:tr>
      <w:tr w:rsidR="00A124D6" w:rsidRPr="00F60A9B" w14:paraId="788D2AD1" w14:textId="77777777" w:rsidTr="00506FF5">
        <w:trPr>
          <w:cantSplit/>
          <w:jc w:val="center"/>
        </w:trPr>
        <w:tc>
          <w:tcPr>
            <w:tcW w:w="0" w:type="auto"/>
            <w:tcBorders>
              <w:right w:val="single" w:sz="12" w:space="0" w:color="auto"/>
            </w:tcBorders>
          </w:tcPr>
          <w:p w14:paraId="188AF080" w14:textId="77777777" w:rsidR="00A124D6" w:rsidRPr="002F2749" w:rsidRDefault="00A124D6" w:rsidP="00A124D6">
            <w:pPr>
              <w:rPr>
                <w:sz w:val="14"/>
                <w:szCs w:val="14"/>
              </w:rPr>
            </w:pPr>
            <w:r w:rsidRPr="002F2749">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53928E8" w14:textId="7085563C" w:rsidR="00A124D6" w:rsidRPr="00F60A9B"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CE30DEC" w14:textId="24607233"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D99CEB5" w14:textId="4D525943"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9BC388" w14:textId="3F9F56A2" w:rsidR="00A124D6" w:rsidRPr="00210DD1" w:rsidRDefault="00A124D6" w:rsidP="00A124D6">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2A900B7" w14:textId="3CEAE7BB" w:rsidR="00A124D6" w:rsidRPr="00F60A9B" w:rsidRDefault="00A124D6" w:rsidP="00A124D6">
            <w:pPr>
              <w:jc w:val="center"/>
            </w:pPr>
            <w:r>
              <w:rPr>
                <w:rFonts w:ascii="Calibri" w:hAnsi="Calibri" w:cs="Calibri"/>
                <w:color w:val="000000"/>
              </w:rPr>
              <w:t>0</w:t>
            </w:r>
          </w:p>
        </w:tc>
      </w:tr>
      <w:tr w:rsidR="00A124D6" w:rsidRPr="00F60A9B" w14:paraId="4E279C42" w14:textId="77777777" w:rsidTr="00506FF5">
        <w:trPr>
          <w:cantSplit/>
          <w:jc w:val="center"/>
        </w:trPr>
        <w:tc>
          <w:tcPr>
            <w:tcW w:w="0" w:type="auto"/>
            <w:tcBorders>
              <w:right w:val="single" w:sz="12" w:space="0" w:color="auto"/>
            </w:tcBorders>
          </w:tcPr>
          <w:p w14:paraId="5AB098EC" w14:textId="77777777" w:rsidR="00A124D6" w:rsidRPr="002F2749" w:rsidRDefault="00A124D6" w:rsidP="00A124D6">
            <w:pPr>
              <w:rPr>
                <w:sz w:val="14"/>
                <w:szCs w:val="14"/>
              </w:rPr>
            </w:pPr>
            <w:r w:rsidRPr="002F2749">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3E77F75" w14:textId="21493FEF" w:rsidR="00A124D6" w:rsidRPr="00F60A9B" w:rsidRDefault="00A124D6" w:rsidP="00A124D6">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31190A9" w14:textId="6B2F8EC6" w:rsidR="00A124D6" w:rsidRPr="00210DD1" w:rsidRDefault="00A124D6" w:rsidP="00A124D6">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73E75F1C" w14:textId="02DFBFC7" w:rsidR="00A124D6" w:rsidRPr="00210DD1" w:rsidRDefault="00A124D6" w:rsidP="00A124D6">
            <w:pPr>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E38AC76" w14:textId="3CF374C4" w:rsidR="00A124D6" w:rsidRPr="00210DD1" w:rsidRDefault="00A124D6" w:rsidP="00A124D6">
            <w:pPr>
              <w:jc w:val="center"/>
            </w:pPr>
            <w:r>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F3CE4F0" w14:textId="60FE882B" w:rsidR="00A124D6" w:rsidRPr="00F60A9B" w:rsidRDefault="00A124D6" w:rsidP="00A124D6">
            <w:pPr>
              <w:jc w:val="center"/>
            </w:pPr>
            <w:r>
              <w:rPr>
                <w:rFonts w:ascii="Calibri" w:hAnsi="Calibri" w:cs="Calibri"/>
                <w:color w:val="000000"/>
              </w:rPr>
              <w:t>2</w:t>
            </w:r>
          </w:p>
        </w:tc>
      </w:tr>
    </w:tbl>
    <w:p w14:paraId="60A27E58" w14:textId="5FFFDE94" w:rsidR="001639C0" w:rsidRPr="001734B9" w:rsidRDefault="001639C0" w:rsidP="001639C0">
      <w:pPr>
        <w:pStyle w:val="Caption"/>
        <w:keepNext/>
        <w:spacing w:before="120"/>
        <w:jc w:val="center"/>
        <w:rPr>
          <w:rFonts w:cstheme="minorHAnsi"/>
        </w:rPr>
      </w:pPr>
      <w:r>
        <w:t xml:space="preserve">Table </w:t>
      </w:r>
      <w:r>
        <w:fldChar w:fldCharType="begin"/>
      </w:r>
      <w:r>
        <w:instrText xml:space="preserve"> SEQ Table \* ARABIC </w:instrText>
      </w:r>
      <w:r>
        <w:fldChar w:fldCharType="separate"/>
      </w:r>
      <w:r w:rsidR="001E41EA">
        <w:rPr>
          <w:noProof/>
        </w:rPr>
        <w:t>13</w:t>
      </w:r>
      <w:r>
        <w:rPr>
          <w:noProof/>
        </w:rPr>
        <w:fldChar w:fldCharType="end"/>
      </w:r>
      <w:r>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B</m:t>
                </m:r>
              </m:sub>
            </m:sSub>
          </m:sub>
        </m:sSub>
      </m:oMath>
      <w:r>
        <w:rPr>
          <w:rFonts w:eastAsiaTheme="minorEastAsia"/>
        </w:rPr>
        <w:t xml:space="preserve"> for the example in Attachment A</w:t>
      </w:r>
    </w:p>
    <w:p w14:paraId="54D5E529" w14:textId="77777777" w:rsidR="001639C0" w:rsidRPr="00315DE1" w:rsidRDefault="001639C0">
      <w:pPr>
        <w:pStyle w:val="ListParagraph"/>
        <w:numPr>
          <w:ilvl w:val="1"/>
          <w:numId w:val="13"/>
        </w:numPr>
      </w:pPr>
      <w:r>
        <w:t xml:space="preserve">For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Pr>
          <w:rFonts w:eastAsiaTheme="minorEastAsia"/>
        </w:rPr>
        <w:t xml:space="preserve">:  </w:t>
      </w:r>
    </w:p>
    <w:p w14:paraId="2CC54504" w14:textId="77777777" w:rsidR="001639C0" w:rsidRPr="003C22FC" w:rsidRDefault="001639C0" w:rsidP="001639C0">
      <w:pPr>
        <w:pStyle w:val="ListParagraph"/>
        <w:ind w:left="1440"/>
      </w:pPr>
    </w:p>
    <w:p w14:paraId="60D36CE7" w14:textId="77777777" w:rsidR="006046E3" w:rsidRPr="006046E3" w:rsidRDefault="001639C0">
      <w:pPr>
        <w:pStyle w:val="ListParagraph"/>
        <w:numPr>
          <w:ilvl w:val="2"/>
          <w:numId w:val="13"/>
        </w:numPr>
      </w:pPr>
      <w:r>
        <w:rPr>
          <w:rFonts w:eastAsiaTheme="minorEastAsia"/>
        </w:rPr>
        <w:t>Generate</w:t>
      </w:r>
      <w:r w:rsidRPr="002F2749">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2F2749">
        <w:rPr>
          <w:rFonts w:eastAsiaTheme="minorEastAsia"/>
        </w:rPr>
        <w:t xml:space="preserve"> </w:t>
      </w:r>
      <w:r>
        <w:rPr>
          <w:rFonts w:eastAsiaTheme="minorEastAsia"/>
        </w:rPr>
        <w:t xml:space="preserve">by </w:t>
      </w:r>
      <w:r>
        <w:t>identifying the health conditions in this patient population that might remain after receiving the medical treatment</w:t>
      </w:r>
      <w:r>
        <w:rPr>
          <w:rFonts w:eastAsiaTheme="minorEastAsia"/>
        </w:rPr>
        <w:t>.</w:t>
      </w:r>
      <w:r w:rsidR="006046E3">
        <w:rPr>
          <w:rFonts w:eastAsiaTheme="minorEastAsia"/>
        </w:rPr>
        <w:t xml:space="preserve"> </w:t>
      </w:r>
    </w:p>
    <w:p w14:paraId="6D855223" w14:textId="77777777" w:rsidR="006046E3" w:rsidRDefault="001639C0">
      <w:pPr>
        <w:pStyle w:val="ListParagraph"/>
        <w:numPr>
          <w:ilvl w:val="3"/>
          <w:numId w:val="13"/>
        </w:numPr>
      </w:pPr>
      <w:r w:rsidRPr="006046E3">
        <w:rPr>
          <w:rFonts w:eastAsiaTheme="minorEastAsia"/>
        </w:rPr>
        <w:lastRenderedPageBreak/>
        <w:t xml:space="preserve">Since we are using </w:t>
      </w:r>
      <m:oMath>
        <m:r>
          <w:rPr>
            <w:rFonts w:ascii="Cambria Math" w:eastAsiaTheme="minorEastAsia" w:hAnsi="Cambria Math"/>
          </w:rPr>
          <m:t xml:space="preserve">B=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oMath>
      <w:r w:rsidRPr="006046E3">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6046E3">
        <w:rPr>
          <w:rFonts w:eastAsiaTheme="minorEastAsia"/>
        </w:rPr>
        <w:t xml:space="preserve"> will normally contain the same </w:t>
      </w:r>
      <w:r>
        <w:t xml:space="preserve">health conditions as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6046E3">
        <w:rPr>
          <w:rFonts w:eastAsiaTheme="minorEastAsia"/>
        </w:rPr>
        <w:t xml:space="preserve"> – particularly since </w:t>
      </w:r>
      <m:oMath>
        <m:sSub>
          <m:sSubPr>
            <m:ctrlPr>
              <w:rPr>
                <w:rFonts w:ascii="Cambria Math" w:hAnsi="Cambria Math"/>
                <w:i/>
              </w:rPr>
            </m:ctrlPr>
          </m:sSubPr>
          <m:e>
            <m:r>
              <w:rPr>
                <w:rFonts w:ascii="Cambria Math" w:hAnsi="Cambria Math"/>
              </w:rPr>
              <m:t>Table</m:t>
            </m:r>
          </m:e>
          <m:sub>
            <m:r>
              <w:rPr>
                <w:rFonts w:ascii="Cambria Math" w:hAnsi="Cambria Math"/>
              </w:rPr>
              <m:t>R</m:t>
            </m:r>
          </m:sub>
        </m:sSub>
      </m:oMath>
      <w:r>
        <w:t xml:space="preserve"> contains any health risks that were created by the medical treatment.  </w:t>
      </w:r>
    </w:p>
    <w:p w14:paraId="7A4F129D" w14:textId="77777777" w:rsidR="006046E3" w:rsidRPr="006046E3" w:rsidRDefault="001639C0">
      <w:pPr>
        <w:pStyle w:val="ListParagraph"/>
        <w:numPr>
          <w:ilvl w:val="3"/>
          <w:numId w:val="13"/>
        </w:numPr>
      </w:pPr>
      <w:r>
        <w:t xml:space="preserve">Per the </w:t>
      </w:r>
      <w:r w:rsidRPr="006046E3">
        <w:rPr>
          <w:rFonts w:eastAsiaTheme="minorEastAsia" w:cstheme="minorHAnsi"/>
          <w:sz w:val="21"/>
          <w:szCs w:val="21"/>
        </w:rPr>
        <w:t>board-certified Emergency Room physician for over 10 years</w:t>
      </w:r>
      <w:r>
        <w:t xml:space="preserve"> for this example,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t xml:space="preserve"> are the same as the risks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sidRPr="006046E3">
        <w:rPr>
          <w:rFonts w:eastAsiaTheme="minorEastAsia"/>
        </w:rPr>
        <w:t>.</w:t>
      </w:r>
      <w:r w:rsidR="006046E3">
        <w:rPr>
          <w:rFonts w:eastAsiaTheme="minorEastAsia"/>
        </w:rPr>
        <w:t xml:space="preserve">  </w:t>
      </w:r>
    </w:p>
    <w:p w14:paraId="387C71A7" w14:textId="77777777" w:rsidR="006046E3" w:rsidRPr="006046E3" w:rsidRDefault="006046E3" w:rsidP="006046E3">
      <w:pPr>
        <w:pStyle w:val="ListParagraph"/>
        <w:ind w:left="1152"/>
      </w:pPr>
    </w:p>
    <w:p w14:paraId="64C8010F" w14:textId="75F6FB57" w:rsidR="001E2072" w:rsidRPr="006046E3" w:rsidRDefault="001639C0">
      <w:pPr>
        <w:pStyle w:val="ListParagraph"/>
        <w:numPr>
          <w:ilvl w:val="2"/>
          <w:numId w:val="13"/>
        </w:numPr>
        <w:contextualSpacing w:val="0"/>
      </w:pPr>
      <w:r w:rsidRPr="006046E3">
        <w:rPr>
          <w:rFonts w:eastAsiaTheme="minorEastAsia" w:cstheme="minorHAnsi"/>
        </w:rPr>
        <w:t xml:space="preserve">Identify the ‘Health Condition’ (from the previous table) as the ‘Hazardous Situation’ (as defined in ISO 14971, in the next table), identify one or more severities of harm for each ‘Health Condition’ / Hazardous Situation, and determine </w:t>
      </w:r>
      <m:oMath>
        <m:r>
          <w:rPr>
            <w:rFonts w:ascii="Cambria Math" w:eastAsiaTheme="minorEastAsia" w:hAnsi="Cambria Math" w:cstheme="minorHAnsi"/>
          </w:rPr>
          <m:t>P</m:t>
        </m:r>
      </m:oMath>
      <w:r w:rsidRPr="006046E3">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6046E3">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6046E3">
        <w:rPr>
          <w:rFonts w:eastAsiaTheme="minorEastAsia" w:cstheme="minorHAnsi"/>
        </w:rPr>
        <w:t xml:space="preserve"> to determine </w:t>
      </w:r>
      <m:oMath>
        <m:r>
          <w:rPr>
            <w:rFonts w:ascii="Cambria Math" w:eastAsiaTheme="minorEastAsia" w:hAnsi="Cambria Math" w:cstheme="minorHAnsi"/>
          </w:rPr>
          <m:t>P</m:t>
        </m:r>
      </m:oMath>
      <w:r w:rsidRPr="006046E3">
        <w:rPr>
          <w:rFonts w:eastAsiaTheme="minorEastAsia" w:cstheme="minorHAnsi"/>
        </w:rPr>
        <w:t xml:space="preserve">).  Use </w:t>
      </w:r>
      <w:r w:rsidRPr="006046E3">
        <w:rPr>
          <w:rFonts w:eastAsiaTheme="minorEastAsia" w:cstheme="minorHAnsi"/>
        </w:rPr>
        <w:fldChar w:fldCharType="begin"/>
      </w:r>
      <w:r w:rsidRPr="006046E3">
        <w:rPr>
          <w:rFonts w:eastAsiaTheme="minorEastAsia" w:cstheme="minorHAnsi"/>
        </w:rPr>
        <w:instrText xml:space="preserve"> REF _Ref132959722 \h </w:instrText>
      </w:r>
      <w:r w:rsidRPr="006046E3">
        <w:rPr>
          <w:rFonts w:eastAsiaTheme="minorEastAsia" w:cstheme="minorHAnsi"/>
        </w:rPr>
      </w:r>
      <w:r w:rsidRPr="006046E3">
        <w:rPr>
          <w:rFonts w:eastAsiaTheme="minorEastAsia" w:cstheme="minorHAnsi"/>
        </w:rPr>
        <w:fldChar w:fldCharType="separate"/>
      </w:r>
      <w:r w:rsidR="001E41EA" w:rsidRPr="00F60A9B">
        <w:t xml:space="preserve">Table </w:t>
      </w:r>
      <w:r w:rsidR="001E41EA">
        <w:rPr>
          <w:noProof/>
        </w:rPr>
        <w:t>2</w:t>
      </w:r>
      <w:r w:rsidRPr="006046E3">
        <w:rPr>
          <w:rFonts w:eastAsiaTheme="minorEastAsia" w:cstheme="minorHAnsi"/>
        </w:rPr>
        <w:fldChar w:fldCharType="end"/>
      </w:r>
      <w:r w:rsidRPr="006046E3">
        <w:rPr>
          <w:rFonts w:eastAsiaTheme="minorEastAsia" w:cstheme="minorHAnsi"/>
        </w:rPr>
        <w:t xml:space="preserve"> and </w:t>
      </w:r>
      <w:r w:rsidRPr="006046E3">
        <w:rPr>
          <w:rFonts w:eastAsiaTheme="minorEastAsia" w:cstheme="minorHAnsi"/>
        </w:rPr>
        <w:fldChar w:fldCharType="begin"/>
      </w:r>
      <w:r w:rsidRPr="006046E3">
        <w:rPr>
          <w:rFonts w:eastAsiaTheme="minorEastAsia" w:cstheme="minorHAnsi"/>
        </w:rPr>
        <w:instrText xml:space="preserve"> REF _Ref146694551 \h </w:instrText>
      </w:r>
      <w:r w:rsidRPr="006046E3">
        <w:rPr>
          <w:rFonts w:eastAsiaTheme="minorEastAsia" w:cstheme="minorHAnsi"/>
        </w:rPr>
      </w:r>
      <w:r w:rsidRPr="006046E3">
        <w:rPr>
          <w:rFonts w:eastAsiaTheme="minorEastAsia" w:cstheme="minorHAnsi"/>
        </w:rPr>
        <w:fldChar w:fldCharType="separate"/>
      </w:r>
      <w:r w:rsidR="001E41EA">
        <w:t xml:space="preserve">Table </w:t>
      </w:r>
      <w:r w:rsidR="001E41EA">
        <w:rPr>
          <w:noProof/>
        </w:rPr>
        <w:t>4</w:t>
      </w:r>
      <w:r w:rsidRPr="006046E3">
        <w:rPr>
          <w:rFonts w:eastAsiaTheme="minorEastAsia" w:cstheme="minorHAnsi"/>
        </w:rPr>
        <w:fldChar w:fldCharType="end"/>
      </w:r>
      <w:r w:rsidRPr="006046E3">
        <w:rPr>
          <w:rFonts w:eastAsiaTheme="minorEastAsia" w:cstheme="minorHAnsi"/>
        </w:rPr>
        <w:t xml:space="preserve">to assign probability and severity levels for the various scenarios with each Hazardous Situation. </w:t>
      </w:r>
    </w:p>
    <w:tbl>
      <w:tblPr>
        <w:tblStyle w:val="TableGrid"/>
        <w:tblW w:w="11387" w:type="dxa"/>
        <w:tblInd w:w="1327" w:type="dxa"/>
        <w:tblLook w:val="04A0" w:firstRow="1" w:lastRow="0" w:firstColumn="1" w:lastColumn="0" w:noHBand="0" w:noVBand="1"/>
      </w:tblPr>
      <w:tblGrid>
        <w:gridCol w:w="1349"/>
        <w:gridCol w:w="5244"/>
        <w:gridCol w:w="1249"/>
        <w:gridCol w:w="1176"/>
        <w:gridCol w:w="1249"/>
        <w:gridCol w:w="1335"/>
      </w:tblGrid>
      <w:tr w:rsidR="001E2072" w:rsidRPr="000E3F5A" w14:paraId="68788DCA" w14:textId="77777777" w:rsidTr="000331A7">
        <w:trPr>
          <w:cantSplit/>
          <w:tblHeader/>
        </w:trPr>
        <w:tc>
          <w:tcPr>
            <w:tcW w:w="1349" w:type="dxa"/>
            <w:vAlign w:val="center"/>
          </w:tcPr>
          <w:p w14:paraId="5E4DB7F1" w14:textId="77777777" w:rsidR="001E2072" w:rsidRPr="000E3F5A" w:rsidRDefault="001E2072" w:rsidP="00024DD9">
            <w:pPr>
              <w:pStyle w:val="ListParagraph"/>
              <w:ind w:left="0"/>
              <w:contextualSpacing w:val="0"/>
              <w:rPr>
                <w:rFonts w:cstheme="minorHAnsi"/>
                <w:b/>
                <w:bCs/>
                <w:sz w:val="26"/>
                <w:szCs w:val="26"/>
              </w:rPr>
            </w:pPr>
            <w:r w:rsidRPr="000E3F5A">
              <w:rPr>
                <w:rFonts w:cstheme="minorHAnsi"/>
                <w:b/>
                <w:bCs/>
                <w:sz w:val="26"/>
                <w:szCs w:val="26"/>
              </w:rPr>
              <w:t xml:space="preserve">Hazardous Situation </w:t>
            </w:r>
          </w:p>
        </w:tc>
        <w:tc>
          <w:tcPr>
            <w:tcW w:w="5244" w:type="dxa"/>
            <w:vAlign w:val="center"/>
          </w:tcPr>
          <w:p w14:paraId="6696863E" w14:textId="77777777" w:rsidR="001E2072" w:rsidRPr="000E3F5A" w:rsidRDefault="001E2072" w:rsidP="00024DD9">
            <w:pPr>
              <w:pStyle w:val="ListParagraph"/>
              <w:ind w:left="0"/>
              <w:contextualSpacing w:val="0"/>
              <w:rPr>
                <w:rFonts w:cstheme="minorHAnsi"/>
                <w:b/>
                <w:bCs/>
                <w:sz w:val="26"/>
                <w:szCs w:val="26"/>
              </w:rPr>
            </w:pPr>
            <w:r>
              <w:rPr>
                <w:rFonts w:cstheme="minorHAnsi"/>
                <w:b/>
                <w:bCs/>
                <w:sz w:val="26"/>
                <w:szCs w:val="26"/>
              </w:rPr>
              <w:t>Reference Information</w:t>
            </w:r>
          </w:p>
        </w:tc>
        <w:tc>
          <w:tcPr>
            <w:tcW w:w="1034" w:type="dxa"/>
            <w:vAlign w:val="center"/>
          </w:tcPr>
          <w:p w14:paraId="37A8F5BB" w14:textId="77777777" w:rsidR="001E2072" w:rsidRPr="000E3F5A"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76" w:type="dxa"/>
            <w:vAlign w:val="center"/>
          </w:tcPr>
          <w:p w14:paraId="67E7CE6A" w14:textId="77777777" w:rsidR="001E2072" w:rsidRPr="000E3F5A" w:rsidRDefault="00000000" w:rsidP="00024DD9">
            <w:pPr>
              <w:pStyle w:val="ListParagraph"/>
              <w:ind w:left="0"/>
              <w:contextualSpacing w:val="0"/>
              <w:rPr>
                <w:rFonts w:cstheme="minorHAnsi"/>
                <w:b/>
                <w:bCs/>
                <w:sz w:val="26"/>
                <w:szCs w:val="26"/>
              </w:rPr>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249" w:type="dxa"/>
            <w:vAlign w:val="center"/>
          </w:tcPr>
          <w:p w14:paraId="42E69D49" w14:textId="77777777" w:rsidR="001E2072" w:rsidRPr="000E3F5A" w:rsidRDefault="001E2072" w:rsidP="00024DD9">
            <w:pPr>
              <w:pStyle w:val="ListParagraph"/>
              <w:ind w:left="0"/>
              <w:contextualSpacing w:val="0"/>
              <w:rPr>
                <w:rFonts w:cstheme="minorHAnsi"/>
                <w:b/>
                <w:bCs/>
                <w:sz w:val="26"/>
                <w:szCs w:val="26"/>
              </w:rPr>
            </w:pPr>
            <m:oMathPara>
              <m:oMath>
                <m:r>
                  <m:rPr>
                    <m:sty m:val="bi"/>
                  </m:rPr>
                  <w:rPr>
                    <w:rFonts w:ascii="Cambria Math" w:hAnsi="Cambria Math" w:cstheme="minorHAnsi"/>
                    <w:sz w:val="26"/>
                    <w:szCs w:val="26"/>
                  </w:rPr>
                  <m:t>P</m:t>
                </m:r>
              </m:oMath>
            </m:oMathPara>
          </w:p>
        </w:tc>
        <w:tc>
          <w:tcPr>
            <w:tcW w:w="1335" w:type="dxa"/>
            <w:vAlign w:val="center"/>
          </w:tcPr>
          <w:p w14:paraId="242CDF20" w14:textId="77777777" w:rsidR="001E2072" w:rsidRPr="000E3F5A" w:rsidRDefault="001E2072" w:rsidP="00024DD9">
            <w:pPr>
              <w:pStyle w:val="ListParagraph"/>
              <w:ind w:left="0"/>
              <w:contextualSpacing w:val="0"/>
              <w:rPr>
                <w:rFonts w:cstheme="minorHAnsi"/>
                <w:b/>
                <w:bCs/>
                <w:sz w:val="26"/>
                <w:szCs w:val="26"/>
              </w:rPr>
            </w:pPr>
            <w:r w:rsidRPr="000E3F5A">
              <w:rPr>
                <w:rFonts w:cstheme="minorHAnsi"/>
                <w:b/>
                <w:bCs/>
                <w:sz w:val="26"/>
                <w:szCs w:val="26"/>
              </w:rPr>
              <w:t>Severity</w:t>
            </w:r>
          </w:p>
        </w:tc>
      </w:tr>
      <w:tr w:rsidR="000331A7" w:rsidRPr="000E3F5A" w14:paraId="3355B140" w14:textId="77777777" w:rsidTr="000331A7">
        <w:trPr>
          <w:cantSplit/>
        </w:trPr>
        <w:tc>
          <w:tcPr>
            <w:tcW w:w="1349" w:type="dxa"/>
            <w:vAlign w:val="center"/>
          </w:tcPr>
          <w:p w14:paraId="73E45CF1" w14:textId="77777777" w:rsidR="000331A7" w:rsidRPr="000E3F5A" w:rsidRDefault="000331A7" w:rsidP="000331A7">
            <w:pPr>
              <w:rPr>
                <w:rFonts w:cstheme="minorHAnsi"/>
              </w:rPr>
            </w:pPr>
            <w:r w:rsidRPr="000E3F5A">
              <w:rPr>
                <w:rFonts w:cstheme="minorHAnsi"/>
              </w:rPr>
              <w:t xml:space="preserve">Altered Mental State </w:t>
            </w:r>
          </w:p>
        </w:tc>
        <w:tc>
          <w:tcPr>
            <w:tcW w:w="5244" w:type="dxa"/>
            <w:vAlign w:val="center"/>
          </w:tcPr>
          <w:p w14:paraId="33D9A15F"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Probability: </w:t>
            </w:r>
            <w:r>
              <w:rPr>
                <w:rFonts w:eastAsiaTheme="minorEastAsia" w:cstheme="minorHAnsi"/>
                <w:sz w:val="21"/>
                <w:szCs w:val="21"/>
              </w:rPr>
              <w:t xml:space="preserve"> </w:t>
            </w:r>
          </w:p>
          <w:p w14:paraId="3F107CF3" w14:textId="77777777" w:rsidR="000331A7" w:rsidRPr="00695B2F" w:rsidRDefault="000331A7">
            <w:pPr>
              <w:pStyle w:val="ListParagraph"/>
              <w:numPr>
                <w:ilvl w:val="0"/>
                <w:numId w:val="18"/>
              </w:numPr>
              <w:contextualSpacing w:val="0"/>
              <w:rPr>
                <w:rFonts w:eastAsiaTheme="minorEastAsia" w:cstheme="minorHAnsi"/>
                <w:sz w:val="21"/>
                <w:szCs w:val="21"/>
              </w:rPr>
            </w:pPr>
            <w:r>
              <w:rPr>
                <w:rFonts w:eastAsiaTheme="minorEastAsia" w:cstheme="minorHAnsi"/>
                <w:sz w:val="21"/>
                <w:szCs w:val="21"/>
              </w:rPr>
              <w:t xml:space="preserve">Per </w:t>
            </w:r>
            <w:r w:rsidRPr="00695B2F">
              <w:rPr>
                <w:rFonts w:eastAsiaTheme="minorEastAsia" w:cstheme="minorHAnsi"/>
                <w:sz w:val="21"/>
                <w:szCs w:val="21"/>
              </w:rPr>
              <w:t xml:space="preserve">Hemorrhagic shock: </w:t>
            </w:r>
            <w:hyperlink r:id="rId18" w:history="1">
              <w:r w:rsidRPr="00695B2F">
                <w:rPr>
                  <w:rStyle w:val="Hyperlink"/>
                  <w:rFonts w:eastAsiaTheme="minorEastAsia" w:cstheme="minorHAnsi"/>
                  <w:sz w:val="21"/>
                  <w:szCs w:val="21"/>
                </w:rPr>
                <w:t>https://www.ncbi.nlm.nih.gov/books/NBK470382/</w:t>
              </w:r>
            </w:hyperlink>
            <w:r w:rsidRPr="00695B2F">
              <w:rPr>
                <w:rFonts w:eastAsiaTheme="minorEastAsia" w:cstheme="minorHAnsi"/>
                <w:sz w:val="21"/>
                <w:szCs w:val="21"/>
              </w:rPr>
              <w:t xml:space="preserve"> </w:t>
            </w:r>
            <w:r>
              <w:rPr>
                <w:rFonts w:eastAsiaTheme="minorEastAsia" w:cstheme="minorHAnsi"/>
                <w:sz w:val="21"/>
                <w:szCs w:val="21"/>
              </w:rPr>
              <w:br/>
            </w:r>
            <w:r w:rsidRPr="00695B2F">
              <w:rPr>
                <w:rFonts w:eastAsiaTheme="minorEastAsia" w:cstheme="minorHAnsi"/>
                <w:sz w:val="21"/>
                <w:szCs w:val="21"/>
              </w:rPr>
              <w:t xml:space="preserve">"Class 3: Volume loss from 30% to 40% of total blood volume, from 1500 mL to 2000 mL. </w:t>
            </w:r>
            <w:r>
              <w:rPr>
                <w:rFonts w:eastAsiaTheme="minorEastAsia" w:cstheme="minorHAnsi"/>
                <w:sz w:val="21"/>
                <w:szCs w:val="21"/>
              </w:rPr>
              <w:t xml:space="preserve"> </w:t>
            </w:r>
            <w:r w:rsidRPr="00695B2F">
              <w:rPr>
                <w:rFonts w:eastAsiaTheme="minorEastAsia" w:cstheme="minorHAnsi"/>
                <w:sz w:val="21"/>
                <w:szCs w:val="21"/>
              </w:rPr>
              <w:t>A significant drop in blood pressure and changes in mental status occurs.  Heart rate and respiratory rate are significantly elevated (more than 120 BPM). Urine output declines. Capillary refill is delayed."</w:t>
            </w:r>
          </w:p>
          <w:p w14:paraId="76963C08" w14:textId="77777777" w:rsidR="000331A7" w:rsidRPr="00D31706" w:rsidRDefault="000331A7">
            <w:pPr>
              <w:pStyle w:val="ListParagraph"/>
              <w:numPr>
                <w:ilvl w:val="0"/>
                <w:numId w:val="18"/>
              </w:numPr>
              <w:contextualSpacing w:val="0"/>
              <w:rPr>
                <w:rFonts w:cstheme="minorHAnsi"/>
                <w:sz w:val="21"/>
                <w:szCs w:val="21"/>
              </w:rPr>
            </w:pPr>
            <w:r>
              <w:rPr>
                <w:rFonts w:eastAsiaTheme="minorEastAsia" w:cstheme="minorHAnsi"/>
                <w:sz w:val="21"/>
                <w:szCs w:val="21"/>
              </w:rPr>
              <w:t>Per board-certified Emergency Room physician for over 10 years.</w:t>
            </w:r>
          </w:p>
          <w:p w14:paraId="7C8A033A" w14:textId="77777777" w:rsidR="000331A7" w:rsidRPr="00D31706" w:rsidRDefault="000331A7" w:rsidP="000331A7">
            <w:pPr>
              <w:pStyle w:val="ListParagraph"/>
              <w:ind w:left="0"/>
              <w:contextualSpacing w:val="0"/>
              <w:rPr>
                <w:rFonts w:cstheme="minorHAnsi"/>
                <w:sz w:val="21"/>
                <w:szCs w:val="21"/>
              </w:rPr>
            </w:pPr>
          </w:p>
          <w:p w14:paraId="55AABFE1"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Per board-certified Emergency Room physician for over 10 years.</w:t>
            </w:r>
          </w:p>
          <w:p w14:paraId="129005AA" w14:textId="77777777" w:rsidR="000331A7" w:rsidRDefault="000331A7" w:rsidP="000331A7">
            <w:pPr>
              <w:pStyle w:val="ListParagraph"/>
              <w:ind w:left="0"/>
              <w:contextualSpacing w:val="0"/>
              <w:rPr>
                <w:rFonts w:eastAsiaTheme="minorEastAsia" w:cstheme="minorHAnsi"/>
                <w:sz w:val="21"/>
                <w:szCs w:val="21"/>
              </w:rPr>
            </w:pPr>
          </w:p>
          <w:p w14:paraId="51A6D225" w14:textId="3A3605F4" w:rsidR="000331A7" w:rsidRPr="00D31706" w:rsidRDefault="000331A7" w:rsidP="000331A7">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-9</m:t>
                      </m:r>
                    </m:sup>
                  </m:sSup>
                </m:e>
              </m:d>
              <m:r>
                <w:rPr>
                  <w:rFonts w:ascii="Cambria Math" w:eastAsiaTheme="minorEastAsia" w:hAnsi="Cambria Math" w:cstheme="minorHAnsi"/>
                  <w:sz w:val="21"/>
                  <w:szCs w:val="21"/>
                </w:rPr>
                <m:t>→P=Improbable</m:t>
              </m:r>
            </m:oMath>
          </w:p>
        </w:tc>
        <w:tc>
          <w:tcPr>
            <w:tcW w:w="1034" w:type="dxa"/>
            <w:tcBorders>
              <w:top w:val="nil"/>
              <w:left w:val="nil"/>
              <w:bottom w:val="single" w:sz="8" w:space="0" w:color="auto"/>
              <w:right w:val="single" w:sz="8" w:space="0" w:color="auto"/>
            </w:tcBorders>
            <w:vAlign w:val="center"/>
          </w:tcPr>
          <w:p w14:paraId="07D8A5B2" w14:textId="200410B9" w:rsidR="000331A7" w:rsidRPr="000E3F5A" w:rsidRDefault="000331A7" w:rsidP="000331A7">
            <w:pPr>
              <w:pStyle w:val="ListParagraph"/>
              <w:ind w:left="0"/>
              <w:contextualSpacing w:val="0"/>
              <w:jc w:val="center"/>
              <w:rPr>
                <w:rFonts w:cstheme="minorHAnsi"/>
              </w:rPr>
            </w:pPr>
            <w:r>
              <w:rPr>
                <w:rFonts w:eastAsia="Times New Roman"/>
              </w:rPr>
              <w:t>Remote</w:t>
            </w:r>
          </w:p>
        </w:tc>
        <w:tc>
          <w:tcPr>
            <w:tcW w:w="1176" w:type="dxa"/>
            <w:tcBorders>
              <w:top w:val="nil"/>
              <w:left w:val="nil"/>
              <w:bottom w:val="single" w:sz="8" w:space="0" w:color="auto"/>
              <w:right w:val="single" w:sz="8" w:space="0" w:color="auto"/>
            </w:tcBorders>
            <w:vAlign w:val="center"/>
          </w:tcPr>
          <w:p w14:paraId="1D593F62" w14:textId="0FE9A8B1" w:rsidR="000331A7" w:rsidRPr="000E3F5A" w:rsidRDefault="000331A7" w:rsidP="000331A7">
            <w:pPr>
              <w:pStyle w:val="ListParagraph"/>
              <w:ind w:left="0"/>
              <w:contextualSpacing w:val="0"/>
              <w:jc w:val="center"/>
              <w:rPr>
                <w:rFonts w:cstheme="minorHAnsi"/>
              </w:rPr>
            </w:pPr>
            <w:r>
              <w:rPr>
                <w:rFonts w:eastAsia="Times New Roman"/>
              </w:rPr>
              <w:t>Occasional</w:t>
            </w:r>
          </w:p>
        </w:tc>
        <w:tc>
          <w:tcPr>
            <w:tcW w:w="1249" w:type="dxa"/>
            <w:vAlign w:val="center"/>
          </w:tcPr>
          <w:p w14:paraId="03E16267" w14:textId="242EEC04" w:rsidR="000331A7" w:rsidRPr="000E3F5A" w:rsidRDefault="000331A7" w:rsidP="000331A7">
            <w:pPr>
              <w:pStyle w:val="ListParagraph"/>
              <w:ind w:left="0"/>
              <w:contextualSpacing w:val="0"/>
              <w:jc w:val="center"/>
              <w:rPr>
                <w:rFonts w:cstheme="minorHAnsi"/>
              </w:rPr>
            </w:pPr>
            <w:r>
              <w:rPr>
                <w:rFonts w:cstheme="minorHAnsi"/>
              </w:rPr>
              <w:t>Improbable</w:t>
            </w:r>
          </w:p>
        </w:tc>
        <w:tc>
          <w:tcPr>
            <w:tcW w:w="1335" w:type="dxa"/>
            <w:vAlign w:val="center"/>
          </w:tcPr>
          <w:p w14:paraId="7888CE0D" w14:textId="0CBEBD57" w:rsidR="000331A7" w:rsidRPr="000E3F5A" w:rsidRDefault="000331A7" w:rsidP="000331A7">
            <w:pPr>
              <w:pStyle w:val="ListParagraph"/>
              <w:ind w:left="0"/>
              <w:contextualSpacing w:val="0"/>
              <w:jc w:val="center"/>
              <w:rPr>
                <w:rFonts w:cstheme="minorHAnsi"/>
              </w:rPr>
            </w:pPr>
            <w:r w:rsidRPr="00345B5B">
              <w:rPr>
                <w:rFonts w:cstheme="minorHAnsi"/>
              </w:rPr>
              <w:t>Negligible</w:t>
            </w:r>
          </w:p>
        </w:tc>
      </w:tr>
      <w:tr w:rsidR="000331A7" w:rsidRPr="000E3F5A" w14:paraId="4A353897" w14:textId="77777777" w:rsidTr="000331A7">
        <w:trPr>
          <w:cantSplit/>
          <w:trHeight w:val="1565"/>
        </w:trPr>
        <w:tc>
          <w:tcPr>
            <w:tcW w:w="1349" w:type="dxa"/>
            <w:vMerge w:val="restart"/>
            <w:vAlign w:val="center"/>
          </w:tcPr>
          <w:p w14:paraId="797DA6B5" w14:textId="77777777" w:rsidR="000331A7" w:rsidRPr="000E3F5A" w:rsidRDefault="000331A7" w:rsidP="000331A7">
            <w:pPr>
              <w:pStyle w:val="ListParagraph"/>
              <w:ind w:left="0"/>
              <w:contextualSpacing w:val="0"/>
              <w:rPr>
                <w:rFonts w:cstheme="minorHAnsi"/>
              </w:rPr>
            </w:pPr>
            <w:r w:rsidRPr="000E3F5A">
              <w:rPr>
                <w:rFonts w:cstheme="minorHAnsi"/>
              </w:rPr>
              <w:t>Circulatory Collapse</w:t>
            </w:r>
          </w:p>
        </w:tc>
        <w:tc>
          <w:tcPr>
            <w:tcW w:w="5244" w:type="dxa"/>
            <w:vMerge w:val="restart"/>
            <w:vAlign w:val="center"/>
          </w:tcPr>
          <w:p w14:paraId="1DFDB5AB" w14:textId="77777777" w:rsidR="000331A7" w:rsidRPr="0083668E" w:rsidRDefault="000331A7" w:rsidP="000331A7">
            <w:pPr>
              <w:pStyle w:val="ListParagraph"/>
              <w:keepNext/>
              <w:ind w:left="0"/>
              <w:contextualSpacing w:val="0"/>
              <w:rPr>
                <w:rFonts w:eastAsiaTheme="minorEastAsia" w:cstheme="minorHAnsi"/>
                <w:color w:val="000000" w:themeColor="text1"/>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sidRPr="0083668E">
              <w:rPr>
                <w:rFonts w:eastAsiaTheme="minorEastAsia" w:cstheme="minorHAnsi"/>
                <w:color w:val="000000" w:themeColor="text1"/>
                <w:sz w:val="21"/>
                <w:szCs w:val="21"/>
              </w:rPr>
              <w:t xml:space="preserve">Probability:  </w:t>
            </w:r>
          </w:p>
          <w:p w14:paraId="292F2143" w14:textId="77777777" w:rsidR="000331A7" w:rsidRPr="0083668E" w:rsidRDefault="000331A7">
            <w:pPr>
              <w:pStyle w:val="ListParagraph"/>
              <w:keepNext/>
              <w:numPr>
                <w:ilvl w:val="0"/>
                <w:numId w:val="17"/>
              </w:numPr>
              <w:contextualSpacing w:val="0"/>
              <w:rPr>
                <w:rFonts w:eastAsiaTheme="minorEastAsia" w:cstheme="minorHAnsi"/>
                <w:color w:val="000000" w:themeColor="text1"/>
                <w:sz w:val="21"/>
                <w:szCs w:val="21"/>
              </w:rPr>
            </w:pPr>
            <w:r w:rsidRPr="0083668E">
              <w:rPr>
                <w:rFonts w:eastAsiaTheme="minorEastAsia" w:cstheme="minorHAnsi"/>
                <w:color w:val="000000" w:themeColor="text1"/>
                <w:sz w:val="21"/>
                <w:szCs w:val="21"/>
              </w:rPr>
              <w:t xml:space="preserve">Risk of circulatory collapse/altered mental status from GI bleeding - I would put this in the occasional category - difficult to fully assess. This imperfect study had &gt;50,000 patients but could only classify by the above means in a little over 5,000 of those patients. </w:t>
            </w:r>
            <w:r w:rsidRPr="0083668E">
              <w:rPr>
                <w:rFonts w:eastAsiaTheme="minorEastAsia" w:cstheme="minorHAnsi"/>
                <w:color w:val="000000" w:themeColor="text1"/>
                <w:sz w:val="21"/>
                <w:szCs w:val="21"/>
              </w:rPr>
              <w:lastRenderedPageBreak/>
              <w:t>They had somewhere around 5% incidence of those patients that were class 3 or class 4, but the study population was ICU admissions which are already the sickest subset of all patients that have GI bleeding. Hence my reasoning to place this in the occasional category.</w:t>
            </w:r>
          </w:p>
          <w:p w14:paraId="101BCD67" w14:textId="77777777" w:rsidR="000331A7" w:rsidRPr="00D31706" w:rsidRDefault="000331A7">
            <w:pPr>
              <w:pStyle w:val="ListParagraph"/>
              <w:numPr>
                <w:ilvl w:val="0"/>
                <w:numId w:val="17"/>
              </w:numPr>
              <w:contextualSpacing w:val="0"/>
              <w:rPr>
                <w:rFonts w:cstheme="minorHAnsi"/>
                <w:sz w:val="21"/>
                <w:szCs w:val="21"/>
              </w:rPr>
            </w:pPr>
            <w:r>
              <w:rPr>
                <w:rFonts w:eastAsiaTheme="minorEastAsia" w:cstheme="minorHAnsi"/>
                <w:color w:val="000000" w:themeColor="text1"/>
                <w:sz w:val="21"/>
                <w:szCs w:val="21"/>
              </w:rPr>
              <w:t xml:space="preserve">Per </w:t>
            </w:r>
            <w:r w:rsidRPr="0083668E">
              <w:rPr>
                <w:rFonts w:eastAsiaTheme="minorEastAsia" w:cstheme="minorHAnsi"/>
                <w:color w:val="000000" w:themeColor="text1"/>
                <w:sz w:val="21"/>
                <w:szCs w:val="21"/>
              </w:rPr>
              <w:t>board-</w:t>
            </w:r>
            <w:r>
              <w:rPr>
                <w:rFonts w:eastAsiaTheme="minorEastAsia" w:cstheme="minorHAnsi"/>
                <w:sz w:val="21"/>
                <w:szCs w:val="21"/>
              </w:rPr>
              <w:t xml:space="preserve">certified Emergency Room physician for over 10 years. </w:t>
            </w:r>
          </w:p>
          <w:p w14:paraId="15A39587" w14:textId="77777777" w:rsidR="000331A7" w:rsidRDefault="000331A7" w:rsidP="000331A7">
            <w:pPr>
              <w:pStyle w:val="ListParagraph"/>
              <w:ind w:left="0"/>
              <w:contextualSpacing w:val="0"/>
              <w:rPr>
                <w:rFonts w:cstheme="minorHAnsi"/>
                <w:sz w:val="21"/>
                <w:szCs w:val="21"/>
              </w:rPr>
            </w:pPr>
          </w:p>
          <w:p w14:paraId="3FAC1CDB"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xml:space="preserve">: Probability and Severity:  </w:t>
            </w:r>
            <w:r>
              <w:rPr>
                <w:rFonts w:eastAsiaTheme="minorEastAsia" w:cstheme="minorHAnsi"/>
                <w:sz w:val="21"/>
                <w:szCs w:val="21"/>
              </w:rPr>
              <w:t>and board-certified Emergency Room physician for over 10 years.</w:t>
            </w:r>
          </w:p>
          <w:p w14:paraId="48DBDBF8" w14:textId="77777777" w:rsidR="000331A7" w:rsidRDefault="000331A7" w:rsidP="000331A7">
            <w:pPr>
              <w:pStyle w:val="ListParagraph"/>
              <w:ind w:left="0"/>
              <w:contextualSpacing w:val="0"/>
              <w:rPr>
                <w:rFonts w:eastAsiaTheme="minorEastAsia" w:cstheme="minorHAnsi"/>
                <w:sz w:val="21"/>
                <w:szCs w:val="21"/>
              </w:rPr>
            </w:pPr>
          </w:p>
          <w:p w14:paraId="75B44481" w14:textId="35928DD7" w:rsidR="000331A7" w:rsidRPr="0083668E"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-8</m:t>
                      </m:r>
                    </m:sup>
                  </m:sSup>
                </m:e>
              </m:d>
              <m:r>
                <w:rPr>
                  <w:rFonts w:ascii="Cambria Math" w:eastAsiaTheme="minorEastAsia" w:hAnsi="Cambria Math" w:cstheme="minorHAnsi"/>
                  <w:sz w:val="21"/>
                  <w:szCs w:val="21"/>
                </w:rPr>
                <m:t>→P=Occasional</m:t>
              </m:r>
            </m:oMath>
          </w:p>
        </w:tc>
        <w:tc>
          <w:tcPr>
            <w:tcW w:w="1034" w:type="dxa"/>
            <w:vMerge w:val="restart"/>
            <w:tcBorders>
              <w:top w:val="nil"/>
              <w:left w:val="nil"/>
              <w:bottom w:val="single" w:sz="8" w:space="0" w:color="auto"/>
              <w:right w:val="single" w:sz="8" w:space="0" w:color="auto"/>
            </w:tcBorders>
            <w:vAlign w:val="center"/>
          </w:tcPr>
          <w:p w14:paraId="1D013CF7" w14:textId="77777777" w:rsidR="000331A7" w:rsidRPr="000E3F5A" w:rsidRDefault="000331A7" w:rsidP="000331A7">
            <w:pPr>
              <w:pStyle w:val="ListParagraph"/>
              <w:ind w:left="0"/>
              <w:contextualSpacing w:val="0"/>
              <w:jc w:val="center"/>
              <w:rPr>
                <w:rFonts w:cstheme="minorHAnsi"/>
              </w:rPr>
            </w:pPr>
          </w:p>
          <w:p w14:paraId="1FB4EE05" w14:textId="538C847B" w:rsidR="000331A7" w:rsidRPr="000E3F5A" w:rsidRDefault="000331A7" w:rsidP="000331A7">
            <w:pPr>
              <w:pStyle w:val="ListParagraph"/>
              <w:ind w:left="0"/>
              <w:contextualSpacing w:val="0"/>
              <w:jc w:val="center"/>
              <w:rPr>
                <w:rFonts w:cstheme="minorHAnsi"/>
              </w:rPr>
            </w:pPr>
            <w:r>
              <w:rPr>
                <w:rFonts w:eastAsia="Times New Roman"/>
              </w:rPr>
              <w:t>Remote</w:t>
            </w:r>
          </w:p>
        </w:tc>
        <w:tc>
          <w:tcPr>
            <w:tcW w:w="1176" w:type="dxa"/>
            <w:vMerge w:val="restart"/>
            <w:tcBorders>
              <w:top w:val="nil"/>
              <w:left w:val="nil"/>
              <w:bottom w:val="single" w:sz="8" w:space="0" w:color="auto"/>
              <w:right w:val="single" w:sz="8" w:space="0" w:color="auto"/>
            </w:tcBorders>
            <w:vAlign w:val="center"/>
          </w:tcPr>
          <w:p w14:paraId="6C3DBAA0" w14:textId="77777777" w:rsidR="000331A7" w:rsidRPr="000E3F5A" w:rsidRDefault="000331A7" w:rsidP="000331A7">
            <w:pPr>
              <w:pStyle w:val="ListParagraph"/>
              <w:ind w:left="0"/>
              <w:contextualSpacing w:val="0"/>
              <w:jc w:val="center"/>
              <w:rPr>
                <w:rFonts w:cstheme="minorHAnsi"/>
              </w:rPr>
            </w:pPr>
          </w:p>
          <w:p w14:paraId="7B1BF1AE" w14:textId="172D8716" w:rsidR="000331A7" w:rsidRPr="000E3F5A" w:rsidRDefault="000331A7" w:rsidP="000331A7">
            <w:pPr>
              <w:pStyle w:val="ListParagraph"/>
              <w:ind w:left="0"/>
              <w:contextualSpacing w:val="0"/>
              <w:jc w:val="center"/>
              <w:rPr>
                <w:rFonts w:cstheme="minorHAnsi"/>
              </w:rPr>
            </w:pPr>
            <w:r>
              <w:rPr>
                <w:rFonts w:eastAsia="Times New Roman"/>
              </w:rPr>
              <w:t>Probable</w:t>
            </w:r>
          </w:p>
        </w:tc>
        <w:tc>
          <w:tcPr>
            <w:tcW w:w="1249" w:type="dxa"/>
            <w:vAlign w:val="center"/>
          </w:tcPr>
          <w:p w14:paraId="7A13A56E" w14:textId="589FAA5A" w:rsidR="000331A7" w:rsidRPr="000E3F5A" w:rsidRDefault="000331A7" w:rsidP="000331A7">
            <w:pPr>
              <w:pStyle w:val="ListParagraph"/>
              <w:ind w:left="0"/>
              <w:contextualSpacing w:val="0"/>
              <w:jc w:val="center"/>
              <w:rPr>
                <w:rFonts w:cstheme="minorHAnsi"/>
              </w:rPr>
            </w:pPr>
            <w:r>
              <w:rPr>
                <w:rFonts w:cstheme="minorHAnsi"/>
              </w:rPr>
              <w:t>Improbable</w:t>
            </w:r>
          </w:p>
        </w:tc>
        <w:tc>
          <w:tcPr>
            <w:tcW w:w="1335" w:type="dxa"/>
            <w:vAlign w:val="center"/>
          </w:tcPr>
          <w:p w14:paraId="5EBE6BAA" w14:textId="27CB17A7" w:rsidR="000331A7" w:rsidRPr="000E3F5A" w:rsidRDefault="000331A7" w:rsidP="000331A7">
            <w:pPr>
              <w:pStyle w:val="ListParagraph"/>
              <w:ind w:left="0"/>
              <w:contextualSpacing w:val="0"/>
              <w:jc w:val="center"/>
              <w:rPr>
                <w:rFonts w:cstheme="minorHAnsi"/>
              </w:rPr>
            </w:pPr>
            <w:r w:rsidRPr="00345B5B">
              <w:rPr>
                <w:rFonts w:cstheme="minorHAnsi"/>
              </w:rPr>
              <w:t>Minor</w:t>
            </w:r>
          </w:p>
        </w:tc>
      </w:tr>
      <w:tr w:rsidR="000331A7" w:rsidRPr="000E3F5A" w14:paraId="23F16C53" w14:textId="77777777" w:rsidTr="000331A7">
        <w:trPr>
          <w:cantSplit/>
        </w:trPr>
        <w:tc>
          <w:tcPr>
            <w:tcW w:w="1349" w:type="dxa"/>
            <w:vMerge/>
            <w:vAlign w:val="center"/>
          </w:tcPr>
          <w:p w14:paraId="76C8DEE8" w14:textId="77777777" w:rsidR="000331A7" w:rsidRPr="000E3F5A" w:rsidRDefault="000331A7" w:rsidP="000331A7">
            <w:pPr>
              <w:pStyle w:val="ListParagraph"/>
              <w:ind w:left="0"/>
              <w:contextualSpacing w:val="0"/>
              <w:rPr>
                <w:rFonts w:cstheme="minorHAnsi"/>
              </w:rPr>
            </w:pPr>
          </w:p>
        </w:tc>
        <w:tc>
          <w:tcPr>
            <w:tcW w:w="5244" w:type="dxa"/>
            <w:vMerge/>
            <w:vAlign w:val="center"/>
          </w:tcPr>
          <w:p w14:paraId="131C5342" w14:textId="77777777" w:rsidR="000331A7" w:rsidRPr="00D31706" w:rsidRDefault="000331A7" w:rsidP="000331A7">
            <w:pPr>
              <w:pStyle w:val="ListParagraph"/>
              <w:ind w:left="0"/>
              <w:contextualSpacing w:val="0"/>
              <w:rPr>
                <w:rFonts w:cstheme="minorHAnsi"/>
                <w:sz w:val="21"/>
                <w:szCs w:val="21"/>
              </w:rPr>
            </w:pPr>
          </w:p>
        </w:tc>
        <w:tc>
          <w:tcPr>
            <w:tcW w:w="1034" w:type="dxa"/>
            <w:vMerge/>
            <w:tcBorders>
              <w:top w:val="nil"/>
              <w:left w:val="nil"/>
              <w:bottom w:val="single" w:sz="8" w:space="0" w:color="auto"/>
              <w:right w:val="single" w:sz="8" w:space="0" w:color="auto"/>
            </w:tcBorders>
            <w:vAlign w:val="center"/>
          </w:tcPr>
          <w:p w14:paraId="40B2D0E3" w14:textId="77777777" w:rsidR="000331A7" w:rsidRPr="000E3F5A" w:rsidRDefault="000331A7" w:rsidP="000331A7">
            <w:pPr>
              <w:pStyle w:val="ListParagraph"/>
              <w:ind w:left="0"/>
              <w:contextualSpacing w:val="0"/>
              <w:jc w:val="center"/>
              <w:rPr>
                <w:rFonts w:cstheme="minorHAnsi"/>
              </w:rPr>
            </w:pPr>
          </w:p>
        </w:tc>
        <w:tc>
          <w:tcPr>
            <w:tcW w:w="1176" w:type="dxa"/>
            <w:vMerge/>
            <w:tcBorders>
              <w:top w:val="nil"/>
              <w:left w:val="nil"/>
              <w:bottom w:val="single" w:sz="8" w:space="0" w:color="auto"/>
              <w:right w:val="single" w:sz="8" w:space="0" w:color="auto"/>
            </w:tcBorders>
            <w:vAlign w:val="center"/>
          </w:tcPr>
          <w:p w14:paraId="27045A00" w14:textId="77777777" w:rsidR="000331A7" w:rsidRPr="000E3F5A" w:rsidRDefault="000331A7" w:rsidP="000331A7">
            <w:pPr>
              <w:pStyle w:val="ListParagraph"/>
              <w:ind w:left="0"/>
              <w:contextualSpacing w:val="0"/>
              <w:jc w:val="center"/>
              <w:rPr>
                <w:rFonts w:cstheme="minorHAnsi"/>
              </w:rPr>
            </w:pPr>
          </w:p>
        </w:tc>
        <w:tc>
          <w:tcPr>
            <w:tcW w:w="1249" w:type="dxa"/>
            <w:vAlign w:val="center"/>
          </w:tcPr>
          <w:p w14:paraId="6CFD7B0D" w14:textId="69A7C2ED" w:rsidR="000331A7" w:rsidRPr="000E3F5A" w:rsidRDefault="000331A7" w:rsidP="000331A7">
            <w:pPr>
              <w:pStyle w:val="ListParagraph"/>
              <w:ind w:left="0"/>
              <w:contextualSpacing w:val="0"/>
              <w:jc w:val="center"/>
              <w:rPr>
                <w:rFonts w:cstheme="minorHAnsi"/>
              </w:rPr>
            </w:pPr>
            <w:r>
              <w:rPr>
                <w:rFonts w:cstheme="minorHAnsi"/>
              </w:rPr>
              <w:t>Improbable</w:t>
            </w:r>
          </w:p>
        </w:tc>
        <w:tc>
          <w:tcPr>
            <w:tcW w:w="1335" w:type="dxa"/>
            <w:vAlign w:val="center"/>
          </w:tcPr>
          <w:p w14:paraId="5366A5BF" w14:textId="3BC32756" w:rsidR="000331A7" w:rsidRPr="000E3F5A" w:rsidRDefault="000331A7" w:rsidP="000331A7">
            <w:pPr>
              <w:pStyle w:val="ListParagraph"/>
              <w:ind w:left="0"/>
              <w:contextualSpacing w:val="0"/>
              <w:jc w:val="center"/>
              <w:rPr>
                <w:rFonts w:cstheme="minorHAnsi"/>
              </w:rPr>
            </w:pPr>
            <w:r w:rsidRPr="00345B5B">
              <w:rPr>
                <w:rFonts w:cstheme="minorHAnsi"/>
              </w:rPr>
              <w:t>Serious / Major</w:t>
            </w:r>
          </w:p>
        </w:tc>
      </w:tr>
      <w:tr w:rsidR="000331A7" w:rsidRPr="000E3F5A" w14:paraId="0AFF1CF2" w14:textId="77777777" w:rsidTr="000331A7">
        <w:trPr>
          <w:cantSplit/>
          <w:trHeight w:val="576"/>
        </w:trPr>
        <w:tc>
          <w:tcPr>
            <w:tcW w:w="1349" w:type="dxa"/>
            <w:vMerge w:val="restart"/>
            <w:vAlign w:val="center"/>
          </w:tcPr>
          <w:p w14:paraId="7FD5811E" w14:textId="77777777" w:rsidR="000331A7" w:rsidRPr="000E3F5A" w:rsidRDefault="000331A7" w:rsidP="000331A7">
            <w:pPr>
              <w:pStyle w:val="ListParagraph"/>
              <w:ind w:left="0"/>
              <w:contextualSpacing w:val="0"/>
              <w:rPr>
                <w:rFonts w:cstheme="minorHAnsi"/>
              </w:rPr>
            </w:pPr>
            <w:r w:rsidRPr="000E3F5A">
              <w:rPr>
                <w:rFonts w:cstheme="minorHAnsi"/>
              </w:rPr>
              <w:t xml:space="preserve">Heart attack, </w:t>
            </w:r>
            <w:r>
              <w:rPr>
                <w:rFonts w:cstheme="minorHAnsi"/>
              </w:rPr>
              <w:t>S</w:t>
            </w:r>
            <w:r w:rsidRPr="000E3F5A">
              <w:rPr>
                <w:rFonts w:cstheme="minorHAnsi"/>
              </w:rPr>
              <w:t>troke, Kidney injury</w:t>
            </w:r>
          </w:p>
        </w:tc>
        <w:tc>
          <w:tcPr>
            <w:tcW w:w="5244" w:type="dxa"/>
            <w:vMerge w:val="restart"/>
            <w:vAlign w:val="center"/>
          </w:tcPr>
          <w:p w14:paraId="1438E99D" w14:textId="77777777" w:rsidR="000331A7" w:rsidRPr="00D31706" w:rsidRDefault="000331A7" w:rsidP="000331A7">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Per board-certified Emergency Room physician for over 10 years.</w:t>
            </w:r>
          </w:p>
          <w:p w14:paraId="6666F9E2" w14:textId="77777777" w:rsidR="000331A7" w:rsidRPr="00D31706" w:rsidRDefault="000331A7" w:rsidP="000331A7">
            <w:pPr>
              <w:pStyle w:val="ListParagraph"/>
              <w:ind w:left="0"/>
              <w:contextualSpacing w:val="0"/>
              <w:rPr>
                <w:rFonts w:cstheme="minorHAnsi"/>
                <w:sz w:val="21"/>
                <w:szCs w:val="21"/>
              </w:rPr>
            </w:pPr>
          </w:p>
          <w:p w14:paraId="178D48BE"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222C5B3F" w14:textId="77777777" w:rsidR="000331A7" w:rsidRDefault="000331A7" w:rsidP="000331A7">
            <w:pPr>
              <w:pStyle w:val="ListParagraph"/>
              <w:ind w:left="0"/>
              <w:contextualSpacing w:val="0"/>
              <w:rPr>
                <w:rFonts w:eastAsiaTheme="minorEastAsia" w:cstheme="minorHAnsi"/>
                <w:sz w:val="21"/>
                <w:szCs w:val="21"/>
              </w:rPr>
            </w:pPr>
          </w:p>
          <w:p w14:paraId="2138E826" w14:textId="1AB53889" w:rsidR="000331A7" w:rsidRPr="00D31706" w:rsidRDefault="000331A7" w:rsidP="000331A7">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-10</m:t>
                      </m:r>
                    </m:sup>
                  </m:sSup>
                </m:e>
              </m:d>
              <m:r>
                <w:rPr>
                  <w:rFonts w:ascii="Cambria Math" w:eastAsiaTheme="minorEastAsia" w:hAnsi="Cambria Math" w:cstheme="minorHAnsi"/>
                  <w:sz w:val="21"/>
                  <w:szCs w:val="21"/>
                </w:rPr>
                <m:t>→P=Improbable</m:t>
              </m:r>
            </m:oMath>
          </w:p>
        </w:tc>
        <w:tc>
          <w:tcPr>
            <w:tcW w:w="1034" w:type="dxa"/>
            <w:tcBorders>
              <w:top w:val="nil"/>
              <w:left w:val="nil"/>
              <w:right w:val="single" w:sz="8" w:space="0" w:color="auto"/>
            </w:tcBorders>
            <w:vAlign w:val="center"/>
          </w:tcPr>
          <w:p w14:paraId="1F2EC077" w14:textId="71631459" w:rsidR="000331A7" w:rsidRPr="000E3F5A" w:rsidRDefault="000331A7" w:rsidP="000331A7">
            <w:pPr>
              <w:pStyle w:val="ListParagraph"/>
              <w:ind w:left="0"/>
              <w:contextualSpacing w:val="0"/>
              <w:jc w:val="center"/>
              <w:rPr>
                <w:rFonts w:cstheme="minorHAnsi"/>
              </w:rPr>
            </w:pPr>
            <w:r>
              <w:rPr>
                <w:rFonts w:eastAsia="Times New Roman"/>
              </w:rPr>
              <w:t>Improbable</w:t>
            </w:r>
          </w:p>
        </w:tc>
        <w:tc>
          <w:tcPr>
            <w:tcW w:w="1176" w:type="dxa"/>
            <w:tcBorders>
              <w:top w:val="nil"/>
              <w:left w:val="nil"/>
              <w:bottom w:val="single" w:sz="8" w:space="0" w:color="auto"/>
              <w:right w:val="single" w:sz="8" w:space="0" w:color="auto"/>
            </w:tcBorders>
            <w:vAlign w:val="center"/>
          </w:tcPr>
          <w:p w14:paraId="5F9A53B8" w14:textId="7167B528" w:rsidR="000331A7" w:rsidRPr="000E3F5A" w:rsidRDefault="000331A7" w:rsidP="000331A7">
            <w:pPr>
              <w:pStyle w:val="ListParagraph"/>
              <w:ind w:left="0"/>
              <w:contextualSpacing w:val="0"/>
              <w:jc w:val="center"/>
              <w:rPr>
                <w:rFonts w:cstheme="minorHAnsi"/>
              </w:rPr>
            </w:pPr>
            <w:r>
              <w:rPr>
                <w:rFonts w:eastAsia="Times New Roman"/>
              </w:rPr>
              <w:t>Occasional</w:t>
            </w:r>
          </w:p>
        </w:tc>
        <w:tc>
          <w:tcPr>
            <w:tcW w:w="1249" w:type="dxa"/>
            <w:vAlign w:val="center"/>
          </w:tcPr>
          <w:p w14:paraId="3E8AA66A" w14:textId="676FDC6A" w:rsidR="000331A7" w:rsidRPr="000E3F5A" w:rsidRDefault="000331A7" w:rsidP="000331A7">
            <w:pPr>
              <w:pStyle w:val="ListParagraph"/>
              <w:ind w:left="0"/>
              <w:contextualSpacing w:val="0"/>
              <w:jc w:val="center"/>
              <w:rPr>
                <w:rFonts w:cstheme="minorHAnsi"/>
              </w:rPr>
            </w:pPr>
            <w:r>
              <w:rPr>
                <w:rFonts w:eastAsia="Times New Roman"/>
              </w:rPr>
              <w:t>Improbable</w:t>
            </w:r>
          </w:p>
        </w:tc>
        <w:tc>
          <w:tcPr>
            <w:tcW w:w="1335" w:type="dxa"/>
            <w:vAlign w:val="center"/>
          </w:tcPr>
          <w:p w14:paraId="681F11EA" w14:textId="29B2047F" w:rsidR="000331A7" w:rsidRPr="000E3F5A" w:rsidRDefault="000331A7" w:rsidP="000331A7">
            <w:pPr>
              <w:pStyle w:val="ListParagraph"/>
              <w:ind w:left="0"/>
              <w:contextualSpacing w:val="0"/>
              <w:jc w:val="center"/>
              <w:rPr>
                <w:rFonts w:cstheme="minorHAnsi"/>
              </w:rPr>
            </w:pPr>
            <w:r w:rsidRPr="001B1A9A">
              <w:rPr>
                <w:rFonts w:cstheme="minorHAnsi"/>
              </w:rPr>
              <w:t>Catastrophic / Fatal</w:t>
            </w:r>
          </w:p>
        </w:tc>
      </w:tr>
      <w:tr w:rsidR="000331A7" w:rsidRPr="000E3F5A" w14:paraId="1D83DF59" w14:textId="77777777" w:rsidTr="000331A7">
        <w:trPr>
          <w:cantSplit/>
          <w:trHeight w:val="576"/>
        </w:trPr>
        <w:tc>
          <w:tcPr>
            <w:tcW w:w="1349" w:type="dxa"/>
            <w:vMerge/>
            <w:vAlign w:val="center"/>
          </w:tcPr>
          <w:p w14:paraId="780628B5" w14:textId="77777777" w:rsidR="000331A7" w:rsidRPr="000E3F5A" w:rsidRDefault="000331A7" w:rsidP="000331A7">
            <w:pPr>
              <w:pStyle w:val="ListParagraph"/>
              <w:ind w:left="0"/>
              <w:contextualSpacing w:val="0"/>
              <w:rPr>
                <w:rFonts w:cstheme="minorHAnsi"/>
              </w:rPr>
            </w:pPr>
          </w:p>
        </w:tc>
        <w:tc>
          <w:tcPr>
            <w:tcW w:w="5244" w:type="dxa"/>
            <w:vMerge/>
            <w:vAlign w:val="center"/>
          </w:tcPr>
          <w:p w14:paraId="1F549BD2" w14:textId="77777777" w:rsidR="000331A7" w:rsidRPr="00D31706" w:rsidRDefault="000331A7" w:rsidP="000331A7">
            <w:pPr>
              <w:pStyle w:val="ListParagraph"/>
              <w:ind w:left="0"/>
              <w:contextualSpacing w:val="0"/>
              <w:rPr>
                <w:rFonts w:cstheme="minorHAnsi"/>
                <w:sz w:val="21"/>
                <w:szCs w:val="21"/>
              </w:rPr>
            </w:pPr>
          </w:p>
        </w:tc>
        <w:tc>
          <w:tcPr>
            <w:tcW w:w="1034" w:type="dxa"/>
            <w:tcBorders>
              <w:left w:val="nil"/>
              <w:right w:val="single" w:sz="8" w:space="0" w:color="auto"/>
            </w:tcBorders>
            <w:vAlign w:val="center"/>
          </w:tcPr>
          <w:p w14:paraId="0BEA88B4" w14:textId="77777777" w:rsidR="000331A7" w:rsidRPr="000E3F5A" w:rsidRDefault="000331A7" w:rsidP="000331A7">
            <w:pPr>
              <w:pStyle w:val="ListParagraph"/>
              <w:ind w:left="0"/>
              <w:contextualSpacing w:val="0"/>
              <w:jc w:val="center"/>
              <w:rPr>
                <w:rFonts w:cstheme="minorHAnsi"/>
              </w:rPr>
            </w:pPr>
            <w:r>
              <w:rPr>
                <w:rFonts w:eastAsia="Times New Roman"/>
              </w:rPr>
              <w:t>Often</w:t>
            </w:r>
          </w:p>
        </w:tc>
        <w:tc>
          <w:tcPr>
            <w:tcW w:w="1176" w:type="dxa"/>
            <w:tcBorders>
              <w:top w:val="nil"/>
              <w:left w:val="nil"/>
              <w:bottom w:val="single" w:sz="8" w:space="0" w:color="auto"/>
              <w:right w:val="single" w:sz="8" w:space="0" w:color="auto"/>
            </w:tcBorders>
            <w:vAlign w:val="center"/>
          </w:tcPr>
          <w:p w14:paraId="3F8B2AD2" w14:textId="77777777" w:rsidR="000331A7" w:rsidRPr="000E3F5A" w:rsidRDefault="000331A7" w:rsidP="000331A7">
            <w:pPr>
              <w:pStyle w:val="ListParagraph"/>
              <w:ind w:left="0"/>
              <w:contextualSpacing w:val="0"/>
              <w:jc w:val="center"/>
              <w:rPr>
                <w:rFonts w:cstheme="minorHAnsi"/>
              </w:rPr>
            </w:pPr>
            <w:r>
              <w:rPr>
                <w:rFonts w:eastAsia="Times New Roman"/>
              </w:rPr>
              <w:t>Expected</w:t>
            </w:r>
          </w:p>
        </w:tc>
        <w:tc>
          <w:tcPr>
            <w:tcW w:w="1249" w:type="dxa"/>
            <w:vAlign w:val="center"/>
          </w:tcPr>
          <w:p w14:paraId="58F6946D" w14:textId="539BEF62" w:rsidR="000331A7" w:rsidRPr="000E3F5A" w:rsidRDefault="000331A7" w:rsidP="000331A7">
            <w:pPr>
              <w:pStyle w:val="ListParagraph"/>
              <w:ind w:left="0"/>
              <w:contextualSpacing w:val="0"/>
              <w:jc w:val="center"/>
              <w:rPr>
                <w:rFonts w:cstheme="minorHAnsi"/>
              </w:rPr>
            </w:pPr>
            <w:r>
              <w:rPr>
                <w:rFonts w:eastAsia="Times New Roman"/>
              </w:rPr>
              <w:t>Improbable</w:t>
            </w:r>
          </w:p>
        </w:tc>
        <w:tc>
          <w:tcPr>
            <w:tcW w:w="1335" w:type="dxa"/>
            <w:vAlign w:val="center"/>
          </w:tcPr>
          <w:p w14:paraId="06A90726" w14:textId="22FF6E13" w:rsidR="000331A7" w:rsidRPr="000E3F5A" w:rsidRDefault="000331A7" w:rsidP="000331A7">
            <w:pPr>
              <w:pStyle w:val="ListParagraph"/>
              <w:ind w:left="0"/>
              <w:contextualSpacing w:val="0"/>
              <w:jc w:val="center"/>
              <w:rPr>
                <w:rFonts w:cstheme="minorHAnsi"/>
              </w:rPr>
            </w:pPr>
            <w:r w:rsidRPr="001B1A9A">
              <w:rPr>
                <w:rFonts w:cstheme="minorHAnsi"/>
              </w:rPr>
              <w:t>Critical</w:t>
            </w:r>
          </w:p>
        </w:tc>
      </w:tr>
      <w:tr w:rsidR="000331A7" w:rsidRPr="000E3F5A" w14:paraId="5358DC95" w14:textId="77777777" w:rsidTr="000331A7">
        <w:trPr>
          <w:cantSplit/>
          <w:trHeight w:val="576"/>
        </w:trPr>
        <w:tc>
          <w:tcPr>
            <w:tcW w:w="1349" w:type="dxa"/>
            <w:vMerge/>
            <w:vAlign w:val="center"/>
          </w:tcPr>
          <w:p w14:paraId="671C290E" w14:textId="77777777" w:rsidR="000331A7" w:rsidRPr="000E3F5A" w:rsidRDefault="000331A7" w:rsidP="000331A7">
            <w:pPr>
              <w:pStyle w:val="ListParagraph"/>
              <w:ind w:left="0"/>
              <w:contextualSpacing w:val="0"/>
              <w:rPr>
                <w:rFonts w:cstheme="minorHAnsi"/>
              </w:rPr>
            </w:pPr>
          </w:p>
        </w:tc>
        <w:tc>
          <w:tcPr>
            <w:tcW w:w="5244" w:type="dxa"/>
            <w:vMerge/>
            <w:vAlign w:val="center"/>
          </w:tcPr>
          <w:p w14:paraId="3E5FE21E" w14:textId="77777777" w:rsidR="000331A7" w:rsidRPr="00D31706" w:rsidRDefault="000331A7" w:rsidP="000331A7">
            <w:pPr>
              <w:pStyle w:val="ListParagraph"/>
              <w:ind w:left="0"/>
              <w:contextualSpacing w:val="0"/>
              <w:rPr>
                <w:rFonts w:cstheme="minorHAnsi"/>
                <w:sz w:val="21"/>
                <w:szCs w:val="21"/>
              </w:rPr>
            </w:pPr>
          </w:p>
        </w:tc>
        <w:tc>
          <w:tcPr>
            <w:tcW w:w="1034" w:type="dxa"/>
            <w:tcBorders>
              <w:left w:val="nil"/>
              <w:bottom w:val="single" w:sz="8" w:space="0" w:color="auto"/>
              <w:right w:val="single" w:sz="8" w:space="0" w:color="auto"/>
            </w:tcBorders>
            <w:vAlign w:val="center"/>
          </w:tcPr>
          <w:p w14:paraId="7F725F2D" w14:textId="77777777" w:rsidR="000331A7" w:rsidRPr="000E3F5A" w:rsidRDefault="000331A7" w:rsidP="000331A7">
            <w:pPr>
              <w:pStyle w:val="ListParagraph"/>
              <w:ind w:left="0"/>
              <w:contextualSpacing w:val="0"/>
              <w:jc w:val="center"/>
              <w:rPr>
                <w:rFonts w:cstheme="minorHAnsi"/>
              </w:rPr>
            </w:pPr>
            <w:r>
              <w:rPr>
                <w:rFonts w:eastAsia="Times New Roman"/>
              </w:rPr>
              <w:t>Expected</w:t>
            </w:r>
          </w:p>
        </w:tc>
        <w:tc>
          <w:tcPr>
            <w:tcW w:w="1176" w:type="dxa"/>
            <w:tcBorders>
              <w:top w:val="nil"/>
              <w:left w:val="nil"/>
              <w:bottom w:val="single" w:sz="8" w:space="0" w:color="auto"/>
              <w:right w:val="single" w:sz="8" w:space="0" w:color="auto"/>
            </w:tcBorders>
            <w:vAlign w:val="center"/>
          </w:tcPr>
          <w:p w14:paraId="61BA5016" w14:textId="77777777" w:rsidR="000331A7" w:rsidRPr="000E3F5A" w:rsidRDefault="000331A7" w:rsidP="000331A7">
            <w:pPr>
              <w:pStyle w:val="ListParagraph"/>
              <w:ind w:left="0"/>
              <w:contextualSpacing w:val="0"/>
              <w:jc w:val="center"/>
              <w:rPr>
                <w:rFonts w:cstheme="minorHAnsi"/>
              </w:rPr>
            </w:pPr>
            <w:r>
              <w:rPr>
                <w:rFonts w:eastAsia="Times New Roman"/>
              </w:rPr>
              <w:t>Expected</w:t>
            </w:r>
          </w:p>
        </w:tc>
        <w:tc>
          <w:tcPr>
            <w:tcW w:w="1249" w:type="dxa"/>
            <w:vAlign w:val="center"/>
          </w:tcPr>
          <w:p w14:paraId="439F36E1" w14:textId="625791DC" w:rsidR="000331A7" w:rsidRPr="000E3F5A" w:rsidRDefault="000331A7" w:rsidP="000331A7">
            <w:pPr>
              <w:pStyle w:val="ListParagraph"/>
              <w:ind w:left="0"/>
              <w:contextualSpacing w:val="0"/>
              <w:jc w:val="center"/>
              <w:rPr>
                <w:rFonts w:cstheme="minorHAnsi"/>
              </w:rPr>
            </w:pPr>
            <w:r>
              <w:rPr>
                <w:rFonts w:eastAsia="Times New Roman"/>
              </w:rPr>
              <w:t>Improbable</w:t>
            </w:r>
          </w:p>
        </w:tc>
        <w:tc>
          <w:tcPr>
            <w:tcW w:w="1335" w:type="dxa"/>
            <w:vAlign w:val="center"/>
          </w:tcPr>
          <w:p w14:paraId="4E093C3D" w14:textId="58AD7671" w:rsidR="000331A7" w:rsidRPr="000E3F5A" w:rsidRDefault="000331A7" w:rsidP="000331A7">
            <w:pPr>
              <w:pStyle w:val="ListParagraph"/>
              <w:ind w:left="0"/>
              <w:contextualSpacing w:val="0"/>
              <w:jc w:val="center"/>
              <w:rPr>
                <w:rFonts w:cstheme="minorHAnsi"/>
              </w:rPr>
            </w:pPr>
            <w:r w:rsidRPr="001B1A9A">
              <w:rPr>
                <w:rFonts w:cstheme="minorHAnsi"/>
              </w:rPr>
              <w:t>Serious / Major</w:t>
            </w:r>
          </w:p>
        </w:tc>
      </w:tr>
      <w:tr w:rsidR="000331A7" w:rsidRPr="000E3F5A" w14:paraId="054827CA" w14:textId="77777777" w:rsidTr="000331A7">
        <w:trPr>
          <w:cantSplit/>
        </w:trPr>
        <w:tc>
          <w:tcPr>
            <w:tcW w:w="1349" w:type="dxa"/>
            <w:vAlign w:val="center"/>
          </w:tcPr>
          <w:p w14:paraId="1313139A" w14:textId="77777777" w:rsidR="000331A7" w:rsidRPr="000E3F5A" w:rsidRDefault="000331A7" w:rsidP="000331A7">
            <w:pPr>
              <w:pStyle w:val="ListParagraph"/>
              <w:ind w:left="0"/>
              <w:contextualSpacing w:val="0"/>
              <w:rPr>
                <w:rFonts w:cstheme="minorHAnsi"/>
              </w:rPr>
            </w:pPr>
            <w:r w:rsidRPr="000E3F5A">
              <w:rPr>
                <w:rFonts w:cstheme="minorHAnsi"/>
              </w:rPr>
              <w:lastRenderedPageBreak/>
              <w:t>Esophageal Varices</w:t>
            </w:r>
          </w:p>
        </w:tc>
        <w:tc>
          <w:tcPr>
            <w:tcW w:w="5244" w:type="dxa"/>
            <w:vAlign w:val="center"/>
          </w:tcPr>
          <w:p w14:paraId="1F58B874"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xml:space="preserve">: </w:t>
            </w:r>
            <w:r>
              <w:rPr>
                <w:rFonts w:eastAsiaTheme="minorEastAsia" w:cstheme="minorHAnsi"/>
                <w:sz w:val="21"/>
                <w:szCs w:val="21"/>
              </w:rPr>
              <w:t xml:space="preserve"> Per references from the board-certified Emergency Room physician for over 10 years: </w:t>
            </w:r>
          </w:p>
          <w:p w14:paraId="29A8FD94" w14:textId="77777777" w:rsidR="000331A7" w:rsidRDefault="000331A7" w:rsidP="000331A7">
            <w:pPr>
              <w:pStyle w:val="ListParagraph"/>
              <w:ind w:left="0"/>
              <w:contextualSpacing w:val="0"/>
              <w:rPr>
                <w:rFonts w:eastAsiaTheme="minorEastAsia" w:cstheme="minorHAnsi"/>
                <w:sz w:val="21"/>
                <w:szCs w:val="21"/>
              </w:rPr>
            </w:pPr>
            <w:r>
              <w:rPr>
                <w:rFonts w:eastAsiaTheme="minorEastAsia" w:cstheme="minorHAnsi"/>
                <w:sz w:val="21"/>
                <w:szCs w:val="21"/>
              </w:rPr>
              <w:t xml:space="preserve">Between 1966 and 2013, there have been 50 cases of Esophageal Varices triggered by transfusions. </w:t>
            </w:r>
          </w:p>
          <w:p w14:paraId="5314DC86" w14:textId="77777777" w:rsidR="000331A7" w:rsidRDefault="000331A7" w:rsidP="000331A7">
            <w:pPr>
              <w:pStyle w:val="ListParagraph"/>
              <w:ind w:left="0"/>
              <w:contextualSpacing w:val="0"/>
              <w:rPr>
                <w:rFonts w:eastAsiaTheme="minorEastAsia" w:cstheme="minorHAnsi"/>
                <w:sz w:val="21"/>
                <w:szCs w:val="21"/>
              </w:rPr>
            </w:pPr>
            <w:r>
              <w:rPr>
                <w:rFonts w:eastAsiaTheme="minorEastAsia" w:cstheme="minorHAnsi"/>
                <w:sz w:val="21"/>
                <w:szCs w:val="21"/>
              </w:rPr>
              <w:t>Per the Red Cross, there are 29,000 transfusions per day, or 10,585,000 transfusions per year.</w:t>
            </w:r>
          </w:p>
          <w:p w14:paraId="625CDEA3" w14:textId="77777777" w:rsidR="000331A7" w:rsidRPr="00D31706" w:rsidRDefault="000331A7" w:rsidP="000331A7">
            <w:pPr>
              <w:pStyle w:val="ListParagraph"/>
              <w:ind w:left="0"/>
              <w:contextualSpacing w:val="0"/>
              <w:rPr>
                <w:rFonts w:cstheme="minorHAnsi"/>
                <w:sz w:val="21"/>
                <w:szCs w:val="21"/>
              </w:rPr>
            </w:pPr>
            <w:r>
              <w:rPr>
                <w:rFonts w:eastAsiaTheme="minorEastAsia" w:cstheme="minorHAnsi"/>
                <w:sz w:val="21"/>
                <w:szCs w:val="21"/>
              </w:rPr>
              <w:t xml:space="preserve">Therefore, 50 / (47 × 10,585,000) = </w:t>
            </w:r>
            <m:oMath>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r>
                <w:rPr>
                  <w:rFonts w:ascii="Cambria Math" w:eastAsiaTheme="minorEastAsia" w:hAnsi="Cambria Math" w:cstheme="minorHAnsi"/>
                  <w:sz w:val="21"/>
                  <w:szCs w:val="21"/>
                </w:rPr>
                <m:t>→</m:t>
              </m:r>
            </m:oMath>
            <w:r>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Pr>
                <w:rFonts w:eastAsiaTheme="minorEastAsia" w:cstheme="minorHAnsi"/>
                <w:sz w:val="21"/>
                <w:szCs w:val="21"/>
              </w:rPr>
              <w:t xml:space="preserve"> = Improbable</w:t>
            </w:r>
          </w:p>
          <w:p w14:paraId="1FD60AE1" w14:textId="77777777" w:rsidR="000331A7" w:rsidRPr="00D31706" w:rsidRDefault="000331A7" w:rsidP="000331A7">
            <w:pPr>
              <w:pStyle w:val="ListParagraph"/>
              <w:ind w:left="0"/>
              <w:contextualSpacing w:val="0"/>
              <w:rPr>
                <w:rFonts w:cstheme="minorHAnsi"/>
                <w:sz w:val="21"/>
                <w:szCs w:val="21"/>
              </w:rPr>
            </w:pPr>
          </w:p>
          <w:p w14:paraId="716C1049" w14:textId="77777777" w:rsidR="000331A7" w:rsidRDefault="000331A7" w:rsidP="000331A7">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w:t>
            </w:r>
            <w:r>
              <w:rPr>
                <w:rFonts w:eastAsiaTheme="minorEastAsia" w:cstheme="minorHAnsi"/>
                <w:sz w:val="21"/>
                <w:szCs w:val="21"/>
              </w:rPr>
              <w:t xml:space="preserve">  Per board-certified Emergency Room physician for over 10 years. </w:t>
            </w:r>
            <w:r w:rsidRPr="00DD7103">
              <w:rPr>
                <w:rFonts w:eastAsiaTheme="minorEastAsia" w:cstheme="minorHAnsi"/>
                <w:sz w:val="21"/>
                <w:szCs w:val="21"/>
              </w:rPr>
              <w:t xml:space="preserve"> </w:t>
            </w:r>
          </w:p>
          <w:p w14:paraId="59B9A359" w14:textId="77777777" w:rsidR="000331A7" w:rsidRDefault="000331A7" w:rsidP="000331A7">
            <w:pPr>
              <w:pStyle w:val="ListParagraph"/>
              <w:ind w:left="0"/>
              <w:contextualSpacing w:val="0"/>
              <w:rPr>
                <w:rFonts w:eastAsiaTheme="minorEastAsia" w:cstheme="minorHAnsi"/>
                <w:sz w:val="21"/>
                <w:szCs w:val="21"/>
              </w:rPr>
            </w:pPr>
          </w:p>
          <w:p w14:paraId="03570C95" w14:textId="41BC7DA6" w:rsidR="000331A7" w:rsidRPr="00D31706" w:rsidRDefault="000331A7" w:rsidP="000331A7">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-8</m:t>
                      </m:r>
                    </m:sup>
                  </m:sSup>
                </m:e>
              </m:d>
              <m:r>
                <w:rPr>
                  <w:rFonts w:ascii="Cambria Math" w:eastAsiaTheme="minorEastAsia" w:hAnsi="Cambria Math" w:cstheme="minorHAnsi"/>
                  <w:sz w:val="21"/>
                  <w:szCs w:val="21"/>
                </w:rPr>
                <m:t>→P=Improbable</m:t>
              </m:r>
            </m:oMath>
          </w:p>
        </w:tc>
        <w:tc>
          <w:tcPr>
            <w:tcW w:w="1034" w:type="dxa"/>
            <w:tcBorders>
              <w:top w:val="nil"/>
              <w:left w:val="nil"/>
              <w:bottom w:val="single" w:sz="8" w:space="0" w:color="auto"/>
              <w:right w:val="single" w:sz="8" w:space="0" w:color="auto"/>
            </w:tcBorders>
            <w:vAlign w:val="center"/>
          </w:tcPr>
          <w:p w14:paraId="3D8A5E5C" w14:textId="1B45219F" w:rsidR="000331A7" w:rsidRPr="000E3F5A" w:rsidRDefault="000331A7" w:rsidP="000331A7">
            <w:pPr>
              <w:pStyle w:val="ListParagraph"/>
              <w:ind w:left="0"/>
              <w:contextualSpacing w:val="0"/>
              <w:jc w:val="center"/>
              <w:rPr>
                <w:rFonts w:cstheme="minorHAnsi"/>
              </w:rPr>
            </w:pPr>
            <w:r>
              <w:rPr>
                <w:rFonts w:eastAsia="Times New Roman"/>
              </w:rPr>
              <w:t>Occasional</w:t>
            </w:r>
          </w:p>
        </w:tc>
        <w:tc>
          <w:tcPr>
            <w:tcW w:w="1176" w:type="dxa"/>
            <w:tcBorders>
              <w:top w:val="nil"/>
              <w:left w:val="nil"/>
              <w:bottom w:val="single" w:sz="8" w:space="0" w:color="auto"/>
              <w:right w:val="single" w:sz="8" w:space="0" w:color="auto"/>
            </w:tcBorders>
            <w:vAlign w:val="center"/>
          </w:tcPr>
          <w:p w14:paraId="0052CC0A" w14:textId="78A68030" w:rsidR="000331A7" w:rsidRPr="000E3F5A" w:rsidRDefault="000331A7" w:rsidP="000331A7">
            <w:pPr>
              <w:pStyle w:val="ListParagraph"/>
              <w:ind w:left="0"/>
              <w:contextualSpacing w:val="0"/>
              <w:jc w:val="center"/>
              <w:rPr>
                <w:rFonts w:cstheme="minorHAnsi"/>
              </w:rPr>
            </w:pPr>
            <w:r>
              <w:rPr>
                <w:rFonts w:eastAsia="Times New Roman"/>
              </w:rPr>
              <w:t>Occasional</w:t>
            </w:r>
          </w:p>
        </w:tc>
        <w:tc>
          <w:tcPr>
            <w:tcW w:w="1249" w:type="dxa"/>
            <w:vAlign w:val="center"/>
          </w:tcPr>
          <w:p w14:paraId="036A3C3B" w14:textId="14865A29" w:rsidR="000331A7" w:rsidRPr="000E3F5A" w:rsidRDefault="000331A7" w:rsidP="000331A7">
            <w:pPr>
              <w:pStyle w:val="ListParagraph"/>
              <w:ind w:left="0"/>
              <w:contextualSpacing w:val="0"/>
              <w:jc w:val="center"/>
              <w:rPr>
                <w:rFonts w:cstheme="minorHAnsi"/>
              </w:rPr>
            </w:pPr>
            <w:r>
              <w:rPr>
                <w:rFonts w:eastAsia="Times New Roman"/>
              </w:rPr>
              <w:t>Improbable</w:t>
            </w:r>
          </w:p>
        </w:tc>
        <w:tc>
          <w:tcPr>
            <w:tcW w:w="1335" w:type="dxa"/>
            <w:vAlign w:val="center"/>
          </w:tcPr>
          <w:p w14:paraId="1D955770" w14:textId="326ABF3E" w:rsidR="000331A7" w:rsidRPr="000E3F5A" w:rsidRDefault="000331A7" w:rsidP="000331A7">
            <w:pPr>
              <w:pStyle w:val="ListParagraph"/>
              <w:ind w:left="0"/>
              <w:contextualSpacing w:val="0"/>
              <w:jc w:val="center"/>
              <w:rPr>
                <w:rFonts w:cstheme="minorHAnsi"/>
              </w:rPr>
            </w:pPr>
            <w:r>
              <w:rPr>
                <w:rFonts w:cstheme="minorHAnsi"/>
              </w:rPr>
              <w:t>Catastrophic / Fatal</w:t>
            </w:r>
          </w:p>
        </w:tc>
      </w:tr>
    </w:tbl>
    <w:p w14:paraId="363DC47D" w14:textId="77777777" w:rsidR="001E2072" w:rsidRDefault="001E2072" w:rsidP="001E2072">
      <w:pPr>
        <w:pStyle w:val="ListParagraph"/>
        <w:ind w:left="1584"/>
        <w:rPr>
          <w:rFonts w:eastAsiaTheme="minorEastAsia" w:cstheme="minorHAnsi"/>
        </w:rPr>
      </w:pPr>
    </w:p>
    <w:p w14:paraId="685E19EA" w14:textId="77777777" w:rsidR="001639C0" w:rsidRDefault="001639C0" w:rsidP="001639C0">
      <w:pPr>
        <w:pStyle w:val="ListParagraph"/>
      </w:pPr>
    </w:p>
    <w:p w14:paraId="7D151AAB" w14:textId="77777777" w:rsidR="001639C0" w:rsidRPr="00C45E04" w:rsidRDefault="001639C0">
      <w:pPr>
        <w:pStyle w:val="ListParagraph"/>
        <w:numPr>
          <w:ilvl w:val="2"/>
          <w:numId w:val="13"/>
        </w:numPr>
        <w:rPr>
          <w:rFonts w:cstheme="minorHAnsi"/>
        </w:rPr>
      </w:pPr>
      <w:r>
        <w:rPr>
          <w:rFonts w:cstheme="minorHAnsi"/>
        </w:rPr>
        <w:t xml:space="preserve">Populate each cell in the following table for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F60A9B" w14:paraId="72C1AE09" w14:textId="77777777" w:rsidTr="00024DD9">
        <w:trPr>
          <w:cantSplit/>
          <w:tblHeader/>
          <w:jc w:val="center"/>
        </w:trPr>
        <w:tc>
          <w:tcPr>
            <w:tcW w:w="0" w:type="auto"/>
            <w:tcBorders>
              <w:top w:val="nil"/>
              <w:left w:val="nil"/>
              <w:bottom w:val="single" w:sz="4" w:space="0" w:color="auto"/>
            </w:tcBorders>
          </w:tcPr>
          <w:p w14:paraId="2DAD0B35" w14:textId="77777777" w:rsidR="001639C0"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0" w:type="auto"/>
            <w:tcBorders>
              <w:top w:val="single" w:sz="4" w:space="0" w:color="auto"/>
              <w:bottom w:val="single" w:sz="12" w:space="0" w:color="auto"/>
            </w:tcBorders>
            <w:vAlign w:val="center"/>
          </w:tcPr>
          <w:p w14:paraId="6293B81C" w14:textId="77777777" w:rsidR="001639C0" w:rsidRPr="005B7BEE" w:rsidRDefault="001639C0" w:rsidP="00024DD9">
            <w:pPr>
              <w:jc w:val="center"/>
              <w:rPr>
                <w:sz w:val="14"/>
                <w:szCs w:val="14"/>
              </w:rPr>
            </w:pPr>
            <w:r w:rsidRPr="005B7BEE">
              <w:rPr>
                <w:sz w:val="14"/>
                <w:szCs w:val="14"/>
              </w:rPr>
              <w:t>Negligible</w:t>
            </w:r>
          </w:p>
          <w:p w14:paraId="580AEB6D" w14:textId="77777777" w:rsidR="001639C0" w:rsidRPr="005B7BEE" w:rsidRDefault="001639C0" w:rsidP="00024DD9">
            <w:pPr>
              <w:jc w:val="center"/>
              <w:rPr>
                <w:sz w:val="14"/>
                <w:szCs w:val="14"/>
              </w:rPr>
            </w:pPr>
          </w:p>
        </w:tc>
        <w:tc>
          <w:tcPr>
            <w:tcW w:w="0" w:type="auto"/>
            <w:tcBorders>
              <w:top w:val="single" w:sz="4" w:space="0" w:color="auto"/>
              <w:bottom w:val="single" w:sz="12" w:space="0" w:color="auto"/>
            </w:tcBorders>
            <w:vAlign w:val="center"/>
          </w:tcPr>
          <w:p w14:paraId="35F6ABF6" w14:textId="77777777" w:rsidR="001639C0" w:rsidRPr="005B7BEE" w:rsidRDefault="001639C0"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32FBD67" w14:textId="77777777" w:rsidR="001639C0" w:rsidRPr="005B7BEE" w:rsidRDefault="001639C0" w:rsidP="00024DD9">
            <w:pPr>
              <w:jc w:val="center"/>
              <w:rPr>
                <w:sz w:val="14"/>
                <w:szCs w:val="14"/>
              </w:rPr>
            </w:pPr>
            <w:r w:rsidRPr="005B7BEE">
              <w:rPr>
                <w:sz w:val="14"/>
                <w:szCs w:val="14"/>
              </w:rPr>
              <w:t xml:space="preserve">Serious / </w:t>
            </w:r>
          </w:p>
          <w:p w14:paraId="69820BBB" w14:textId="77777777" w:rsidR="001639C0" w:rsidRPr="005B7BEE" w:rsidRDefault="001639C0" w:rsidP="00024DD9">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3D08F3AE" w14:textId="77777777" w:rsidR="001639C0" w:rsidRPr="005B7BEE" w:rsidRDefault="001639C0"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1B791F86" w14:textId="77777777" w:rsidR="001639C0" w:rsidRPr="005B7BEE" w:rsidRDefault="001639C0" w:rsidP="00024DD9">
            <w:pPr>
              <w:jc w:val="center"/>
              <w:rPr>
                <w:sz w:val="14"/>
                <w:szCs w:val="14"/>
              </w:rPr>
            </w:pPr>
            <w:r w:rsidRPr="005B7BEE">
              <w:rPr>
                <w:sz w:val="14"/>
                <w:szCs w:val="14"/>
              </w:rPr>
              <w:t xml:space="preserve">Catastrophic </w:t>
            </w:r>
          </w:p>
          <w:p w14:paraId="10BB0BD5" w14:textId="77777777" w:rsidR="001639C0" w:rsidRPr="005B7BEE" w:rsidRDefault="001639C0" w:rsidP="00024DD9">
            <w:pPr>
              <w:jc w:val="center"/>
              <w:rPr>
                <w:sz w:val="14"/>
                <w:szCs w:val="14"/>
              </w:rPr>
            </w:pPr>
            <w:r w:rsidRPr="005B7BEE">
              <w:rPr>
                <w:sz w:val="14"/>
                <w:szCs w:val="14"/>
              </w:rPr>
              <w:t>/ Fatal</w:t>
            </w:r>
          </w:p>
        </w:tc>
      </w:tr>
      <w:tr w:rsidR="00260DED" w:rsidRPr="00F60A9B" w14:paraId="5EEE2CDE" w14:textId="77777777" w:rsidTr="00AE0D34">
        <w:trPr>
          <w:cantSplit/>
          <w:jc w:val="center"/>
        </w:trPr>
        <w:tc>
          <w:tcPr>
            <w:tcW w:w="0" w:type="auto"/>
            <w:tcBorders>
              <w:top w:val="single" w:sz="4" w:space="0" w:color="auto"/>
              <w:right w:val="single" w:sz="12" w:space="0" w:color="auto"/>
            </w:tcBorders>
          </w:tcPr>
          <w:p w14:paraId="0B3E904D" w14:textId="77777777" w:rsidR="00260DED" w:rsidRPr="005B7BEE" w:rsidRDefault="00260DED" w:rsidP="00260DED">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A32855A" w14:textId="224F765D" w:rsidR="00260DED" w:rsidRPr="00F60A9B"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32D46A" w14:textId="0F7FD619"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C0BD720" w14:textId="174DB0A9"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D48C0C3" w14:textId="12F164C6"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B17E662" w14:textId="7812D623" w:rsidR="00260DED" w:rsidRPr="00F60A9B" w:rsidRDefault="00260DED" w:rsidP="00260DED">
            <w:pPr>
              <w:jc w:val="center"/>
            </w:pPr>
            <w:r>
              <w:rPr>
                <w:rFonts w:ascii="Calibri" w:hAnsi="Calibri" w:cs="Calibri"/>
                <w:color w:val="000000"/>
              </w:rPr>
              <w:t>0</w:t>
            </w:r>
          </w:p>
        </w:tc>
      </w:tr>
      <w:tr w:rsidR="00260DED" w:rsidRPr="00F60A9B" w14:paraId="2158BC9F" w14:textId="77777777" w:rsidTr="00AE0D34">
        <w:trPr>
          <w:cantSplit/>
          <w:jc w:val="center"/>
        </w:trPr>
        <w:tc>
          <w:tcPr>
            <w:tcW w:w="0" w:type="auto"/>
            <w:tcBorders>
              <w:right w:val="single" w:sz="12" w:space="0" w:color="auto"/>
            </w:tcBorders>
          </w:tcPr>
          <w:p w14:paraId="723C36CF" w14:textId="77777777" w:rsidR="00260DED" w:rsidRPr="005B7BEE" w:rsidRDefault="00260DED" w:rsidP="00260DED">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B0F8E33" w14:textId="7D9BE2D3" w:rsidR="00260DED"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CEFCB0" w14:textId="6A88F896"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C0D4B1" w14:textId="042ED1DA"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1AC3B62" w14:textId="015997FE"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76ED11A" w14:textId="62F196D3" w:rsidR="00260DED" w:rsidRDefault="00260DED" w:rsidP="00260DED">
            <w:pPr>
              <w:jc w:val="center"/>
            </w:pPr>
            <w:r>
              <w:rPr>
                <w:rFonts w:ascii="Calibri" w:hAnsi="Calibri" w:cs="Calibri"/>
                <w:color w:val="000000"/>
              </w:rPr>
              <w:t>0</w:t>
            </w:r>
          </w:p>
        </w:tc>
      </w:tr>
      <w:tr w:rsidR="00260DED" w:rsidRPr="00F60A9B" w14:paraId="22808186" w14:textId="77777777" w:rsidTr="00AE0D34">
        <w:trPr>
          <w:cantSplit/>
          <w:jc w:val="center"/>
        </w:trPr>
        <w:tc>
          <w:tcPr>
            <w:tcW w:w="0" w:type="auto"/>
            <w:tcBorders>
              <w:top w:val="single" w:sz="4" w:space="0" w:color="auto"/>
              <w:right w:val="single" w:sz="12" w:space="0" w:color="auto"/>
            </w:tcBorders>
          </w:tcPr>
          <w:p w14:paraId="6448E1FF" w14:textId="77777777" w:rsidR="00260DED" w:rsidRPr="005B7BEE" w:rsidRDefault="00260DED" w:rsidP="00260DED">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5B12E35A" w14:textId="0E2A1BE8" w:rsidR="00260DED"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A8ED3A" w14:textId="64073001"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A1BBBD" w14:textId="087FEE63"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AC0A45" w14:textId="3CB34E2C"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12ACEA" w14:textId="0F006F9F" w:rsidR="00260DED" w:rsidRDefault="00260DED" w:rsidP="00260DED">
            <w:pPr>
              <w:jc w:val="center"/>
            </w:pPr>
            <w:r>
              <w:rPr>
                <w:rFonts w:ascii="Calibri" w:hAnsi="Calibri" w:cs="Calibri"/>
                <w:color w:val="000000"/>
              </w:rPr>
              <w:t>0</w:t>
            </w:r>
          </w:p>
        </w:tc>
      </w:tr>
      <w:tr w:rsidR="00260DED" w:rsidRPr="00F60A9B" w14:paraId="5896CCFC" w14:textId="77777777" w:rsidTr="00AE0D34">
        <w:trPr>
          <w:cantSplit/>
          <w:jc w:val="center"/>
        </w:trPr>
        <w:tc>
          <w:tcPr>
            <w:tcW w:w="0" w:type="auto"/>
            <w:tcBorders>
              <w:right w:val="single" w:sz="12" w:space="0" w:color="auto"/>
            </w:tcBorders>
          </w:tcPr>
          <w:p w14:paraId="36F5B68A" w14:textId="77777777" w:rsidR="00260DED" w:rsidRPr="005B7BEE" w:rsidRDefault="00260DED" w:rsidP="00260DED">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B68A334" w14:textId="508946FC"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849B7EA" w14:textId="4C8DBA4B"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21646C" w14:textId="0BA52DB7"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F1669F6" w14:textId="1AA679E1"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EBDD55" w14:textId="7E3EFD36" w:rsidR="00260DED" w:rsidRPr="00F60A9B" w:rsidRDefault="00260DED" w:rsidP="00260DED">
            <w:pPr>
              <w:jc w:val="center"/>
            </w:pPr>
            <w:r>
              <w:rPr>
                <w:rFonts w:ascii="Calibri" w:hAnsi="Calibri" w:cs="Calibri"/>
                <w:color w:val="000000"/>
              </w:rPr>
              <w:t>0</w:t>
            </w:r>
          </w:p>
        </w:tc>
      </w:tr>
      <w:tr w:rsidR="00260DED" w:rsidRPr="00F60A9B" w14:paraId="340B70BA" w14:textId="77777777" w:rsidTr="00AE0D34">
        <w:trPr>
          <w:cantSplit/>
          <w:jc w:val="center"/>
        </w:trPr>
        <w:tc>
          <w:tcPr>
            <w:tcW w:w="0" w:type="auto"/>
            <w:tcBorders>
              <w:right w:val="single" w:sz="12" w:space="0" w:color="auto"/>
            </w:tcBorders>
          </w:tcPr>
          <w:p w14:paraId="2C42C7D9" w14:textId="77777777" w:rsidR="00260DED" w:rsidRPr="005B7BEE" w:rsidRDefault="00260DED" w:rsidP="00260DED">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18F9A3AE" w14:textId="770743D3"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C090781" w14:textId="6815C379"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171A9AB" w14:textId="593105F3"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86DBBD" w14:textId="3EAD3809"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0A8BA9A" w14:textId="6D356B0C" w:rsidR="00260DED" w:rsidRPr="00F60A9B" w:rsidRDefault="00260DED" w:rsidP="00260DED">
            <w:pPr>
              <w:jc w:val="center"/>
            </w:pPr>
            <w:r>
              <w:rPr>
                <w:rFonts w:ascii="Calibri" w:hAnsi="Calibri" w:cs="Calibri"/>
                <w:color w:val="000000"/>
              </w:rPr>
              <w:t>0</w:t>
            </w:r>
          </w:p>
        </w:tc>
      </w:tr>
      <w:tr w:rsidR="00260DED" w:rsidRPr="00F60A9B" w14:paraId="2E0EBE22" w14:textId="77777777" w:rsidTr="00AE0D34">
        <w:trPr>
          <w:cantSplit/>
          <w:jc w:val="center"/>
        </w:trPr>
        <w:tc>
          <w:tcPr>
            <w:tcW w:w="0" w:type="auto"/>
            <w:tcBorders>
              <w:right w:val="single" w:sz="12" w:space="0" w:color="auto"/>
            </w:tcBorders>
          </w:tcPr>
          <w:p w14:paraId="35F04DB0" w14:textId="77777777" w:rsidR="00260DED" w:rsidRPr="005B7BEE" w:rsidRDefault="00260DED" w:rsidP="00260DED">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EE122AA" w14:textId="21427888"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DFBC9C4" w14:textId="1C42CE9B"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7867A1" w14:textId="01F55BED"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2C560C" w14:textId="37DD98FB"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EDB393" w14:textId="578F12DE" w:rsidR="00260DED" w:rsidRPr="00F60A9B" w:rsidRDefault="00260DED" w:rsidP="00260DED">
            <w:pPr>
              <w:jc w:val="center"/>
            </w:pPr>
            <w:r>
              <w:rPr>
                <w:rFonts w:ascii="Calibri" w:hAnsi="Calibri" w:cs="Calibri"/>
                <w:color w:val="000000"/>
              </w:rPr>
              <w:t>0</w:t>
            </w:r>
          </w:p>
        </w:tc>
      </w:tr>
      <w:tr w:rsidR="00260DED" w:rsidRPr="00F60A9B" w14:paraId="6DB12799" w14:textId="77777777" w:rsidTr="00AE0D34">
        <w:trPr>
          <w:cantSplit/>
          <w:jc w:val="center"/>
        </w:trPr>
        <w:tc>
          <w:tcPr>
            <w:tcW w:w="0" w:type="auto"/>
            <w:tcBorders>
              <w:right w:val="single" w:sz="12" w:space="0" w:color="auto"/>
            </w:tcBorders>
          </w:tcPr>
          <w:p w14:paraId="06A0ECE1" w14:textId="77777777" w:rsidR="00260DED" w:rsidRPr="005B7BEE" w:rsidRDefault="00260DED" w:rsidP="00260DED">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6AC3500" w14:textId="24ADEA26" w:rsidR="00260DED" w:rsidRPr="00F60A9B" w:rsidRDefault="00260DED" w:rsidP="00260DED">
            <w:pPr>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777A22DA" w14:textId="75F0315B" w:rsidR="00260DED" w:rsidRPr="00210DD1" w:rsidRDefault="00260DED" w:rsidP="00260DED">
            <w:pPr>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23980DF1" w14:textId="659F81BD" w:rsidR="00260DED" w:rsidRPr="00210DD1" w:rsidRDefault="00260DED" w:rsidP="00260DED">
            <w:pPr>
              <w:jc w:val="center"/>
            </w:pPr>
            <w:r>
              <w:rPr>
                <w:rFonts w:ascii="Calibri" w:hAnsi="Calibri" w:cs="Calibri"/>
                <w:color w:val="000000"/>
              </w:rPr>
              <w:t>2</w:t>
            </w:r>
          </w:p>
        </w:tc>
        <w:tc>
          <w:tcPr>
            <w:tcW w:w="0" w:type="auto"/>
            <w:tcBorders>
              <w:top w:val="nil"/>
              <w:left w:val="nil"/>
              <w:bottom w:val="single" w:sz="8" w:space="0" w:color="auto"/>
              <w:right w:val="single" w:sz="4" w:space="0" w:color="auto"/>
            </w:tcBorders>
            <w:shd w:val="clear" w:color="auto" w:fill="auto"/>
            <w:vAlign w:val="bottom"/>
          </w:tcPr>
          <w:p w14:paraId="1B5B9D10" w14:textId="64663F05" w:rsidR="00260DED" w:rsidRPr="00210DD1" w:rsidRDefault="00260DED" w:rsidP="00260DED">
            <w:pPr>
              <w:jc w:val="center"/>
            </w:pPr>
            <w:r>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4A51F5E" w14:textId="474ED6EB" w:rsidR="00260DED" w:rsidRPr="00F60A9B" w:rsidRDefault="00260DED" w:rsidP="00260DED">
            <w:pPr>
              <w:keepNext/>
              <w:jc w:val="center"/>
            </w:pPr>
            <w:r>
              <w:rPr>
                <w:rFonts w:ascii="Calibri" w:hAnsi="Calibri" w:cs="Calibri"/>
                <w:color w:val="000000"/>
              </w:rPr>
              <w:t>2</w:t>
            </w:r>
          </w:p>
        </w:tc>
      </w:tr>
    </w:tbl>
    <w:p w14:paraId="4048F93D" w14:textId="279D33E5" w:rsidR="001639C0" w:rsidRPr="001734B9" w:rsidRDefault="001639C0" w:rsidP="001639C0">
      <w:pPr>
        <w:pStyle w:val="Caption"/>
        <w:keepNext/>
        <w:spacing w:before="120"/>
        <w:jc w:val="center"/>
        <w:rPr>
          <w:rFonts w:cstheme="minorHAnsi"/>
        </w:rPr>
      </w:pPr>
      <w:r>
        <w:t xml:space="preserve">Table </w:t>
      </w:r>
      <w:r>
        <w:fldChar w:fldCharType="begin"/>
      </w:r>
      <w:r>
        <w:instrText xml:space="preserve"> SEQ Table \* ARABIC </w:instrText>
      </w:r>
      <w:r>
        <w:fldChar w:fldCharType="separate"/>
      </w:r>
      <w:r w:rsidR="001E41EA">
        <w:rPr>
          <w:noProof/>
        </w:rPr>
        <w:t>14</w:t>
      </w:r>
      <w:r>
        <w:rPr>
          <w:noProof/>
        </w:rPr>
        <w:fldChar w:fldCharType="end"/>
      </w:r>
      <w:r w:rsidRPr="00122533">
        <w:t xml:space="preserve"> - </w:t>
      </w:r>
      <m:oMath>
        <m:sSub>
          <m:sSubPr>
            <m:ctrlPr>
              <w:rPr>
                <w:rFonts w:ascii="Cambria Math" w:hAnsi="Cambria Math" w:cstheme="minorHAnsi"/>
              </w:rPr>
            </m:ctrlPr>
          </m:sSubPr>
          <m:e>
            <m:r>
              <w:rPr>
                <w:rFonts w:ascii="Cambria Math" w:hAnsi="Cambria Math" w:cstheme="minorHAnsi"/>
              </w:rPr>
              <m:t>Table</m:t>
            </m:r>
          </m:e>
          <m:sub>
            <m:sSub>
              <m:sSubPr>
                <m:ctrlPr>
                  <w:rPr>
                    <w:rFonts w:ascii="Cambria Math" w:eastAsiaTheme="minorEastAsia" w:hAnsi="Cambria Math" w:cstheme="minorHAnsi"/>
                  </w:rPr>
                </m:ctrlPr>
              </m:sSubPr>
              <m:e>
                <m:r>
                  <w:rPr>
                    <w:rFonts w:ascii="Cambria Math" w:eastAsiaTheme="minorEastAsia" w:hAnsi="Cambria Math" w:cstheme="minorHAnsi"/>
                  </w:rPr>
                  <m:t>R</m:t>
                </m:r>
              </m:e>
              <m:sub>
                <m:r>
                  <w:rPr>
                    <w:rFonts w:ascii="Cambria Math" w:eastAsiaTheme="minorEastAsia" w:hAnsi="Cambria Math" w:cstheme="minorHAnsi"/>
                  </w:rPr>
                  <m:t>A</m:t>
                </m:r>
              </m:sub>
            </m:sSub>
          </m:sub>
        </m:sSub>
      </m:oMath>
      <w:r>
        <w:rPr>
          <w:rFonts w:eastAsiaTheme="minorEastAsia"/>
        </w:rPr>
        <w:t xml:space="preserve"> </w:t>
      </w:r>
      <w:r w:rsidRPr="00122533">
        <w:t>for the example in Attachment A</w:t>
      </w:r>
    </w:p>
    <w:p w14:paraId="4A8E7F49" w14:textId="77777777" w:rsidR="001639C0" w:rsidRPr="003C22FC" w:rsidRDefault="001639C0">
      <w:pPr>
        <w:pStyle w:val="ListParagraph"/>
        <w:numPr>
          <w:ilvl w:val="1"/>
          <w:numId w:val="13"/>
        </w:numPr>
      </w:pPr>
      <w:r>
        <w:t xml:space="preserve">Populate </w:t>
      </w:r>
      <m:oMath>
        <m:r>
          <w:rPr>
            <w:rFonts w:ascii="Cambria Math" w:hAnsi="Cambria Math"/>
          </w:rPr>
          <m:t>R</m:t>
        </m:r>
      </m:oMath>
      <w:r>
        <w:rPr>
          <w:rFonts w:eastAsiaTheme="minorEastAsia"/>
        </w:rPr>
        <w:t>:</w:t>
      </w:r>
    </w:p>
    <w:p w14:paraId="57B60376" w14:textId="77777777" w:rsidR="001639C0" w:rsidRDefault="001639C0">
      <w:pPr>
        <w:pStyle w:val="ListParagraph"/>
        <w:numPr>
          <w:ilvl w:val="2"/>
          <w:numId w:val="13"/>
        </w:numPr>
      </w:pPr>
      <w:r>
        <w:t xml:space="preserve">Identify the health conditions that, for this patient population, might remain after the blood transfusion. </w:t>
      </w:r>
    </w:p>
    <w:p w14:paraId="7CAFADF0" w14:textId="77777777" w:rsidR="001639C0" w:rsidRDefault="001639C0" w:rsidP="001639C0">
      <w:pPr>
        <w:pStyle w:val="ListParagraph"/>
        <w:ind w:left="2160"/>
      </w:pPr>
    </w:p>
    <w:tbl>
      <w:tblPr>
        <w:tblStyle w:val="TableGrid"/>
        <w:tblW w:w="0" w:type="auto"/>
        <w:tblInd w:w="1885" w:type="dxa"/>
        <w:tblLook w:val="04A0" w:firstRow="1" w:lastRow="0" w:firstColumn="1" w:lastColumn="0" w:noHBand="0" w:noVBand="1"/>
      </w:tblPr>
      <w:tblGrid>
        <w:gridCol w:w="3037"/>
        <w:gridCol w:w="8033"/>
      </w:tblGrid>
      <w:tr w:rsidR="001639C0" w:rsidRPr="000E3F5A" w14:paraId="0B3348BD" w14:textId="77777777" w:rsidTr="00EC0DFD">
        <w:trPr>
          <w:cantSplit/>
          <w:tblHeader/>
        </w:trPr>
        <w:tc>
          <w:tcPr>
            <w:tcW w:w="3037" w:type="dxa"/>
          </w:tcPr>
          <w:p w14:paraId="7AB0DBDA" w14:textId="77777777" w:rsidR="001639C0" w:rsidRPr="000E3F5A" w:rsidRDefault="001639C0" w:rsidP="00024DD9">
            <w:pPr>
              <w:pStyle w:val="ListParagraph"/>
              <w:ind w:left="0"/>
              <w:contextualSpacing w:val="0"/>
              <w:rPr>
                <w:rFonts w:cstheme="minorHAnsi"/>
                <w:b/>
                <w:bCs/>
                <w:sz w:val="26"/>
                <w:szCs w:val="26"/>
              </w:rPr>
            </w:pPr>
            <w:r>
              <w:rPr>
                <w:rFonts w:cstheme="minorHAnsi"/>
                <w:b/>
                <w:bCs/>
                <w:sz w:val="26"/>
                <w:szCs w:val="26"/>
              </w:rPr>
              <w:lastRenderedPageBreak/>
              <w:t xml:space="preserve">Medical Description of the </w:t>
            </w:r>
            <w:r w:rsidRPr="000E3F5A">
              <w:rPr>
                <w:rFonts w:cstheme="minorHAnsi"/>
                <w:b/>
                <w:bCs/>
                <w:sz w:val="26"/>
                <w:szCs w:val="26"/>
              </w:rPr>
              <w:t>Health Condition</w:t>
            </w:r>
          </w:p>
        </w:tc>
        <w:tc>
          <w:tcPr>
            <w:tcW w:w="8033" w:type="dxa"/>
          </w:tcPr>
          <w:p w14:paraId="6DEF2A36" w14:textId="77777777" w:rsidR="001639C0" w:rsidRPr="000E3F5A" w:rsidRDefault="001639C0" w:rsidP="00024DD9">
            <w:pPr>
              <w:pStyle w:val="ListParagraph"/>
              <w:ind w:left="0"/>
              <w:contextualSpacing w:val="0"/>
              <w:rPr>
                <w:rFonts w:cstheme="minorHAnsi"/>
                <w:b/>
                <w:bCs/>
                <w:sz w:val="26"/>
                <w:szCs w:val="26"/>
              </w:rPr>
            </w:pPr>
            <w:r w:rsidRPr="000E3F5A">
              <w:rPr>
                <w:rFonts w:cstheme="minorHAnsi"/>
                <w:b/>
                <w:bCs/>
                <w:sz w:val="26"/>
                <w:szCs w:val="26"/>
              </w:rPr>
              <w:t>Non-Specialist Description</w:t>
            </w:r>
          </w:p>
        </w:tc>
      </w:tr>
      <w:tr w:rsidR="001639C0" w:rsidRPr="000E3F5A" w14:paraId="0ABF085D" w14:textId="77777777" w:rsidTr="00EC0DFD">
        <w:trPr>
          <w:cantSplit/>
        </w:trPr>
        <w:tc>
          <w:tcPr>
            <w:tcW w:w="3037" w:type="dxa"/>
          </w:tcPr>
          <w:p w14:paraId="497A3C86" w14:textId="77777777" w:rsidR="001639C0" w:rsidRPr="000E3F5A" w:rsidRDefault="001639C0" w:rsidP="00024DD9">
            <w:pPr>
              <w:rPr>
                <w:rFonts w:cstheme="minorHAnsi"/>
              </w:rPr>
            </w:pPr>
            <w:r w:rsidRPr="002E26EC">
              <w:rPr>
                <w:rFonts w:cstheme="minorHAnsi"/>
              </w:rPr>
              <w:t>Febrile Nonhemolytic Reaction</w:t>
            </w:r>
          </w:p>
        </w:tc>
        <w:tc>
          <w:tcPr>
            <w:tcW w:w="8033" w:type="dxa"/>
          </w:tcPr>
          <w:p w14:paraId="7170AD8E" w14:textId="77777777" w:rsidR="001639C0" w:rsidRPr="000E3F5A" w:rsidRDefault="001639C0" w:rsidP="00024DD9">
            <w:pPr>
              <w:pStyle w:val="ListParagraph"/>
              <w:ind w:left="0"/>
              <w:contextualSpacing w:val="0"/>
              <w:rPr>
                <w:rFonts w:cstheme="minorHAnsi"/>
              </w:rPr>
            </w:pPr>
            <w:r w:rsidRPr="002E26EC">
              <w:rPr>
                <w:rFonts w:cstheme="minorHAnsi"/>
              </w:rPr>
              <w:t>Febrile non-hemolytic transfusion reaction (FNHTR) is the most common type of transfusion reaction. It is a benign occurrence with symptoms that include fever but not directly related with hemolysis. It is caused by cytokine release from leukocytes within the donor product as a consequence of white blood cell breakdown</w:t>
            </w:r>
            <w:r>
              <w:rPr>
                <w:rFonts w:cstheme="minorHAnsi"/>
              </w:rPr>
              <w:t xml:space="preserve">. </w:t>
            </w:r>
          </w:p>
        </w:tc>
      </w:tr>
      <w:tr w:rsidR="001639C0" w:rsidRPr="000E3F5A" w14:paraId="171CF756" w14:textId="77777777" w:rsidTr="00EC0DFD">
        <w:trPr>
          <w:cantSplit/>
        </w:trPr>
        <w:tc>
          <w:tcPr>
            <w:tcW w:w="3037" w:type="dxa"/>
          </w:tcPr>
          <w:p w14:paraId="5DB0A14A" w14:textId="77777777" w:rsidR="001639C0" w:rsidRPr="000E3F5A" w:rsidRDefault="001639C0" w:rsidP="00024DD9">
            <w:pPr>
              <w:pStyle w:val="ListParagraph"/>
              <w:ind w:left="0"/>
              <w:contextualSpacing w:val="0"/>
              <w:rPr>
                <w:rFonts w:cstheme="minorHAnsi"/>
              </w:rPr>
            </w:pPr>
            <w:r>
              <w:rPr>
                <w:rFonts w:cstheme="minorHAnsi"/>
              </w:rPr>
              <w:t>A</w:t>
            </w:r>
            <w:r w:rsidRPr="002E26EC">
              <w:rPr>
                <w:rFonts w:cstheme="minorHAnsi"/>
              </w:rPr>
              <w:t>llergic reaction to Tylenol or Benadryl</w:t>
            </w:r>
          </w:p>
        </w:tc>
        <w:tc>
          <w:tcPr>
            <w:tcW w:w="8033" w:type="dxa"/>
          </w:tcPr>
          <w:p w14:paraId="5C2874FD" w14:textId="77777777" w:rsidR="001639C0" w:rsidRPr="000E3F5A" w:rsidRDefault="001639C0" w:rsidP="00024DD9">
            <w:pPr>
              <w:pStyle w:val="ListParagraph"/>
              <w:ind w:left="0"/>
              <w:contextualSpacing w:val="0"/>
              <w:rPr>
                <w:rFonts w:cstheme="minorHAnsi"/>
              </w:rPr>
            </w:pPr>
            <w:r>
              <w:rPr>
                <w:rFonts w:cstheme="minorHAnsi"/>
              </w:rPr>
              <w:t xml:space="preserve">Typically, a </w:t>
            </w:r>
            <w:r w:rsidRPr="002E26EC">
              <w:rPr>
                <w:rFonts w:cstheme="minorHAnsi"/>
              </w:rPr>
              <w:t>rash, itching/swelling (especially of the face/tongue/throat), severe dizziness, trouble breathing</w:t>
            </w:r>
            <w:r>
              <w:rPr>
                <w:rFonts w:cstheme="minorHAnsi"/>
              </w:rPr>
              <w:t xml:space="preserve">. </w:t>
            </w:r>
          </w:p>
        </w:tc>
      </w:tr>
      <w:tr w:rsidR="001639C0" w:rsidRPr="000E3F5A" w14:paraId="100CEC87" w14:textId="77777777" w:rsidTr="00EC0DFD">
        <w:trPr>
          <w:cantSplit/>
        </w:trPr>
        <w:tc>
          <w:tcPr>
            <w:tcW w:w="3037" w:type="dxa"/>
          </w:tcPr>
          <w:p w14:paraId="4D496786" w14:textId="77777777" w:rsidR="001639C0" w:rsidRPr="000E3F5A" w:rsidRDefault="001639C0" w:rsidP="00024DD9">
            <w:pPr>
              <w:pStyle w:val="ListParagraph"/>
              <w:ind w:left="0"/>
              <w:contextualSpacing w:val="0"/>
              <w:rPr>
                <w:rFonts w:cstheme="minorHAnsi"/>
              </w:rPr>
            </w:pPr>
            <w:r w:rsidRPr="002E26EC">
              <w:rPr>
                <w:rFonts w:cstheme="minorHAnsi"/>
              </w:rPr>
              <w:t>Acute hemolytic transfusion reaction</w:t>
            </w:r>
          </w:p>
        </w:tc>
        <w:tc>
          <w:tcPr>
            <w:tcW w:w="8033" w:type="dxa"/>
          </w:tcPr>
          <w:p w14:paraId="14154BE3" w14:textId="77777777" w:rsidR="001639C0" w:rsidRPr="000E3F5A" w:rsidRDefault="001639C0" w:rsidP="00024DD9">
            <w:pPr>
              <w:pStyle w:val="ListParagraph"/>
              <w:ind w:left="0"/>
              <w:contextualSpacing w:val="0"/>
              <w:rPr>
                <w:rFonts w:cstheme="minorHAnsi"/>
              </w:rPr>
            </w:pPr>
            <w:r w:rsidRPr="002E26EC">
              <w:rPr>
                <w:rFonts w:cstheme="minorHAnsi"/>
              </w:rPr>
              <w:t>An acute hemolytic transfusion reaction (AHTR</w:t>
            </w:r>
            <w:r>
              <w:rPr>
                <w:rFonts w:cstheme="minorHAnsi"/>
              </w:rPr>
              <w:t>)</w:t>
            </w:r>
            <w:r w:rsidRPr="002E26EC">
              <w:rPr>
                <w:rFonts w:cstheme="minorHAnsi"/>
              </w:rPr>
              <w:t xml:space="preserve"> is triggered by host antibodies destroying donor red blood cells.</w:t>
            </w:r>
          </w:p>
        </w:tc>
      </w:tr>
      <w:tr w:rsidR="001639C0" w:rsidRPr="000E3F5A" w14:paraId="518DCA1F" w14:textId="77777777" w:rsidTr="00EC0DFD">
        <w:trPr>
          <w:cantSplit/>
        </w:trPr>
        <w:tc>
          <w:tcPr>
            <w:tcW w:w="3037" w:type="dxa"/>
          </w:tcPr>
          <w:p w14:paraId="5ADABF33" w14:textId="77777777" w:rsidR="001639C0" w:rsidRPr="000E3F5A" w:rsidRDefault="001639C0" w:rsidP="00024DD9">
            <w:pPr>
              <w:pStyle w:val="ListParagraph"/>
              <w:ind w:left="0"/>
              <w:contextualSpacing w:val="0"/>
              <w:rPr>
                <w:rFonts w:cstheme="minorHAnsi"/>
              </w:rPr>
            </w:pPr>
            <w:r w:rsidRPr="00D97071">
              <w:rPr>
                <w:rFonts w:cstheme="minorHAnsi"/>
              </w:rPr>
              <w:t>Graft vs. host disease</w:t>
            </w:r>
          </w:p>
        </w:tc>
        <w:tc>
          <w:tcPr>
            <w:tcW w:w="8033" w:type="dxa"/>
          </w:tcPr>
          <w:p w14:paraId="14E5DE4C" w14:textId="77777777" w:rsidR="001639C0" w:rsidRPr="000E3F5A" w:rsidRDefault="001639C0" w:rsidP="00024DD9">
            <w:pPr>
              <w:pStyle w:val="ListParagraph"/>
              <w:ind w:left="0"/>
              <w:contextualSpacing w:val="0"/>
              <w:rPr>
                <w:rFonts w:cstheme="minorHAnsi"/>
              </w:rPr>
            </w:pPr>
            <w:r>
              <w:rPr>
                <w:rFonts w:cstheme="minorHAnsi"/>
              </w:rPr>
              <w:t>I</w:t>
            </w:r>
            <w:r w:rsidRPr="00D97071">
              <w:rPr>
                <w:rFonts w:cstheme="minorHAnsi"/>
              </w:rPr>
              <w:t>f the person receiving the transfusion has a compromised immune system</w:t>
            </w:r>
            <w:r>
              <w:rPr>
                <w:rFonts w:cstheme="minorHAnsi"/>
              </w:rPr>
              <w:t>.</w:t>
            </w:r>
          </w:p>
        </w:tc>
      </w:tr>
      <w:tr w:rsidR="001639C0" w:rsidRPr="000E3F5A" w14:paraId="48ABA050" w14:textId="77777777" w:rsidTr="00EC0DFD">
        <w:trPr>
          <w:cantSplit/>
        </w:trPr>
        <w:tc>
          <w:tcPr>
            <w:tcW w:w="3037" w:type="dxa"/>
          </w:tcPr>
          <w:p w14:paraId="478FF029" w14:textId="77777777" w:rsidR="001639C0" w:rsidRPr="000E3F5A" w:rsidRDefault="001639C0" w:rsidP="00024DD9">
            <w:pPr>
              <w:pStyle w:val="ListParagraph"/>
              <w:ind w:left="0"/>
              <w:contextualSpacing w:val="0"/>
              <w:rPr>
                <w:rFonts w:cstheme="minorHAnsi"/>
              </w:rPr>
            </w:pPr>
            <w:r w:rsidRPr="00DD2791">
              <w:rPr>
                <w:rFonts w:cstheme="minorHAnsi"/>
              </w:rPr>
              <w:t>TACO (Transfusion Associated Circulatory Overload</w:t>
            </w:r>
            <w:r>
              <w:rPr>
                <w:rFonts w:cstheme="minorHAnsi"/>
              </w:rPr>
              <w:t>)</w:t>
            </w:r>
          </w:p>
        </w:tc>
        <w:tc>
          <w:tcPr>
            <w:tcW w:w="8033" w:type="dxa"/>
          </w:tcPr>
          <w:p w14:paraId="77FD3A1F" w14:textId="77777777" w:rsidR="001639C0" w:rsidRPr="000E3F5A" w:rsidRDefault="001639C0" w:rsidP="00024DD9">
            <w:pPr>
              <w:pStyle w:val="ListParagraph"/>
              <w:ind w:left="0"/>
              <w:contextualSpacing w:val="0"/>
              <w:rPr>
                <w:rFonts w:cstheme="minorHAnsi"/>
              </w:rPr>
            </w:pPr>
            <w:r>
              <w:rPr>
                <w:rFonts w:cstheme="minorHAnsi"/>
              </w:rPr>
              <w:t>F</w:t>
            </w:r>
            <w:r w:rsidRPr="00DD2791">
              <w:rPr>
                <w:rFonts w:cstheme="minorHAnsi"/>
              </w:rPr>
              <w:t>luid overload, similar to acute congestive heart failure</w:t>
            </w:r>
          </w:p>
        </w:tc>
      </w:tr>
      <w:tr w:rsidR="001639C0" w:rsidRPr="000E3F5A" w14:paraId="1561CE34" w14:textId="77777777" w:rsidTr="00EC0DFD">
        <w:trPr>
          <w:cantSplit/>
        </w:trPr>
        <w:tc>
          <w:tcPr>
            <w:tcW w:w="3037" w:type="dxa"/>
          </w:tcPr>
          <w:p w14:paraId="7B31EA03" w14:textId="77777777" w:rsidR="001639C0" w:rsidRPr="000E3F5A" w:rsidRDefault="001639C0" w:rsidP="00024DD9">
            <w:pPr>
              <w:pStyle w:val="ListParagraph"/>
              <w:ind w:left="0"/>
              <w:contextualSpacing w:val="0"/>
              <w:rPr>
                <w:rFonts w:cstheme="minorHAnsi"/>
              </w:rPr>
            </w:pPr>
            <w:r w:rsidRPr="00604981">
              <w:rPr>
                <w:rFonts w:cstheme="minorHAnsi"/>
              </w:rPr>
              <w:t>Transfusion-related acute lung injury</w:t>
            </w:r>
          </w:p>
        </w:tc>
        <w:tc>
          <w:tcPr>
            <w:tcW w:w="8033" w:type="dxa"/>
          </w:tcPr>
          <w:p w14:paraId="44EB63D5" w14:textId="77777777" w:rsidR="001639C0" w:rsidRPr="000E3F5A" w:rsidRDefault="001639C0" w:rsidP="00024DD9">
            <w:pPr>
              <w:pStyle w:val="ListParagraph"/>
              <w:ind w:left="0"/>
              <w:contextualSpacing w:val="0"/>
              <w:rPr>
                <w:rFonts w:cstheme="minorHAnsi"/>
              </w:rPr>
            </w:pPr>
            <w:r>
              <w:rPr>
                <w:rFonts w:cstheme="minorHAnsi"/>
              </w:rPr>
              <w:t>A</w:t>
            </w:r>
            <w:r w:rsidRPr="00604981">
              <w:rPr>
                <w:rFonts w:cstheme="minorHAnsi"/>
              </w:rPr>
              <w:t>ntibodies get activated, causing breathing issues</w:t>
            </w:r>
          </w:p>
        </w:tc>
      </w:tr>
      <w:tr w:rsidR="001639C0" w:rsidRPr="000E3F5A" w14:paraId="75D4D95B" w14:textId="77777777" w:rsidTr="00EC0DFD">
        <w:trPr>
          <w:cantSplit/>
        </w:trPr>
        <w:tc>
          <w:tcPr>
            <w:tcW w:w="3037" w:type="dxa"/>
          </w:tcPr>
          <w:p w14:paraId="643062FA" w14:textId="77777777" w:rsidR="001639C0" w:rsidRPr="000E3F5A" w:rsidRDefault="001639C0" w:rsidP="00024DD9">
            <w:pPr>
              <w:pStyle w:val="ListParagraph"/>
              <w:ind w:left="0"/>
              <w:contextualSpacing w:val="0"/>
              <w:rPr>
                <w:rFonts w:cstheme="minorHAnsi"/>
              </w:rPr>
            </w:pPr>
            <w:r>
              <w:rPr>
                <w:rFonts w:cstheme="minorHAnsi"/>
              </w:rPr>
              <w:t>Infection</w:t>
            </w:r>
          </w:p>
        </w:tc>
        <w:tc>
          <w:tcPr>
            <w:tcW w:w="8033" w:type="dxa"/>
          </w:tcPr>
          <w:p w14:paraId="2F51F29A" w14:textId="77777777" w:rsidR="001639C0" w:rsidRPr="000E3F5A" w:rsidRDefault="001639C0" w:rsidP="00024DD9">
            <w:pPr>
              <w:pStyle w:val="ListParagraph"/>
              <w:ind w:left="0"/>
              <w:contextualSpacing w:val="0"/>
              <w:rPr>
                <w:rFonts w:cstheme="minorHAnsi"/>
              </w:rPr>
            </w:pPr>
            <w:r>
              <w:rPr>
                <w:rFonts w:cstheme="minorHAnsi"/>
              </w:rPr>
              <w:t>Patient acquires an infection from the needle or donated blood</w:t>
            </w:r>
          </w:p>
        </w:tc>
      </w:tr>
      <w:tr w:rsidR="001639C0" w:rsidRPr="000E3F5A" w14:paraId="77DAEEA7" w14:textId="77777777" w:rsidTr="00EC0DFD">
        <w:trPr>
          <w:cantSplit/>
        </w:trPr>
        <w:tc>
          <w:tcPr>
            <w:tcW w:w="3037" w:type="dxa"/>
          </w:tcPr>
          <w:p w14:paraId="01A368FB" w14:textId="77777777" w:rsidR="001639C0" w:rsidRPr="000E3F5A" w:rsidRDefault="001639C0" w:rsidP="00024DD9">
            <w:pPr>
              <w:pStyle w:val="ListParagraph"/>
              <w:ind w:left="0"/>
              <w:contextualSpacing w:val="0"/>
              <w:rPr>
                <w:rFonts w:cstheme="minorHAnsi"/>
              </w:rPr>
            </w:pPr>
            <w:r>
              <w:rPr>
                <w:rFonts w:cstheme="minorHAnsi"/>
              </w:rPr>
              <w:t>Hepatitis B</w:t>
            </w:r>
          </w:p>
        </w:tc>
        <w:tc>
          <w:tcPr>
            <w:tcW w:w="8033" w:type="dxa"/>
          </w:tcPr>
          <w:p w14:paraId="74FF0E77" w14:textId="77777777" w:rsidR="001639C0" w:rsidRPr="000E3F5A" w:rsidRDefault="001639C0" w:rsidP="00024DD9">
            <w:pPr>
              <w:pStyle w:val="ListParagraph"/>
              <w:ind w:left="0"/>
              <w:contextualSpacing w:val="0"/>
              <w:rPr>
                <w:rFonts w:cstheme="minorHAnsi"/>
              </w:rPr>
            </w:pPr>
            <w:r>
              <w:rPr>
                <w:rFonts w:cstheme="minorHAnsi"/>
              </w:rPr>
              <w:t>Patient acquires Hepatitis B from the donated blood</w:t>
            </w:r>
          </w:p>
        </w:tc>
      </w:tr>
      <w:tr w:rsidR="001639C0" w:rsidRPr="000E3F5A" w14:paraId="5A0F9885" w14:textId="77777777" w:rsidTr="00EC0DFD">
        <w:trPr>
          <w:cantSplit/>
        </w:trPr>
        <w:tc>
          <w:tcPr>
            <w:tcW w:w="3037" w:type="dxa"/>
          </w:tcPr>
          <w:p w14:paraId="250278FA" w14:textId="77777777" w:rsidR="001639C0" w:rsidRPr="000E3F5A" w:rsidRDefault="001639C0" w:rsidP="00024DD9">
            <w:pPr>
              <w:pStyle w:val="ListParagraph"/>
              <w:ind w:left="0"/>
              <w:contextualSpacing w:val="0"/>
              <w:rPr>
                <w:rFonts w:cstheme="minorHAnsi"/>
              </w:rPr>
            </w:pPr>
            <w:r>
              <w:rPr>
                <w:rFonts w:cstheme="minorHAnsi"/>
              </w:rPr>
              <w:t>Hepatitis A</w:t>
            </w:r>
          </w:p>
        </w:tc>
        <w:tc>
          <w:tcPr>
            <w:tcW w:w="8033" w:type="dxa"/>
          </w:tcPr>
          <w:p w14:paraId="6AE7CF7B" w14:textId="77777777" w:rsidR="001639C0" w:rsidRPr="000E3F5A" w:rsidRDefault="001639C0" w:rsidP="00024DD9">
            <w:pPr>
              <w:pStyle w:val="ListParagraph"/>
              <w:ind w:left="0"/>
              <w:contextualSpacing w:val="0"/>
              <w:rPr>
                <w:rFonts w:cstheme="minorHAnsi"/>
              </w:rPr>
            </w:pPr>
            <w:r>
              <w:rPr>
                <w:rFonts w:cstheme="minorHAnsi"/>
              </w:rPr>
              <w:t>Patient acquires Hepatitis A from the donated blood</w:t>
            </w:r>
          </w:p>
        </w:tc>
      </w:tr>
      <w:tr w:rsidR="001639C0" w:rsidRPr="000E3F5A" w14:paraId="21576779" w14:textId="77777777" w:rsidTr="00EC0DFD">
        <w:trPr>
          <w:cantSplit/>
        </w:trPr>
        <w:tc>
          <w:tcPr>
            <w:tcW w:w="3037" w:type="dxa"/>
          </w:tcPr>
          <w:p w14:paraId="235B0374" w14:textId="77777777" w:rsidR="001639C0" w:rsidRPr="000E3F5A" w:rsidRDefault="001639C0" w:rsidP="00024DD9">
            <w:pPr>
              <w:pStyle w:val="ListParagraph"/>
              <w:ind w:left="0"/>
              <w:contextualSpacing w:val="0"/>
              <w:rPr>
                <w:rFonts w:cstheme="minorHAnsi"/>
              </w:rPr>
            </w:pPr>
            <w:r>
              <w:rPr>
                <w:rFonts w:cstheme="minorHAnsi"/>
              </w:rPr>
              <w:t>HIV</w:t>
            </w:r>
          </w:p>
        </w:tc>
        <w:tc>
          <w:tcPr>
            <w:tcW w:w="8033" w:type="dxa"/>
          </w:tcPr>
          <w:p w14:paraId="75A04A83" w14:textId="77777777" w:rsidR="001639C0" w:rsidRPr="000E3F5A" w:rsidRDefault="001639C0" w:rsidP="00024DD9">
            <w:pPr>
              <w:pStyle w:val="ListParagraph"/>
              <w:ind w:left="0"/>
              <w:contextualSpacing w:val="0"/>
              <w:rPr>
                <w:rFonts w:cstheme="minorHAnsi"/>
              </w:rPr>
            </w:pPr>
            <w:r>
              <w:rPr>
                <w:rFonts w:cstheme="minorHAnsi"/>
              </w:rPr>
              <w:t>Patient acquires HIV from the donated blood</w:t>
            </w:r>
          </w:p>
        </w:tc>
      </w:tr>
      <w:tr w:rsidR="001639C0" w:rsidRPr="000E3F5A" w14:paraId="0FC263D0" w14:textId="77777777" w:rsidTr="00EC0DFD">
        <w:trPr>
          <w:cantSplit/>
        </w:trPr>
        <w:tc>
          <w:tcPr>
            <w:tcW w:w="3037" w:type="dxa"/>
          </w:tcPr>
          <w:p w14:paraId="31294561" w14:textId="77777777" w:rsidR="001639C0" w:rsidRPr="000E3F5A" w:rsidRDefault="001639C0" w:rsidP="00024DD9">
            <w:pPr>
              <w:pStyle w:val="ListParagraph"/>
              <w:ind w:left="0"/>
              <w:contextualSpacing w:val="0"/>
              <w:rPr>
                <w:rFonts w:cstheme="minorHAnsi"/>
              </w:rPr>
            </w:pPr>
            <w:r>
              <w:rPr>
                <w:rFonts w:cstheme="minorHAnsi"/>
              </w:rPr>
              <w:t>Mislabeled blood bag</w:t>
            </w:r>
          </w:p>
        </w:tc>
        <w:tc>
          <w:tcPr>
            <w:tcW w:w="8033" w:type="dxa"/>
          </w:tcPr>
          <w:p w14:paraId="17576B77" w14:textId="77777777" w:rsidR="001639C0" w:rsidRPr="000E3F5A" w:rsidRDefault="001639C0" w:rsidP="00024DD9">
            <w:pPr>
              <w:pStyle w:val="ListParagraph"/>
              <w:ind w:left="0"/>
              <w:contextualSpacing w:val="0"/>
              <w:rPr>
                <w:rFonts w:cstheme="minorHAnsi"/>
              </w:rPr>
            </w:pPr>
            <w:r>
              <w:rPr>
                <w:rFonts w:cstheme="minorHAnsi"/>
              </w:rPr>
              <w:t>The label on the blood bag is affixed to the wrong bag</w:t>
            </w:r>
          </w:p>
        </w:tc>
      </w:tr>
    </w:tbl>
    <w:p w14:paraId="2F7BE327" w14:textId="77777777" w:rsidR="001639C0" w:rsidRDefault="001639C0" w:rsidP="001639C0">
      <w:pPr>
        <w:pStyle w:val="ListParagraph"/>
        <w:ind w:left="2160"/>
      </w:pPr>
    </w:p>
    <w:p w14:paraId="3EC618AC" w14:textId="77777777" w:rsidR="001639C0" w:rsidRDefault="001639C0" w:rsidP="001639C0">
      <w:pPr>
        <w:pStyle w:val="ListParagraph"/>
        <w:ind w:left="2160"/>
      </w:pPr>
    </w:p>
    <w:p w14:paraId="6DC5569F" w14:textId="21BE418A" w:rsidR="001639C0" w:rsidRPr="009319CE" w:rsidRDefault="001639C0">
      <w:pPr>
        <w:pStyle w:val="ListParagraph"/>
        <w:numPr>
          <w:ilvl w:val="2"/>
          <w:numId w:val="13"/>
        </w:numPr>
      </w:pPr>
      <w:r w:rsidRPr="00315DE1">
        <w:t>Identify</w:t>
      </w:r>
      <w:r w:rsidRPr="00931D3A">
        <w:rPr>
          <w:rFonts w:eastAsiaTheme="minorEastAsia" w:cstheme="minorHAnsi"/>
        </w:rPr>
        <w:t xml:space="preserve">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severities of harm for each ‘Health Condition’ / Hazardous Situation, and determine </w:t>
      </w:r>
      <m:oMath>
        <m:r>
          <w:rPr>
            <w:rFonts w:ascii="Cambria Math" w:eastAsiaTheme="minorEastAsia" w:hAnsi="Cambria Math" w:cstheme="minorHAnsi"/>
          </w:rPr>
          <m:t>P</m:t>
        </m:r>
      </m:oMath>
      <w:r w:rsidRPr="00931D3A">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and</w:t>
      </w:r>
      <w:r w:rsidR="00D15E95">
        <w:rPr>
          <w:rFonts w:eastAsiaTheme="minorEastAsia" w:cstheme="minorHAnsi"/>
        </w:rPr>
        <w:t xml:space="preserve"> </w:t>
      </w:r>
      <w:r w:rsidR="00D15E95">
        <w:rPr>
          <w:rFonts w:eastAsiaTheme="minorEastAsia" w:cstheme="minorHAnsi"/>
        </w:rPr>
        <w:fldChar w:fldCharType="begin"/>
      </w:r>
      <w:r w:rsidR="00D15E95">
        <w:rPr>
          <w:rFonts w:eastAsiaTheme="minorEastAsia" w:cstheme="minorHAnsi"/>
        </w:rPr>
        <w:instrText xml:space="preserve"> REF _Ref146694551 \h </w:instrText>
      </w:r>
      <w:r w:rsidR="00D15E95">
        <w:rPr>
          <w:rFonts w:eastAsiaTheme="minorEastAsia" w:cstheme="minorHAnsi"/>
        </w:rPr>
      </w:r>
      <w:r w:rsidR="00D15E95">
        <w:rPr>
          <w:rFonts w:eastAsiaTheme="minorEastAsia" w:cstheme="minorHAnsi"/>
        </w:rPr>
        <w:fldChar w:fldCharType="separate"/>
      </w:r>
      <w:r w:rsidR="00D15E95">
        <w:t xml:space="preserve">Table </w:t>
      </w:r>
      <w:r w:rsidR="00D15E95">
        <w:rPr>
          <w:noProof/>
        </w:rPr>
        <w:t>4</w:t>
      </w:r>
      <w:r w:rsidR="00D15E95">
        <w:rPr>
          <w:rFonts w:eastAsiaTheme="minorEastAsia" w:cstheme="minorHAnsi"/>
        </w:rPr>
        <w:fldChar w:fldCharType="end"/>
      </w:r>
      <w:r w:rsidR="00D15E95">
        <w:rPr>
          <w:rFonts w:eastAsiaTheme="minorEastAsia" w:cstheme="minorHAnsi"/>
        </w:rPr>
        <w:t xml:space="preserve"> </w:t>
      </w:r>
      <w:r>
        <w:rPr>
          <w:rFonts w:eastAsiaTheme="minorEastAsia" w:cstheme="minorHAnsi"/>
        </w:rPr>
        <w:t xml:space="preserve">to assign probability and severity levels for the various scenarios with each Hazardous Situation. </w:t>
      </w:r>
    </w:p>
    <w:p w14:paraId="757BEEB4" w14:textId="77777777" w:rsidR="001639C0" w:rsidRDefault="001639C0" w:rsidP="009319CE">
      <w:pPr>
        <w:pStyle w:val="ListParagraph"/>
        <w:ind w:left="1584"/>
        <w:rPr>
          <w:rFonts w:eastAsiaTheme="minorEastAsia" w:cstheme="minorHAnsi"/>
        </w:rPr>
      </w:pPr>
    </w:p>
    <w:p w14:paraId="735F0772" w14:textId="65499069" w:rsidR="001639C0" w:rsidRPr="004767E1" w:rsidRDefault="001639C0">
      <w:pPr>
        <w:pStyle w:val="ListParagraph"/>
        <w:numPr>
          <w:ilvl w:val="2"/>
          <w:numId w:val="13"/>
        </w:numPr>
      </w:pPr>
      <w:r w:rsidRPr="00315DE1">
        <w:t>Identify</w:t>
      </w:r>
      <w:r w:rsidRPr="00931D3A">
        <w:rPr>
          <w:rFonts w:eastAsiaTheme="minorEastAsia" w:cstheme="minorHAnsi"/>
        </w:rPr>
        <w:t xml:space="preserve"> the ‘Health Condition’ </w:t>
      </w:r>
      <w:r>
        <w:rPr>
          <w:rFonts w:eastAsiaTheme="minorEastAsia" w:cstheme="minorHAnsi"/>
        </w:rPr>
        <w:t xml:space="preserve">(from the previous table) </w:t>
      </w:r>
      <w:r w:rsidRPr="00931D3A">
        <w:rPr>
          <w:rFonts w:eastAsiaTheme="minorEastAsia" w:cstheme="minorHAnsi"/>
        </w:rPr>
        <w:t>as the ‘Hazardous Situation’ (as defined in ISO 14971</w:t>
      </w:r>
      <w:r>
        <w:rPr>
          <w:rFonts w:eastAsiaTheme="minorEastAsia" w:cstheme="minorHAnsi"/>
        </w:rPr>
        <w:t>, in the next table</w:t>
      </w:r>
      <w:r w:rsidRPr="00931D3A">
        <w:rPr>
          <w:rFonts w:eastAsiaTheme="minorEastAsia" w:cstheme="minorHAnsi"/>
        </w:rPr>
        <w:t xml:space="preserve">), identify one or more severities of harm for each ‘Health Condition’ / Hazardous Situation, and determine </w:t>
      </w:r>
      <m:oMath>
        <m:r>
          <w:rPr>
            <w:rFonts w:ascii="Cambria Math" w:eastAsiaTheme="minorEastAsia" w:hAnsi="Cambria Math" w:cstheme="minorHAnsi"/>
          </w:rPr>
          <m:t>P</m:t>
        </m:r>
      </m:oMath>
      <w:r w:rsidRPr="00931D3A">
        <w:rPr>
          <w:rFonts w:eastAsiaTheme="minorEastAsia" w:cstheme="minorHAnsi"/>
        </w:rPr>
        <w:t xml:space="preserve"> (when helpful, use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1</m:t>
            </m:r>
          </m:sub>
        </m:sSub>
      </m:oMath>
      <w:r w:rsidRPr="00931D3A">
        <w:rPr>
          <w:rFonts w:eastAsiaTheme="minorEastAsia" w:cstheme="minorHAnsi"/>
        </w:rPr>
        <w:t xml:space="preserve"> and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2</m:t>
            </m:r>
          </m:sub>
        </m:sSub>
      </m:oMath>
      <w:r w:rsidRPr="00931D3A">
        <w:rPr>
          <w:rFonts w:eastAsiaTheme="minorEastAsia" w:cstheme="minorHAnsi"/>
        </w:rPr>
        <w:t xml:space="preserve"> to determine </w:t>
      </w:r>
      <m:oMath>
        <m:r>
          <w:rPr>
            <w:rFonts w:ascii="Cambria Math" w:eastAsiaTheme="minorEastAsia" w:hAnsi="Cambria Math" w:cstheme="minorHAnsi"/>
          </w:rPr>
          <m:t>P</m:t>
        </m:r>
      </m:oMath>
      <w:r w:rsidRPr="00931D3A">
        <w:rPr>
          <w:rFonts w:eastAsiaTheme="minorEastAsia" w:cstheme="minorHAnsi"/>
        </w:rPr>
        <w:t xml:space="preserve">). </w:t>
      </w:r>
      <w:r>
        <w:rPr>
          <w:rFonts w:eastAsiaTheme="minorEastAsia" w:cstheme="minorHAnsi"/>
        </w:rPr>
        <w:t xml:space="preserve"> Use </w:t>
      </w:r>
      <w:r>
        <w:rPr>
          <w:rFonts w:eastAsiaTheme="minorEastAsia" w:cstheme="minorHAnsi"/>
        </w:rPr>
        <w:fldChar w:fldCharType="begin"/>
      </w:r>
      <w:r>
        <w:rPr>
          <w:rFonts w:eastAsiaTheme="minorEastAsia" w:cstheme="minorHAnsi"/>
        </w:rPr>
        <w:instrText xml:space="preserve"> REF _Ref132959722 \h </w:instrText>
      </w:r>
      <w:r>
        <w:rPr>
          <w:rFonts w:eastAsiaTheme="minorEastAsia" w:cstheme="minorHAnsi"/>
        </w:rPr>
      </w:r>
      <w:r>
        <w:rPr>
          <w:rFonts w:eastAsiaTheme="minorEastAsia" w:cstheme="minorHAnsi"/>
        </w:rPr>
        <w:fldChar w:fldCharType="separate"/>
      </w:r>
      <w:r w:rsidR="001E41EA" w:rsidRPr="00F60A9B">
        <w:t xml:space="preserve">Table </w:t>
      </w:r>
      <w:r w:rsidR="001E41EA">
        <w:rPr>
          <w:noProof/>
        </w:rPr>
        <w:t>2</w:t>
      </w:r>
      <w:r>
        <w:rPr>
          <w:rFonts w:eastAsiaTheme="minorEastAsia" w:cstheme="minorHAnsi"/>
        </w:rPr>
        <w:fldChar w:fldCharType="end"/>
      </w:r>
      <w:r>
        <w:rPr>
          <w:rFonts w:eastAsiaTheme="minorEastAsia" w:cstheme="minorHAnsi"/>
        </w:rPr>
        <w:t xml:space="preserve"> and to assign probability and severity levels for the various scenarios with each Hazardous Situation.</w:t>
      </w:r>
    </w:p>
    <w:p w14:paraId="1FAD9C1F" w14:textId="77777777" w:rsidR="001639C0" w:rsidRDefault="001639C0" w:rsidP="009319CE">
      <w:pPr>
        <w:pStyle w:val="ListParagraph"/>
        <w:ind w:left="1152"/>
      </w:pPr>
    </w:p>
    <w:tbl>
      <w:tblPr>
        <w:tblStyle w:val="TableGrid"/>
        <w:tblW w:w="0" w:type="auto"/>
        <w:tblInd w:w="1152" w:type="dxa"/>
        <w:tblLayout w:type="fixed"/>
        <w:tblLook w:val="04A0" w:firstRow="1" w:lastRow="0" w:firstColumn="1" w:lastColumn="0" w:noHBand="0" w:noVBand="1"/>
      </w:tblPr>
      <w:tblGrid>
        <w:gridCol w:w="1426"/>
        <w:gridCol w:w="5328"/>
        <w:gridCol w:w="1138"/>
        <w:gridCol w:w="1138"/>
        <w:gridCol w:w="1138"/>
        <w:gridCol w:w="1498"/>
      </w:tblGrid>
      <w:tr w:rsidR="00F2479D" w14:paraId="38CA4FD4" w14:textId="77777777" w:rsidTr="008A7D4D">
        <w:trPr>
          <w:cantSplit/>
          <w:tblHeader/>
        </w:trPr>
        <w:tc>
          <w:tcPr>
            <w:tcW w:w="1426" w:type="dxa"/>
            <w:vAlign w:val="center"/>
          </w:tcPr>
          <w:p w14:paraId="0F465562" w14:textId="4E982FC0" w:rsidR="007B6BFB" w:rsidRDefault="007B6BFB" w:rsidP="007B6BFB">
            <w:pPr>
              <w:pStyle w:val="ListParagraph"/>
              <w:ind w:left="0"/>
            </w:pPr>
            <w:r w:rsidRPr="000E3F5A">
              <w:rPr>
                <w:rFonts w:cstheme="minorHAnsi"/>
                <w:b/>
                <w:bCs/>
                <w:sz w:val="26"/>
                <w:szCs w:val="26"/>
              </w:rPr>
              <w:lastRenderedPageBreak/>
              <w:t xml:space="preserve">Hazardous Situation </w:t>
            </w:r>
          </w:p>
        </w:tc>
        <w:tc>
          <w:tcPr>
            <w:tcW w:w="5328" w:type="dxa"/>
            <w:vAlign w:val="center"/>
          </w:tcPr>
          <w:p w14:paraId="18465846" w14:textId="3F6CB3CA" w:rsidR="007B6BFB" w:rsidRDefault="007B6BFB" w:rsidP="007B6BFB">
            <w:pPr>
              <w:pStyle w:val="ListParagraph"/>
              <w:ind w:left="0"/>
            </w:pPr>
            <w:r>
              <w:rPr>
                <w:rFonts w:cstheme="minorHAnsi"/>
                <w:b/>
                <w:bCs/>
                <w:sz w:val="26"/>
                <w:szCs w:val="26"/>
              </w:rPr>
              <w:t>Reference Information</w:t>
            </w:r>
          </w:p>
        </w:tc>
        <w:tc>
          <w:tcPr>
            <w:tcW w:w="1138" w:type="dxa"/>
            <w:vAlign w:val="center"/>
          </w:tcPr>
          <w:p w14:paraId="5DB53215" w14:textId="483A1A75" w:rsidR="007B6BFB" w:rsidRDefault="00000000" w:rsidP="007B6BFB">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1</m:t>
                    </m:r>
                  </m:sub>
                </m:sSub>
              </m:oMath>
            </m:oMathPara>
          </w:p>
        </w:tc>
        <w:tc>
          <w:tcPr>
            <w:tcW w:w="1138" w:type="dxa"/>
            <w:vAlign w:val="center"/>
          </w:tcPr>
          <w:p w14:paraId="0B4F3E1D" w14:textId="7815DEAE" w:rsidR="007B6BFB" w:rsidRDefault="00000000" w:rsidP="007B6BFB">
            <w:pPr>
              <w:pStyle w:val="ListParagraph"/>
              <w:ind w:left="0"/>
            </w:pPr>
            <m:oMathPara>
              <m:oMath>
                <m:sSub>
                  <m:sSubPr>
                    <m:ctrlPr>
                      <w:rPr>
                        <w:rFonts w:ascii="Cambria Math" w:hAnsi="Cambria Math" w:cstheme="minorHAnsi"/>
                        <w:b/>
                        <w:bCs/>
                        <w:i/>
                        <w:sz w:val="26"/>
                        <w:szCs w:val="26"/>
                      </w:rPr>
                    </m:ctrlPr>
                  </m:sSubPr>
                  <m:e>
                    <m:r>
                      <m:rPr>
                        <m:sty m:val="bi"/>
                      </m:rPr>
                      <w:rPr>
                        <w:rFonts w:ascii="Cambria Math" w:hAnsi="Cambria Math" w:cstheme="minorHAnsi"/>
                        <w:sz w:val="26"/>
                        <w:szCs w:val="26"/>
                      </w:rPr>
                      <m:t>P</m:t>
                    </m:r>
                  </m:e>
                  <m:sub>
                    <m:r>
                      <m:rPr>
                        <m:sty m:val="bi"/>
                      </m:rPr>
                      <w:rPr>
                        <w:rFonts w:ascii="Cambria Math" w:hAnsi="Cambria Math" w:cstheme="minorHAnsi"/>
                        <w:sz w:val="26"/>
                        <w:szCs w:val="26"/>
                      </w:rPr>
                      <m:t>2</m:t>
                    </m:r>
                  </m:sub>
                </m:sSub>
              </m:oMath>
            </m:oMathPara>
          </w:p>
        </w:tc>
        <w:tc>
          <w:tcPr>
            <w:tcW w:w="1138" w:type="dxa"/>
            <w:vAlign w:val="center"/>
          </w:tcPr>
          <w:p w14:paraId="7A0E9EAC" w14:textId="7A0CB3CA" w:rsidR="007B6BFB" w:rsidRDefault="007B6BFB" w:rsidP="007B6BFB">
            <w:pPr>
              <w:pStyle w:val="ListParagraph"/>
              <w:ind w:left="0"/>
            </w:pPr>
            <m:oMathPara>
              <m:oMath>
                <m:r>
                  <m:rPr>
                    <m:sty m:val="bi"/>
                  </m:rPr>
                  <w:rPr>
                    <w:rFonts w:ascii="Cambria Math" w:hAnsi="Cambria Math" w:cstheme="minorHAnsi"/>
                    <w:sz w:val="26"/>
                    <w:szCs w:val="26"/>
                  </w:rPr>
                  <m:t>P</m:t>
                </m:r>
              </m:oMath>
            </m:oMathPara>
          </w:p>
        </w:tc>
        <w:tc>
          <w:tcPr>
            <w:tcW w:w="1498" w:type="dxa"/>
            <w:vAlign w:val="center"/>
          </w:tcPr>
          <w:p w14:paraId="1DEA18E8" w14:textId="545A52E1" w:rsidR="007B6BFB" w:rsidRDefault="007B6BFB" w:rsidP="007B6BFB">
            <w:pPr>
              <w:pStyle w:val="ListParagraph"/>
              <w:ind w:left="0"/>
            </w:pPr>
            <w:r w:rsidRPr="000E3F5A">
              <w:rPr>
                <w:rFonts w:cstheme="minorHAnsi"/>
                <w:b/>
                <w:bCs/>
                <w:sz w:val="26"/>
                <w:szCs w:val="26"/>
              </w:rPr>
              <w:t>Severity</w:t>
            </w:r>
          </w:p>
        </w:tc>
      </w:tr>
      <w:tr w:rsidR="00F2479D" w14:paraId="587DD126" w14:textId="77777777" w:rsidTr="008A7D4D">
        <w:trPr>
          <w:cantSplit/>
        </w:trPr>
        <w:tc>
          <w:tcPr>
            <w:tcW w:w="1426" w:type="dxa"/>
            <w:vAlign w:val="center"/>
          </w:tcPr>
          <w:p w14:paraId="44653FCC" w14:textId="192BA296" w:rsidR="00CA3B69" w:rsidRDefault="00CA3B69" w:rsidP="00CA3B69">
            <w:pPr>
              <w:pStyle w:val="ListParagraph"/>
              <w:ind w:left="0"/>
            </w:pPr>
            <w:r w:rsidRPr="002E26EC">
              <w:rPr>
                <w:rFonts w:cstheme="minorHAnsi"/>
              </w:rPr>
              <w:t>Febrile Nonhemolytic Reaction</w:t>
            </w:r>
          </w:p>
        </w:tc>
        <w:tc>
          <w:tcPr>
            <w:tcW w:w="5328" w:type="dxa"/>
            <w:vAlign w:val="center"/>
          </w:tcPr>
          <w:p w14:paraId="3A091F6C" w14:textId="77777777" w:rsidR="00CA3B69" w:rsidRDefault="00CA3B69" w:rsidP="00CA3B6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0B073E4A" w14:textId="75E76921" w:rsidR="00CA3B69" w:rsidRPr="00840C88" w:rsidRDefault="00CA3B69">
            <w:pPr>
              <w:pStyle w:val="ListParagraph"/>
              <w:numPr>
                <w:ilvl w:val="0"/>
                <w:numId w:val="20"/>
              </w:numPr>
              <w:rPr>
                <w:rFonts w:cstheme="minorHAnsi"/>
                <w:sz w:val="21"/>
                <w:szCs w:val="21"/>
              </w:rPr>
            </w:pPr>
            <w:r w:rsidRPr="00840C88">
              <w:rPr>
                <w:rFonts w:cstheme="minorHAnsi"/>
                <w:sz w:val="21"/>
                <w:szCs w:val="21"/>
              </w:rPr>
              <w:t>Febrile nonhemolytic transfusion reactions (FNHTRs) are commonly encountered transfusion reactions with overall per unit rate of 1%–3%.</w:t>
            </w:r>
            <w:r>
              <w:rPr>
                <w:rFonts w:cstheme="minorHAnsi"/>
                <w:sz w:val="21"/>
                <w:szCs w:val="21"/>
              </w:rPr>
              <w:t xml:space="preserve">  </w:t>
            </w:r>
            <w:r w:rsidR="0012476D">
              <w:rPr>
                <w:rFonts w:cstheme="minorHAnsi"/>
                <w:sz w:val="21"/>
                <w:szCs w:val="21"/>
              </w:rPr>
              <w:br/>
            </w:r>
            <w:r w:rsidR="0012476D" w:rsidRPr="0012476D">
              <w:rPr>
                <w:rFonts w:cstheme="minorHAnsi"/>
                <w:sz w:val="21"/>
                <w:szCs w:val="21"/>
              </w:rPr>
              <w:t>https://www.sciencedirect.com/science/article/abs/pii/B9780128137260000611</w:t>
            </w:r>
          </w:p>
          <w:p w14:paraId="2FED5E5F" w14:textId="77777777" w:rsidR="00CA3B69" w:rsidRPr="00D31706" w:rsidRDefault="00CA3B69">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404A32E9" w14:textId="77777777" w:rsidR="00CA3B69" w:rsidRPr="00D31706" w:rsidRDefault="00CA3B69" w:rsidP="00CA3B69">
            <w:pPr>
              <w:pStyle w:val="ListParagraph"/>
              <w:ind w:left="0"/>
              <w:contextualSpacing w:val="0"/>
              <w:rPr>
                <w:rFonts w:cstheme="minorHAnsi"/>
                <w:sz w:val="21"/>
                <w:szCs w:val="21"/>
              </w:rPr>
            </w:pPr>
          </w:p>
          <w:p w14:paraId="798FEAA9" w14:textId="77777777" w:rsidR="00CA3B69" w:rsidRDefault="00CA3B69" w:rsidP="00CA3B6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212A4351" w14:textId="77777777" w:rsidR="00CA3B69" w:rsidRDefault="00CA3B69" w:rsidP="00CA3B69">
            <w:pPr>
              <w:pStyle w:val="ListParagraph"/>
              <w:ind w:left="0"/>
              <w:contextualSpacing w:val="0"/>
              <w:rPr>
                <w:rFonts w:eastAsiaTheme="minorEastAsia" w:cstheme="minorHAnsi"/>
                <w:sz w:val="21"/>
                <w:szCs w:val="21"/>
              </w:rPr>
            </w:pPr>
          </w:p>
          <w:p w14:paraId="7B4D4F65" w14:textId="6D653FE2" w:rsidR="00CA3B69" w:rsidRDefault="00CA3B69" w:rsidP="00CA3B6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→P=Probable</m:t>
              </m:r>
            </m:oMath>
          </w:p>
        </w:tc>
        <w:tc>
          <w:tcPr>
            <w:tcW w:w="1138" w:type="dxa"/>
            <w:vAlign w:val="center"/>
          </w:tcPr>
          <w:p w14:paraId="5FEBD12C" w14:textId="6050A98D" w:rsidR="00CA3B69" w:rsidRDefault="00CA3B69" w:rsidP="00CA3B69">
            <w:pPr>
              <w:pStyle w:val="ListParagraph"/>
              <w:ind w:left="0"/>
            </w:pPr>
            <w:r>
              <w:rPr>
                <w:rFonts w:cstheme="minorHAnsi"/>
              </w:rPr>
              <w:t>Often</w:t>
            </w:r>
          </w:p>
        </w:tc>
        <w:tc>
          <w:tcPr>
            <w:tcW w:w="1138" w:type="dxa"/>
            <w:vAlign w:val="center"/>
          </w:tcPr>
          <w:p w14:paraId="74C46C02" w14:textId="11856828" w:rsidR="00CA3B69" w:rsidRDefault="00CA3B69" w:rsidP="00CA3B69">
            <w:pPr>
              <w:pStyle w:val="ListParagraph"/>
              <w:ind w:left="0"/>
            </w:pPr>
            <w:r>
              <w:rPr>
                <w:rFonts w:cstheme="minorHAnsi"/>
              </w:rPr>
              <w:t>Frequent</w:t>
            </w:r>
          </w:p>
        </w:tc>
        <w:tc>
          <w:tcPr>
            <w:tcW w:w="1138" w:type="dxa"/>
            <w:vAlign w:val="center"/>
          </w:tcPr>
          <w:p w14:paraId="2E707F90" w14:textId="45F98984" w:rsidR="00CA3B69" w:rsidRDefault="00CA3B69" w:rsidP="00CA3B69">
            <w:pPr>
              <w:pStyle w:val="ListParagraph"/>
              <w:ind w:left="0"/>
            </w:pPr>
            <w:r w:rsidRPr="00950E32">
              <w:rPr>
                <w:rFonts w:cstheme="minorHAnsi"/>
              </w:rPr>
              <w:t>Probable</w:t>
            </w:r>
          </w:p>
        </w:tc>
        <w:tc>
          <w:tcPr>
            <w:tcW w:w="1498" w:type="dxa"/>
            <w:vAlign w:val="center"/>
          </w:tcPr>
          <w:p w14:paraId="2CDA9473" w14:textId="111D75A2" w:rsidR="00CA3B69" w:rsidRDefault="00CA3B69" w:rsidP="00CA3B69">
            <w:pPr>
              <w:pStyle w:val="ListParagraph"/>
              <w:ind w:left="0"/>
            </w:pPr>
            <w:r>
              <w:rPr>
                <w:rFonts w:cstheme="minorHAnsi"/>
              </w:rPr>
              <w:t>Mi</w:t>
            </w:r>
            <w:r w:rsidRPr="00F55663">
              <w:rPr>
                <w:rFonts w:cstheme="minorHAnsi"/>
              </w:rPr>
              <w:t>nor</w:t>
            </w:r>
          </w:p>
        </w:tc>
      </w:tr>
      <w:tr w:rsidR="00F2479D" w14:paraId="224EE011" w14:textId="77777777" w:rsidTr="008A7D4D">
        <w:trPr>
          <w:cantSplit/>
        </w:trPr>
        <w:tc>
          <w:tcPr>
            <w:tcW w:w="1426" w:type="dxa"/>
            <w:vAlign w:val="center"/>
          </w:tcPr>
          <w:p w14:paraId="6DCD82AE" w14:textId="2F2A88B1" w:rsidR="00D905D9" w:rsidRDefault="00D905D9" w:rsidP="00D905D9">
            <w:pPr>
              <w:pStyle w:val="ListParagraph"/>
              <w:ind w:left="0"/>
            </w:pPr>
            <w:r>
              <w:rPr>
                <w:rFonts w:cstheme="minorHAnsi"/>
              </w:rPr>
              <w:t>A</w:t>
            </w:r>
            <w:r w:rsidRPr="002E26EC">
              <w:rPr>
                <w:rFonts w:cstheme="minorHAnsi"/>
              </w:rPr>
              <w:t>llergic reaction to Tylenol or Benadryl</w:t>
            </w:r>
            <w:r>
              <w:rPr>
                <w:rFonts w:cstheme="minorHAnsi"/>
              </w:rPr>
              <w:br/>
              <w:t>(Successor Event to Febrile Nonhemolytic Reaction)</w:t>
            </w:r>
          </w:p>
        </w:tc>
        <w:tc>
          <w:tcPr>
            <w:tcW w:w="5328" w:type="dxa"/>
            <w:vAlign w:val="center"/>
          </w:tcPr>
          <w:p w14:paraId="0DCAB975" w14:textId="77777777" w:rsidR="00D905D9" w:rsidRDefault="00D905D9" w:rsidP="00D905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35397819" w14:textId="0DBECE0B" w:rsidR="00D905D9" w:rsidRPr="00DC546D" w:rsidRDefault="00D905D9">
            <w:pPr>
              <w:pStyle w:val="ListParagraph"/>
              <w:numPr>
                <w:ilvl w:val="0"/>
                <w:numId w:val="19"/>
              </w:numPr>
              <w:rPr>
                <w:rFonts w:cstheme="minorHAnsi"/>
                <w:sz w:val="21"/>
                <w:szCs w:val="21"/>
              </w:rPr>
            </w:pPr>
            <w:r w:rsidRPr="00FF4A56">
              <w:rPr>
                <w:rFonts w:cstheme="minorHAnsi"/>
                <w:sz w:val="21"/>
                <w:szCs w:val="21"/>
              </w:rPr>
              <w:t xml:space="preserve">Tylenol or Benadryl is administered after the patient receives a transfusion for Febrile Nonhemolytic Reaction.  Reactions (to Tylenol) occur in 1.6% of all patients taking NSAIDs. </w:t>
            </w:r>
            <w:r w:rsidR="0012476D">
              <w:rPr>
                <w:rFonts w:cstheme="minorHAnsi"/>
                <w:sz w:val="21"/>
                <w:szCs w:val="21"/>
              </w:rPr>
              <w:br/>
            </w:r>
            <w:r w:rsidR="0012476D" w:rsidRPr="0012476D">
              <w:rPr>
                <w:rFonts w:cstheme="minorHAnsi"/>
                <w:sz w:val="21"/>
                <w:szCs w:val="21"/>
              </w:rPr>
              <w:t>https://www1.racgp.org.au/ajgp/2019/april/paracetamol-allergy-in-clinical-practice</w:t>
            </w:r>
          </w:p>
          <w:p w14:paraId="78C13291" w14:textId="77777777" w:rsidR="00D905D9" w:rsidRPr="00D31706" w:rsidRDefault="00D905D9">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26BDDC90" w14:textId="77777777" w:rsidR="00D905D9" w:rsidRPr="00D31706" w:rsidRDefault="00D905D9" w:rsidP="00D905D9">
            <w:pPr>
              <w:pStyle w:val="ListParagraph"/>
              <w:ind w:left="0"/>
              <w:contextualSpacing w:val="0"/>
              <w:rPr>
                <w:rFonts w:cstheme="minorHAnsi"/>
                <w:sz w:val="21"/>
                <w:szCs w:val="21"/>
              </w:rPr>
            </w:pPr>
          </w:p>
          <w:p w14:paraId="5CC34BC4" w14:textId="77777777" w:rsidR="00D905D9" w:rsidRDefault="00D905D9" w:rsidP="00D905D9">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4B3E74AC" w14:textId="77777777" w:rsidR="00D905D9" w:rsidRDefault="00D905D9" w:rsidP="00D905D9">
            <w:pPr>
              <w:pStyle w:val="ListParagraph"/>
              <w:ind w:left="0"/>
              <w:contextualSpacing w:val="0"/>
              <w:rPr>
                <w:rFonts w:eastAsiaTheme="minorEastAsia" w:cstheme="minorHAnsi"/>
                <w:sz w:val="21"/>
                <w:szCs w:val="21"/>
              </w:rPr>
            </w:pPr>
          </w:p>
          <w:p w14:paraId="001B524A" w14:textId="360EB57D" w:rsidR="00D905D9" w:rsidRDefault="00D905D9" w:rsidP="00D905D9">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br/>
            </w:r>
            <w:r w:rsidRPr="00D31706">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-1</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→P=Occasional</m:t>
              </m:r>
            </m:oMath>
          </w:p>
        </w:tc>
        <w:tc>
          <w:tcPr>
            <w:tcW w:w="1138" w:type="dxa"/>
            <w:vAlign w:val="center"/>
          </w:tcPr>
          <w:p w14:paraId="333084C6" w14:textId="6D554F6E" w:rsidR="00D905D9" w:rsidRDefault="00D905D9" w:rsidP="00D905D9">
            <w:pPr>
              <w:pStyle w:val="ListParagraph"/>
              <w:ind w:left="0"/>
            </w:pPr>
            <w:r>
              <w:rPr>
                <w:rFonts w:cstheme="minorHAnsi"/>
              </w:rPr>
              <w:t>Expected / (Probable, successor from previous row)</w:t>
            </w:r>
          </w:p>
        </w:tc>
        <w:tc>
          <w:tcPr>
            <w:tcW w:w="1138" w:type="dxa"/>
            <w:vAlign w:val="center"/>
          </w:tcPr>
          <w:p w14:paraId="676279FE" w14:textId="7CD512B0" w:rsidR="00D905D9" w:rsidRDefault="00D905D9" w:rsidP="00D905D9">
            <w:pPr>
              <w:pStyle w:val="ListParagraph"/>
              <w:ind w:left="0"/>
            </w:pPr>
            <w:r>
              <w:rPr>
                <w:rFonts w:cstheme="minorHAnsi"/>
              </w:rPr>
              <w:t>Often</w:t>
            </w:r>
          </w:p>
        </w:tc>
        <w:tc>
          <w:tcPr>
            <w:tcW w:w="1138" w:type="dxa"/>
            <w:vAlign w:val="center"/>
          </w:tcPr>
          <w:p w14:paraId="47EEFA3D" w14:textId="153AE127" w:rsidR="00D905D9" w:rsidRDefault="00D905D9" w:rsidP="00D905D9">
            <w:pPr>
              <w:pStyle w:val="ListParagraph"/>
              <w:ind w:left="0"/>
            </w:pPr>
            <w:r w:rsidRPr="00602274">
              <w:rPr>
                <w:rFonts w:cstheme="minorHAnsi"/>
              </w:rPr>
              <w:t>Occasional</w:t>
            </w:r>
          </w:p>
        </w:tc>
        <w:tc>
          <w:tcPr>
            <w:tcW w:w="1498" w:type="dxa"/>
            <w:vAlign w:val="center"/>
          </w:tcPr>
          <w:p w14:paraId="3602BE64" w14:textId="0EDC4859" w:rsidR="00D905D9" w:rsidRDefault="00D905D9" w:rsidP="00D905D9">
            <w:pPr>
              <w:pStyle w:val="ListParagraph"/>
              <w:ind w:left="0"/>
            </w:pPr>
            <w:r>
              <w:rPr>
                <w:rFonts w:cstheme="minorHAnsi"/>
              </w:rPr>
              <w:t>Serious / Major</w:t>
            </w:r>
          </w:p>
        </w:tc>
      </w:tr>
      <w:tr w:rsidR="008A7D4D" w14:paraId="3808A1EF" w14:textId="77777777" w:rsidTr="008A7D4D">
        <w:trPr>
          <w:cantSplit/>
        </w:trPr>
        <w:tc>
          <w:tcPr>
            <w:tcW w:w="1426" w:type="dxa"/>
            <w:vMerge w:val="restart"/>
            <w:vAlign w:val="center"/>
          </w:tcPr>
          <w:p w14:paraId="46F6A891" w14:textId="0A188D6D" w:rsidR="004845CD" w:rsidRDefault="004845CD" w:rsidP="004845CD">
            <w:pPr>
              <w:pStyle w:val="ListParagraph"/>
              <w:ind w:left="0"/>
            </w:pPr>
            <w:r w:rsidRPr="002E26EC">
              <w:rPr>
                <w:rFonts w:cstheme="minorHAnsi"/>
              </w:rPr>
              <w:t xml:space="preserve">Acute hemolytic </w:t>
            </w:r>
            <w:r w:rsidRPr="002E26EC">
              <w:rPr>
                <w:rFonts w:cstheme="minorHAnsi"/>
              </w:rPr>
              <w:lastRenderedPageBreak/>
              <w:t>transfusion reaction</w:t>
            </w:r>
          </w:p>
        </w:tc>
        <w:tc>
          <w:tcPr>
            <w:tcW w:w="5328" w:type="dxa"/>
            <w:vMerge w:val="restart"/>
            <w:vAlign w:val="center"/>
          </w:tcPr>
          <w:p w14:paraId="6AF6558D" w14:textId="77777777" w:rsidR="004845CD" w:rsidRDefault="004845CD" w:rsidP="004845CD">
            <w:pPr>
              <w:pStyle w:val="ListParagraph"/>
              <w:ind w:left="0"/>
              <w:contextualSpacing w:val="0"/>
              <w:rPr>
                <w:rFonts w:eastAsiaTheme="minorEastAsia" w:cstheme="minorHAnsi"/>
                <w:sz w:val="21"/>
                <w:szCs w:val="21"/>
              </w:rPr>
            </w:pPr>
            <w:r w:rsidRPr="00D31706">
              <w:rPr>
                <w:rFonts w:cstheme="minorHAnsi"/>
                <w:sz w:val="21"/>
                <w:szCs w:val="21"/>
              </w:rPr>
              <w:lastRenderedPageBreak/>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073D02F4" w14:textId="53CD5C56" w:rsidR="004845CD" w:rsidRDefault="004845CD">
            <w:pPr>
              <w:pStyle w:val="ListParagraph"/>
              <w:numPr>
                <w:ilvl w:val="0"/>
                <w:numId w:val="19"/>
              </w:numPr>
              <w:contextualSpacing w:val="0"/>
              <w:rPr>
                <w:rFonts w:cstheme="minorHAnsi"/>
                <w:sz w:val="21"/>
                <w:szCs w:val="21"/>
              </w:rPr>
            </w:pPr>
            <w:r w:rsidRPr="00AC063F">
              <w:rPr>
                <w:rFonts w:cstheme="minorHAnsi"/>
                <w:sz w:val="21"/>
                <w:szCs w:val="21"/>
              </w:rPr>
              <w:t>5 per 100,000</w:t>
            </w:r>
          </w:p>
          <w:p w14:paraId="3CC74F2D" w14:textId="77E46710" w:rsidR="0012476D" w:rsidRPr="00AC063F" w:rsidRDefault="0012476D" w:rsidP="0012476D">
            <w:pPr>
              <w:pStyle w:val="ListParagraph"/>
              <w:ind w:left="360"/>
              <w:contextualSpacing w:val="0"/>
              <w:rPr>
                <w:rFonts w:cstheme="minorHAnsi"/>
                <w:sz w:val="21"/>
                <w:szCs w:val="21"/>
              </w:rPr>
            </w:pPr>
            <w:r w:rsidRPr="0012476D">
              <w:rPr>
                <w:rFonts w:cstheme="minorHAnsi"/>
                <w:sz w:val="21"/>
                <w:szCs w:val="21"/>
              </w:rPr>
              <w:lastRenderedPageBreak/>
              <w:t>https://www.sciencedirect.com/topics/medicine-and-dentistry/blood-transfusion-reaction</w:t>
            </w:r>
          </w:p>
          <w:p w14:paraId="4AA70084" w14:textId="77777777" w:rsidR="004845CD" w:rsidRPr="00D31706" w:rsidRDefault="004845CD">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03CB9270" w14:textId="77777777" w:rsidR="004845CD" w:rsidRPr="00D31706" w:rsidRDefault="004845CD" w:rsidP="004845CD">
            <w:pPr>
              <w:pStyle w:val="ListParagraph"/>
              <w:ind w:left="0"/>
              <w:contextualSpacing w:val="0"/>
              <w:rPr>
                <w:rFonts w:cstheme="minorHAnsi"/>
                <w:sz w:val="21"/>
                <w:szCs w:val="21"/>
              </w:rPr>
            </w:pPr>
          </w:p>
          <w:p w14:paraId="33BD74EE" w14:textId="77777777" w:rsidR="004845CD" w:rsidRDefault="004845CD" w:rsidP="004845C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063BA8AE" w14:textId="77777777" w:rsidR="004845CD" w:rsidRDefault="004845CD" w:rsidP="004845CD">
            <w:pPr>
              <w:pStyle w:val="ListParagraph"/>
              <w:ind w:left="0"/>
              <w:contextualSpacing w:val="0"/>
              <w:rPr>
                <w:rFonts w:eastAsiaTheme="minorEastAsia" w:cstheme="minorHAnsi"/>
                <w:sz w:val="21"/>
                <w:szCs w:val="21"/>
              </w:rPr>
            </w:pPr>
          </w:p>
          <w:p w14:paraId="7FADABF2" w14:textId="39C2C300" w:rsidR="004845CD" w:rsidRDefault="004845CD" w:rsidP="004845CD">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44AA6AFC" w14:textId="30E15920" w:rsidR="004845CD" w:rsidRDefault="004845CD" w:rsidP="004845CD">
            <w:pPr>
              <w:pStyle w:val="ListParagraph"/>
              <w:ind w:left="0"/>
              <w:contextualSpacing w:val="0"/>
              <w:jc w:val="center"/>
            </w:pPr>
            <w:r>
              <w:rPr>
                <w:rFonts w:cstheme="minorHAnsi"/>
              </w:rPr>
              <w:lastRenderedPageBreak/>
              <w:t>Occasional</w:t>
            </w:r>
          </w:p>
        </w:tc>
        <w:tc>
          <w:tcPr>
            <w:tcW w:w="1138" w:type="dxa"/>
            <w:vAlign w:val="center"/>
          </w:tcPr>
          <w:p w14:paraId="58D719FD" w14:textId="4D877EC4" w:rsidR="004845CD" w:rsidRDefault="004845CD" w:rsidP="004845CD">
            <w:pPr>
              <w:pStyle w:val="ListParagraph"/>
              <w:ind w:left="0"/>
            </w:pPr>
            <w:r>
              <w:rPr>
                <w:rFonts w:cstheme="minorHAnsi"/>
              </w:rPr>
              <w:t>Occasional</w:t>
            </w:r>
          </w:p>
        </w:tc>
        <w:tc>
          <w:tcPr>
            <w:tcW w:w="1138" w:type="dxa"/>
            <w:vAlign w:val="center"/>
          </w:tcPr>
          <w:p w14:paraId="4F0CF3F3" w14:textId="6217124C" w:rsidR="004845CD" w:rsidRDefault="004845CD" w:rsidP="004845CD">
            <w:pPr>
              <w:pStyle w:val="ListParagraph"/>
              <w:ind w:left="0"/>
            </w:pPr>
            <w:r>
              <w:rPr>
                <w:rFonts w:cstheme="minorHAnsi"/>
              </w:rPr>
              <w:t>Improbable</w:t>
            </w:r>
          </w:p>
        </w:tc>
        <w:tc>
          <w:tcPr>
            <w:tcW w:w="1498" w:type="dxa"/>
            <w:vAlign w:val="center"/>
          </w:tcPr>
          <w:p w14:paraId="3EF7807A" w14:textId="2A25D96F" w:rsidR="004845CD" w:rsidRDefault="004845CD" w:rsidP="004845CD">
            <w:pPr>
              <w:pStyle w:val="ListParagraph"/>
              <w:ind w:left="0"/>
            </w:pPr>
            <w:r>
              <w:rPr>
                <w:rFonts w:cstheme="minorHAnsi"/>
              </w:rPr>
              <w:t>Serious / Major</w:t>
            </w:r>
          </w:p>
        </w:tc>
      </w:tr>
      <w:tr w:rsidR="008A7D4D" w14:paraId="6103FADE" w14:textId="77777777" w:rsidTr="008A7D4D">
        <w:trPr>
          <w:cantSplit/>
        </w:trPr>
        <w:tc>
          <w:tcPr>
            <w:tcW w:w="1426" w:type="dxa"/>
            <w:vMerge/>
            <w:vAlign w:val="center"/>
          </w:tcPr>
          <w:p w14:paraId="3E3930F4" w14:textId="77777777" w:rsidR="004845CD" w:rsidRDefault="004845CD" w:rsidP="004845CD">
            <w:pPr>
              <w:pStyle w:val="ListParagraph"/>
              <w:ind w:left="0"/>
            </w:pPr>
          </w:p>
        </w:tc>
        <w:tc>
          <w:tcPr>
            <w:tcW w:w="5328" w:type="dxa"/>
            <w:vMerge/>
            <w:vAlign w:val="center"/>
          </w:tcPr>
          <w:p w14:paraId="3317E665" w14:textId="77777777" w:rsidR="004845CD" w:rsidRDefault="004845CD" w:rsidP="004845CD">
            <w:pPr>
              <w:pStyle w:val="ListParagraph"/>
              <w:ind w:left="0"/>
            </w:pPr>
          </w:p>
        </w:tc>
        <w:tc>
          <w:tcPr>
            <w:tcW w:w="1138" w:type="dxa"/>
            <w:vAlign w:val="center"/>
          </w:tcPr>
          <w:p w14:paraId="36EE7DCB" w14:textId="48744E01" w:rsidR="004845CD" w:rsidRDefault="004845CD" w:rsidP="004845CD">
            <w:pPr>
              <w:pStyle w:val="ListParagraph"/>
              <w:ind w:left="0"/>
              <w:contextualSpacing w:val="0"/>
              <w:jc w:val="center"/>
            </w:pPr>
            <w:r>
              <w:rPr>
                <w:rFonts w:eastAsia="Times New Roman"/>
              </w:rPr>
              <w:t>Often</w:t>
            </w:r>
          </w:p>
        </w:tc>
        <w:tc>
          <w:tcPr>
            <w:tcW w:w="1138" w:type="dxa"/>
            <w:vAlign w:val="center"/>
          </w:tcPr>
          <w:p w14:paraId="765CAB0F" w14:textId="0913396A" w:rsidR="004845CD" w:rsidRDefault="004845CD" w:rsidP="004845CD">
            <w:pPr>
              <w:pStyle w:val="ListParagraph"/>
              <w:ind w:left="0"/>
            </w:pPr>
            <w:r>
              <w:rPr>
                <w:rFonts w:cstheme="minorHAnsi"/>
              </w:rPr>
              <w:t>Occasional</w:t>
            </w:r>
          </w:p>
        </w:tc>
        <w:tc>
          <w:tcPr>
            <w:tcW w:w="1138" w:type="dxa"/>
            <w:vAlign w:val="center"/>
          </w:tcPr>
          <w:p w14:paraId="5C1B683E" w14:textId="418E52ED" w:rsidR="004845CD" w:rsidRDefault="004845CD" w:rsidP="004845CD">
            <w:pPr>
              <w:pStyle w:val="ListParagraph"/>
              <w:ind w:left="0"/>
            </w:pPr>
            <w:r>
              <w:rPr>
                <w:rFonts w:cstheme="minorHAnsi"/>
              </w:rPr>
              <w:t>Improbable</w:t>
            </w:r>
          </w:p>
        </w:tc>
        <w:tc>
          <w:tcPr>
            <w:tcW w:w="1498" w:type="dxa"/>
            <w:vAlign w:val="center"/>
          </w:tcPr>
          <w:p w14:paraId="227AEDDD" w14:textId="0C102983" w:rsidR="004845CD" w:rsidRDefault="004845CD" w:rsidP="004845CD">
            <w:pPr>
              <w:pStyle w:val="ListParagraph"/>
              <w:ind w:left="0"/>
            </w:pPr>
            <w:r>
              <w:rPr>
                <w:rFonts w:cstheme="minorHAnsi"/>
              </w:rPr>
              <w:t>Critical</w:t>
            </w:r>
          </w:p>
        </w:tc>
      </w:tr>
      <w:tr w:rsidR="008A7D4D" w14:paraId="2EB0E6E4" w14:textId="77777777" w:rsidTr="008A7D4D">
        <w:trPr>
          <w:cantSplit/>
        </w:trPr>
        <w:tc>
          <w:tcPr>
            <w:tcW w:w="1426" w:type="dxa"/>
            <w:vMerge/>
            <w:vAlign w:val="center"/>
          </w:tcPr>
          <w:p w14:paraId="70BC10B4" w14:textId="77777777" w:rsidR="004845CD" w:rsidRDefault="004845CD" w:rsidP="004845CD">
            <w:pPr>
              <w:pStyle w:val="ListParagraph"/>
              <w:ind w:left="0"/>
            </w:pPr>
          </w:p>
        </w:tc>
        <w:tc>
          <w:tcPr>
            <w:tcW w:w="5328" w:type="dxa"/>
            <w:vMerge/>
            <w:vAlign w:val="center"/>
          </w:tcPr>
          <w:p w14:paraId="79D9C578" w14:textId="77777777" w:rsidR="004845CD" w:rsidRDefault="004845CD" w:rsidP="004845CD">
            <w:pPr>
              <w:pStyle w:val="ListParagraph"/>
              <w:ind w:left="0"/>
            </w:pPr>
          </w:p>
        </w:tc>
        <w:tc>
          <w:tcPr>
            <w:tcW w:w="1138" w:type="dxa"/>
            <w:vAlign w:val="center"/>
          </w:tcPr>
          <w:p w14:paraId="32798501" w14:textId="0F7FCE36" w:rsidR="004845CD" w:rsidRDefault="004845CD" w:rsidP="004845CD">
            <w:pPr>
              <w:pStyle w:val="ListParagraph"/>
              <w:ind w:left="0"/>
            </w:pPr>
            <w:r>
              <w:rPr>
                <w:rFonts w:eastAsia="Times New Roman"/>
              </w:rPr>
              <w:t>Expected</w:t>
            </w:r>
          </w:p>
        </w:tc>
        <w:tc>
          <w:tcPr>
            <w:tcW w:w="1138" w:type="dxa"/>
            <w:vAlign w:val="center"/>
          </w:tcPr>
          <w:p w14:paraId="7AF04D4E" w14:textId="63155124" w:rsidR="004845CD" w:rsidRDefault="004845CD" w:rsidP="004845CD">
            <w:pPr>
              <w:pStyle w:val="ListParagraph"/>
              <w:ind w:left="0"/>
            </w:pPr>
            <w:r>
              <w:rPr>
                <w:rFonts w:cstheme="minorHAnsi"/>
              </w:rPr>
              <w:t>Remote</w:t>
            </w:r>
          </w:p>
        </w:tc>
        <w:tc>
          <w:tcPr>
            <w:tcW w:w="1138" w:type="dxa"/>
            <w:vAlign w:val="center"/>
          </w:tcPr>
          <w:p w14:paraId="6FD29049" w14:textId="43D6C804" w:rsidR="004845CD" w:rsidRDefault="004845CD" w:rsidP="004845CD">
            <w:pPr>
              <w:pStyle w:val="ListParagraph"/>
              <w:ind w:left="0"/>
            </w:pPr>
            <w:r>
              <w:rPr>
                <w:rFonts w:cstheme="minorHAnsi"/>
              </w:rPr>
              <w:t>Improbable</w:t>
            </w:r>
          </w:p>
        </w:tc>
        <w:tc>
          <w:tcPr>
            <w:tcW w:w="1498" w:type="dxa"/>
            <w:vAlign w:val="center"/>
          </w:tcPr>
          <w:p w14:paraId="7BF63089" w14:textId="21C4178C" w:rsidR="004845CD" w:rsidRDefault="004845CD" w:rsidP="004845CD">
            <w:pPr>
              <w:pStyle w:val="ListParagraph"/>
              <w:ind w:left="0"/>
            </w:pPr>
            <w:r>
              <w:rPr>
                <w:rFonts w:cstheme="minorHAnsi"/>
              </w:rPr>
              <w:t>Catastrophic / Fatal</w:t>
            </w:r>
          </w:p>
        </w:tc>
      </w:tr>
      <w:tr w:rsidR="00F2479D" w14:paraId="49991985" w14:textId="77777777" w:rsidTr="008A7D4D">
        <w:trPr>
          <w:cantSplit/>
        </w:trPr>
        <w:tc>
          <w:tcPr>
            <w:tcW w:w="1426" w:type="dxa"/>
            <w:vAlign w:val="center"/>
          </w:tcPr>
          <w:p w14:paraId="53967AB0" w14:textId="2A926D89" w:rsidR="004845CD" w:rsidRDefault="004845CD" w:rsidP="004845CD">
            <w:pPr>
              <w:pStyle w:val="ListParagraph"/>
              <w:ind w:left="0"/>
            </w:pPr>
            <w:r w:rsidRPr="00D97071">
              <w:rPr>
                <w:rFonts w:cstheme="minorHAnsi"/>
              </w:rPr>
              <w:t>Graft vs. host disease</w:t>
            </w:r>
          </w:p>
        </w:tc>
        <w:tc>
          <w:tcPr>
            <w:tcW w:w="5328" w:type="dxa"/>
            <w:vAlign w:val="center"/>
          </w:tcPr>
          <w:p w14:paraId="4E80D811" w14:textId="77777777" w:rsidR="004845CD" w:rsidRDefault="004845CD" w:rsidP="004845C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4042955F" w14:textId="4FD7595B" w:rsidR="0012476D" w:rsidRPr="0012476D" w:rsidRDefault="004845CD">
            <w:pPr>
              <w:pStyle w:val="ListParagraph"/>
              <w:numPr>
                <w:ilvl w:val="0"/>
                <w:numId w:val="19"/>
              </w:numPr>
              <w:contextualSpacing w:val="0"/>
              <w:rPr>
                <w:rStyle w:val="Hyperlink"/>
                <w:rFonts w:cstheme="minorHAnsi"/>
                <w:color w:val="auto"/>
                <w:sz w:val="21"/>
                <w:szCs w:val="21"/>
                <w:u w:val="none"/>
              </w:rPr>
            </w:pPr>
            <w:r w:rsidRPr="0017590F">
              <w:rPr>
                <w:rFonts w:cstheme="minorHAnsi"/>
                <w:sz w:val="21"/>
                <w:szCs w:val="21"/>
              </w:rPr>
              <w:t>difficult to nail down incidence due to rarity of occurrence - some underlying risk factors are identified including prior bone marrow transplant</w:t>
            </w:r>
            <w:r>
              <w:rPr>
                <w:rFonts w:cstheme="minorHAnsi"/>
                <w:sz w:val="21"/>
                <w:szCs w:val="21"/>
              </w:rPr>
              <w:br/>
            </w:r>
            <w:r w:rsidRPr="0017590F">
              <w:rPr>
                <w:rFonts w:cstheme="minorHAnsi"/>
                <w:sz w:val="21"/>
                <w:szCs w:val="21"/>
              </w:rPr>
              <w:t xml:space="preserve">Systematic review of Graft vs host disease in transfusion - </w:t>
            </w:r>
          </w:p>
          <w:p w14:paraId="3FEDDFF7" w14:textId="5101DF10" w:rsidR="004845CD" w:rsidRPr="0017590F" w:rsidRDefault="0012476D" w:rsidP="0012476D">
            <w:pPr>
              <w:pStyle w:val="ListParagraph"/>
              <w:ind w:left="360"/>
              <w:contextualSpacing w:val="0"/>
              <w:rPr>
                <w:rFonts w:cstheme="minorHAnsi"/>
                <w:sz w:val="21"/>
                <w:szCs w:val="21"/>
              </w:rPr>
            </w:pPr>
            <w:r w:rsidRPr="0012476D">
              <w:rPr>
                <w:rFonts w:cstheme="minorHAnsi"/>
                <w:sz w:val="21"/>
                <w:szCs w:val="21"/>
              </w:rPr>
              <w:t>https://ashpublications.org/blood/article/126/3/406/34566/A-systematic-review-of-transfusion-associated#</w:t>
            </w:r>
            <w:r w:rsidR="004845CD" w:rsidRPr="0017590F">
              <w:rPr>
                <w:rFonts w:cstheme="minorHAnsi"/>
                <w:sz w:val="21"/>
                <w:szCs w:val="21"/>
              </w:rPr>
              <w:t xml:space="preserve">  </w:t>
            </w:r>
          </w:p>
          <w:p w14:paraId="23B5CDC4" w14:textId="77777777" w:rsidR="004845CD" w:rsidRPr="00D31706" w:rsidRDefault="004845CD">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10A3932D" w14:textId="77777777" w:rsidR="004845CD" w:rsidRPr="00D31706" w:rsidRDefault="004845CD" w:rsidP="004845CD">
            <w:pPr>
              <w:pStyle w:val="ListParagraph"/>
              <w:ind w:left="0"/>
              <w:contextualSpacing w:val="0"/>
              <w:rPr>
                <w:rFonts w:cstheme="minorHAnsi"/>
                <w:sz w:val="21"/>
                <w:szCs w:val="21"/>
              </w:rPr>
            </w:pPr>
          </w:p>
          <w:p w14:paraId="6E51D6F3" w14:textId="77777777" w:rsidR="004845CD" w:rsidRDefault="004845CD" w:rsidP="004845C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54B00B8E" w14:textId="77777777" w:rsidR="004845CD" w:rsidRDefault="004845CD" w:rsidP="004845CD">
            <w:pPr>
              <w:pStyle w:val="ListParagraph"/>
              <w:ind w:left="0"/>
              <w:contextualSpacing w:val="0"/>
              <w:rPr>
                <w:rFonts w:eastAsiaTheme="minorEastAsia" w:cstheme="minorHAnsi"/>
                <w:sz w:val="21"/>
                <w:szCs w:val="21"/>
              </w:rPr>
            </w:pPr>
          </w:p>
          <w:p w14:paraId="4EEDA52D" w14:textId="00B83A5B" w:rsidR="004845CD" w:rsidRDefault="004845CD" w:rsidP="004845CD">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0DE69720" w14:textId="36A35A86" w:rsidR="004845CD" w:rsidRDefault="004845CD" w:rsidP="004845CD">
            <w:pPr>
              <w:pStyle w:val="ListParagraph"/>
              <w:ind w:left="0"/>
            </w:pPr>
            <w:r>
              <w:rPr>
                <w:rFonts w:cstheme="minorHAnsi"/>
              </w:rPr>
              <w:t>Improbable</w:t>
            </w:r>
          </w:p>
        </w:tc>
        <w:tc>
          <w:tcPr>
            <w:tcW w:w="1138" w:type="dxa"/>
            <w:vAlign w:val="center"/>
          </w:tcPr>
          <w:p w14:paraId="6240700E" w14:textId="33D499A1" w:rsidR="004845CD" w:rsidRDefault="004845CD" w:rsidP="004845CD">
            <w:pPr>
              <w:pStyle w:val="ListParagraph"/>
              <w:ind w:left="0"/>
            </w:pPr>
            <w:r>
              <w:rPr>
                <w:rFonts w:cstheme="minorHAnsi"/>
              </w:rPr>
              <w:t>Expected</w:t>
            </w:r>
          </w:p>
        </w:tc>
        <w:tc>
          <w:tcPr>
            <w:tcW w:w="1138" w:type="dxa"/>
            <w:vAlign w:val="center"/>
          </w:tcPr>
          <w:p w14:paraId="5D17A339" w14:textId="7E167759" w:rsidR="004845CD" w:rsidRDefault="004845CD" w:rsidP="004845CD">
            <w:pPr>
              <w:pStyle w:val="ListParagraph"/>
              <w:ind w:left="0"/>
            </w:pPr>
            <w:r>
              <w:rPr>
                <w:rFonts w:cstheme="minorHAnsi"/>
              </w:rPr>
              <w:t>Improbable</w:t>
            </w:r>
          </w:p>
        </w:tc>
        <w:tc>
          <w:tcPr>
            <w:tcW w:w="1498" w:type="dxa"/>
            <w:vAlign w:val="center"/>
          </w:tcPr>
          <w:p w14:paraId="6EDDAF40" w14:textId="3EED8492" w:rsidR="004845CD" w:rsidRDefault="004845CD" w:rsidP="004845CD">
            <w:pPr>
              <w:pStyle w:val="ListParagraph"/>
              <w:ind w:left="0"/>
            </w:pPr>
            <w:r>
              <w:rPr>
                <w:rFonts w:cstheme="minorHAnsi"/>
              </w:rPr>
              <w:t>Catastrophic / Fatal</w:t>
            </w:r>
          </w:p>
        </w:tc>
      </w:tr>
      <w:tr w:rsidR="00A022CA" w14:paraId="5FB94C4D" w14:textId="77777777" w:rsidTr="008A7D4D">
        <w:trPr>
          <w:cantSplit/>
          <w:trHeight w:val="1152"/>
        </w:trPr>
        <w:tc>
          <w:tcPr>
            <w:tcW w:w="1426" w:type="dxa"/>
            <w:vMerge w:val="restart"/>
            <w:vAlign w:val="center"/>
          </w:tcPr>
          <w:p w14:paraId="48E4A2D2" w14:textId="77777777" w:rsidR="00A022CA" w:rsidRPr="000E3F5A" w:rsidRDefault="00A022CA" w:rsidP="00A022CA">
            <w:pPr>
              <w:pStyle w:val="ListParagraph"/>
              <w:ind w:left="0"/>
              <w:contextualSpacing w:val="0"/>
              <w:rPr>
                <w:rFonts w:cstheme="minorHAnsi"/>
              </w:rPr>
            </w:pPr>
            <w:r w:rsidRPr="00DD2791">
              <w:rPr>
                <w:rFonts w:cstheme="minorHAnsi"/>
              </w:rPr>
              <w:t xml:space="preserve">TACO (Transfusion Associated </w:t>
            </w:r>
            <w:r w:rsidRPr="00DD2791">
              <w:rPr>
                <w:rFonts w:cstheme="minorHAnsi"/>
              </w:rPr>
              <w:lastRenderedPageBreak/>
              <w:t>Circulatory Overload</w:t>
            </w:r>
            <w:r>
              <w:rPr>
                <w:rFonts w:cstheme="minorHAnsi"/>
              </w:rPr>
              <w:t>)</w:t>
            </w:r>
          </w:p>
          <w:p w14:paraId="776ABCFF" w14:textId="77777777" w:rsidR="00A022CA" w:rsidRDefault="00A022CA" w:rsidP="00A022CA">
            <w:pPr>
              <w:pStyle w:val="ListParagraph"/>
              <w:ind w:left="0"/>
            </w:pPr>
          </w:p>
        </w:tc>
        <w:tc>
          <w:tcPr>
            <w:tcW w:w="5328" w:type="dxa"/>
            <w:vMerge w:val="restart"/>
            <w:vAlign w:val="center"/>
          </w:tcPr>
          <w:p w14:paraId="064720E5" w14:textId="77777777" w:rsidR="00A022CA" w:rsidRDefault="00A022CA" w:rsidP="00A022CA">
            <w:pPr>
              <w:pStyle w:val="ListParagraph"/>
              <w:ind w:left="0"/>
              <w:contextualSpacing w:val="0"/>
              <w:rPr>
                <w:rFonts w:eastAsiaTheme="minorEastAsia" w:cstheme="minorHAnsi"/>
                <w:sz w:val="21"/>
                <w:szCs w:val="21"/>
              </w:rPr>
            </w:pPr>
            <w:r w:rsidRPr="00D31706">
              <w:rPr>
                <w:rFonts w:cstheme="minorHAnsi"/>
                <w:sz w:val="21"/>
                <w:szCs w:val="21"/>
              </w:rPr>
              <w:lastRenderedPageBreak/>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71C5930E" w14:textId="3A8750B0" w:rsidR="00A022CA" w:rsidRPr="00DF391C" w:rsidRDefault="00A022CA">
            <w:pPr>
              <w:pStyle w:val="ListParagraph"/>
              <w:numPr>
                <w:ilvl w:val="0"/>
                <w:numId w:val="21"/>
              </w:numPr>
              <w:rPr>
                <w:rFonts w:cstheme="minorHAnsi"/>
                <w:sz w:val="21"/>
                <w:szCs w:val="21"/>
              </w:rPr>
            </w:pPr>
            <w:r w:rsidRPr="00DF391C">
              <w:rPr>
                <w:rFonts w:cstheme="minorHAnsi"/>
                <w:sz w:val="21"/>
                <w:szCs w:val="21"/>
              </w:rPr>
              <w:t>TACO diagnosis recorded (17.1 per 100,000)</w:t>
            </w:r>
            <w:r w:rsidR="0012476D">
              <w:rPr>
                <w:rFonts w:cstheme="minorHAnsi"/>
                <w:sz w:val="21"/>
                <w:szCs w:val="21"/>
              </w:rPr>
              <w:br/>
            </w:r>
            <w:r w:rsidR="0012476D" w:rsidRPr="0012476D">
              <w:rPr>
                <w:rFonts w:cstheme="minorHAnsi"/>
                <w:sz w:val="21"/>
                <w:szCs w:val="21"/>
              </w:rPr>
              <w:t>https://www.fda.gov/science-research/fda-science-forum/outpatient-transfusions-and-occurrence-</w:t>
            </w:r>
            <w:r w:rsidR="0012476D" w:rsidRPr="0012476D">
              <w:rPr>
                <w:rFonts w:cstheme="minorHAnsi"/>
                <w:sz w:val="21"/>
                <w:szCs w:val="21"/>
              </w:rPr>
              <w:lastRenderedPageBreak/>
              <w:t>transfusion-associated-circulatory-overload-taco-among-us#:~:text=Results%3A,24.7%20for%20%E2%89%A55%20units.</w:t>
            </w:r>
            <w:r w:rsidRPr="00DF391C">
              <w:rPr>
                <w:rFonts w:cstheme="minorHAnsi"/>
                <w:sz w:val="21"/>
                <w:szCs w:val="21"/>
              </w:rPr>
              <w:t xml:space="preserve">   </w:t>
            </w:r>
          </w:p>
          <w:p w14:paraId="43A7842F" w14:textId="77777777" w:rsidR="00A022CA" w:rsidRPr="00D31706" w:rsidRDefault="00A022CA">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0C86E1E8" w14:textId="77777777" w:rsidR="00A022CA" w:rsidRPr="00D31706" w:rsidRDefault="00A022CA" w:rsidP="00A022CA">
            <w:pPr>
              <w:pStyle w:val="ListParagraph"/>
              <w:ind w:left="0"/>
              <w:contextualSpacing w:val="0"/>
              <w:rPr>
                <w:rFonts w:cstheme="minorHAnsi"/>
                <w:sz w:val="21"/>
                <w:szCs w:val="21"/>
              </w:rPr>
            </w:pPr>
          </w:p>
          <w:p w14:paraId="2D954B29" w14:textId="77777777" w:rsidR="00A022CA" w:rsidRDefault="00A022CA" w:rsidP="00A022CA">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5371417B" w14:textId="77777777" w:rsidR="00A022CA" w:rsidRDefault="00A022CA" w:rsidP="00A022CA">
            <w:pPr>
              <w:pStyle w:val="ListParagraph"/>
              <w:ind w:left="0"/>
              <w:contextualSpacing w:val="0"/>
              <w:rPr>
                <w:rFonts w:eastAsiaTheme="minorEastAsia" w:cstheme="minorHAnsi"/>
                <w:sz w:val="21"/>
                <w:szCs w:val="21"/>
              </w:rPr>
            </w:pPr>
          </w:p>
          <w:p w14:paraId="54E16EE8" w14:textId="59BAA884" w:rsidR="00A022CA" w:rsidRPr="00A022CA" w:rsidRDefault="00A022CA" w:rsidP="00A022CA">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tc>
        <w:tc>
          <w:tcPr>
            <w:tcW w:w="1138" w:type="dxa"/>
            <w:vMerge w:val="restart"/>
            <w:vAlign w:val="center"/>
          </w:tcPr>
          <w:p w14:paraId="39568004" w14:textId="77777777" w:rsidR="00A022CA" w:rsidRPr="000E3F5A" w:rsidRDefault="00A022CA" w:rsidP="00A022CA">
            <w:pPr>
              <w:pStyle w:val="ListParagraph"/>
              <w:ind w:left="0"/>
              <w:contextualSpacing w:val="0"/>
              <w:jc w:val="center"/>
              <w:rPr>
                <w:rFonts w:cstheme="minorHAnsi"/>
              </w:rPr>
            </w:pPr>
            <w:r>
              <w:rPr>
                <w:rFonts w:cstheme="minorHAnsi"/>
              </w:rPr>
              <w:lastRenderedPageBreak/>
              <w:t>Occasional</w:t>
            </w:r>
          </w:p>
          <w:p w14:paraId="6768A640" w14:textId="77777777" w:rsidR="00A022CA" w:rsidRDefault="00A022CA" w:rsidP="00A022CA">
            <w:pPr>
              <w:pStyle w:val="ListParagraph"/>
              <w:ind w:left="0"/>
            </w:pPr>
          </w:p>
        </w:tc>
        <w:tc>
          <w:tcPr>
            <w:tcW w:w="1138" w:type="dxa"/>
            <w:vAlign w:val="center"/>
          </w:tcPr>
          <w:p w14:paraId="34BEDBA3" w14:textId="4679FA69" w:rsidR="00A022CA" w:rsidRDefault="00A022CA" w:rsidP="00A022CA">
            <w:pPr>
              <w:pStyle w:val="ListParagraph"/>
              <w:ind w:left="0"/>
            </w:pPr>
            <w:r w:rsidRPr="006D206B">
              <w:rPr>
                <w:rFonts w:cstheme="minorHAnsi"/>
                <w:sz w:val="21"/>
                <w:szCs w:val="21"/>
              </w:rPr>
              <w:t>Occasional</w:t>
            </w:r>
          </w:p>
        </w:tc>
        <w:tc>
          <w:tcPr>
            <w:tcW w:w="1138" w:type="dxa"/>
            <w:vAlign w:val="center"/>
          </w:tcPr>
          <w:p w14:paraId="18FCD5C2" w14:textId="508869A2" w:rsidR="00A022CA" w:rsidRDefault="00A022CA" w:rsidP="00A022CA">
            <w:pPr>
              <w:pStyle w:val="ListParagraph"/>
              <w:ind w:left="0"/>
            </w:pPr>
            <w:r>
              <w:rPr>
                <w:rFonts w:cstheme="minorHAnsi"/>
              </w:rPr>
              <w:t>Improbable</w:t>
            </w:r>
          </w:p>
        </w:tc>
        <w:tc>
          <w:tcPr>
            <w:tcW w:w="1498" w:type="dxa"/>
            <w:vAlign w:val="center"/>
          </w:tcPr>
          <w:p w14:paraId="36A12947" w14:textId="1C493D60" w:rsidR="00A022CA" w:rsidRDefault="00A022CA" w:rsidP="00A022CA">
            <w:pPr>
              <w:pStyle w:val="ListParagraph"/>
              <w:ind w:left="0"/>
            </w:pPr>
            <w:r w:rsidRPr="006D206B">
              <w:rPr>
                <w:rFonts w:cstheme="minorHAnsi"/>
                <w:sz w:val="21"/>
                <w:szCs w:val="21"/>
              </w:rPr>
              <w:t>Serious / Majo</w:t>
            </w:r>
            <w:r>
              <w:rPr>
                <w:rFonts w:cstheme="minorHAnsi"/>
                <w:sz w:val="21"/>
                <w:szCs w:val="21"/>
              </w:rPr>
              <w:t>r</w:t>
            </w:r>
          </w:p>
        </w:tc>
      </w:tr>
      <w:tr w:rsidR="00A022CA" w14:paraId="4C55F79C" w14:textId="77777777" w:rsidTr="008A7D4D">
        <w:trPr>
          <w:cantSplit/>
          <w:trHeight w:val="1152"/>
        </w:trPr>
        <w:tc>
          <w:tcPr>
            <w:tcW w:w="1426" w:type="dxa"/>
            <w:vMerge/>
            <w:vAlign w:val="center"/>
          </w:tcPr>
          <w:p w14:paraId="62B11910" w14:textId="77777777" w:rsidR="00A022CA" w:rsidRDefault="00A022CA" w:rsidP="00A022CA">
            <w:pPr>
              <w:pStyle w:val="ListParagraph"/>
              <w:ind w:left="0"/>
            </w:pPr>
          </w:p>
        </w:tc>
        <w:tc>
          <w:tcPr>
            <w:tcW w:w="5328" w:type="dxa"/>
            <w:vMerge/>
            <w:vAlign w:val="center"/>
          </w:tcPr>
          <w:p w14:paraId="3F1B54A7" w14:textId="77777777" w:rsidR="00A022CA" w:rsidRDefault="00A022CA" w:rsidP="00A022CA">
            <w:pPr>
              <w:pStyle w:val="ListParagraph"/>
              <w:ind w:left="0"/>
            </w:pPr>
          </w:p>
        </w:tc>
        <w:tc>
          <w:tcPr>
            <w:tcW w:w="1138" w:type="dxa"/>
            <w:vMerge/>
            <w:vAlign w:val="center"/>
          </w:tcPr>
          <w:p w14:paraId="168B5C58" w14:textId="77777777" w:rsidR="00A022CA" w:rsidRDefault="00A022CA" w:rsidP="00A022CA">
            <w:pPr>
              <w:pStyle w:val="ListParagraph"/>
              <w:ind w:left="0"/>
            </w:pPr>
          </w:p>
        </w:tc>
        <w:tc>
          <w:tcPr>
            <w:tcW w:w="1138" w:type="dxa"/>
            <w:vAlign w:val="center"/>
          </w:tcPr>
          <w:p w14:paraId="7B624EFE" w14:textId="40C45754" w:rsidR="00A022CA" w:rsidRDefault="00A022CA" w:rsidP="00A022CA">
            <w:pPr>
              <w:pStyle w:val="ListParagraph"/>
              <w:ind w:left="0"/>
            </w:pPr>
            <w:r w:rsidRPr="006D206B">
              <w:rPr>
                <w:rFonts w:cstheme="minorHAnsi"/>
                <w:sz w:val="21"/>
                <w:szCs w:val="21"/>
              </w:rPr>
              <w:t>Occasional</w:t>
            </w:r>
          </w:p>
        </w:tc>
        <w:tc>
          <w:tcPr>
            <w:tcW w:w="1138" w:type="dxa"/>
            <w:vAlign w:val="center"/>
          </w:tcPr>
          <w:p w14:paraId="057D5ADE" w14:textId="475707FC" w:rsidR="00A022CA" w:rsidRDefault="00A022CA" w:rsidP="00A022CA">
            <w:pPr>
              <w:pStyle w:val="ListParagraph"/>
              <w:ind w:left="0"/>
            </w:pPr>
            <w:r>
              <w:rPr>
                <w:rFonts w:cstheme="minorHAnsi"/>
              </w:rPr>
              <w:t>Improbable</w:t>
            </w:r>
          </w:p>
        </w:tc>
        <w:tc>
          <w:tcPr>
            <w:tcW w:w="1498" w:type="dxa"/>
            <w:vAlign w:val="center"/>
          </w:tcPr>
          <w:p w14:paraId="35139C0A" w14:textId="70DA198C" w:rsidR="00A022CA" w:rsidRDefault="00A022CA" w:rsidP="00A022CA">
            <w:pPr>
              <w:pStyle w:val="ListParagraph"/>
              <w:ind w:left="0"/>
            </w:pPr>
            <w:r w:rsidRPr="006D206B">
              <w:rPr>
                <w:rFonts w:cstheme="minorHAnsi"/>
                <w:sz w:val="21"/>
                <w:szCs w:val="21"/>
              </w:rPr>
              <w:t>Critical</w:t>
            </w:r>
          </w:p>
        </w:tc>
      </w:tr>
      <w:tr w:rsidR="00A022CA" w14:paraId="07DB0090" w14:textId="77777777" w:rsidTr="008A7D4D">
        <w:trPr>
          <w:cantSplit/>
        </w:trPr>
        <w:tc>
          <w:tcPr>
            <w:tcW w:w="1426" w:type="dxa"/>
            <w:vMerge/>
            <w:vAlign w:val="center"/>
          </w:tcPr>
          <w:p w14:paraId="1908FC8F" w14:textId="77777777" w:rsidR="00A022CA" w:rsidRDefault="00A022CA" w:rsidP="00A022CA">
            <w:pPr>
              <w:pStyle w:val="ListParagraph"/>
              <w:ind w:left="0"/>
            </w:pPr>
          </w:p>
        </w:tc>
        <w:tc>
          <w:tcPr>
            <w:tcW w:w="5328" w:type="dxa"/>
            <w:vMerge/>
            <w:vAlign w:val="center"/>
          </w:tcPr>
          <w:p w14:paraId="08CDA81C" w14:textId="77777777" w:rsidR="00A022CA" w:rsidRDefault="00A022CA" w:rsidP="00A022CA">
            <w:pPr>
              <w:pStyle w:val="ListParagraph"/>
              <w:ind w:left="0"/>
            </w:pPr>
          </w:p>
        </w:tc>
        <w:tc>
          <w:tcPr>
            <w:tcW w:w="1138" w:type="dxa"/>
            <w:vMerge/>
            <w:vAlign w:val="center"/>
          </w:tcPr>
          <w:p w14:paraId="54B6E973" w14:textId="77777777" w:rsidR="00A022CA" w:rsidRDefault="00A022CA" w:rsidP="00A022CA">
            <w:pPr>
              <w:pStyle w:val="ListParagraph"/>
              <w:ind w:left="0"/>
            </w:pPr>
          </w:p>
        </w:tc>
        <w:tc>
          <w:tcPr>
            <w:tcW w:w="1138" w:type="dxa"/>
            <w:vAlign w:val="center"/>
          </w:tcPr>
          <w:p w14:paraId="0826D239" w14:textId="7A13093D" w:rsidR="00A022CA" w:rsidRDefault="00A022CA" w:rsidP="00A022CA">
            <w:pPr>
              <w:pStyle w:val="ListParagraph"/>
              <w:ind w:left="0"/>
            </w:pPr>
            <w:r w:rsidRPr="006D206B">
              <w:rPr>
                <w:rFonts w:cstheme="minorHAnsi"/>
                <w:sz w:val="21"/>
                <w:szCs w:val="21"/>
              </w:rPr>
              <w:t>Probable</w:t>
            </w:r>
          </w:p>
        </w:tc>
        <w:tc>
          <w:tcPr>
            <w:tcW w:w="1138" w:type="dxa"/>
            <w:vAlign w:val="center"/>
          </w:tcPr>
          <w:p w14:paraId="545B8855" w14:textId="47567341" w:rsidR="00A022CA" w:rsidRDefault="00A022CA" w:rsidP="00A022CA">
            <w:pPr>
              <w:pStyle w:val="ListParagraph"/>
              <w:ind w:left="0"/>
            </w:pPr>
            <w:r>
              <w:rPr>
                <w:rFonts w:cstheme="minorHAnsi"/>
              </w:rPr>
              <w:t>Improbable</w:t>
            </w:r>
          </w:p>
        </w:tc>
        <w:tc>
          <w:tcPr>
            <w:tcW w:w="1498" w:type="dxa"/>
            <w:vAlign w:val="center"/>
          </w:tcPr>
          <w:p w14:paraId="568A047D" w14:textId="5A905576" w:rsidR="00A022CA" w:rsidRDefault="00A022CA" w:rsidP="00A022CA">
            <w:pPr>
              <w:pStyle w:val="ListParagraph"/>
              <w:ind w:left="0"/>
            </w:pPr>
            <w:r w:rsidRPr="006D206B">
              <w:rPr>
                <w:rFonts w:cstheme="minorHAnsi"/>
                <w:sz w:val="21"/>
                <w:szCs w:val="21"/>
              </w:rPr>
              <w:t>Catastrophic / Fatal</w:t>
            </w:r>
          </w:p>
        </w:tc>
      </w:tr>
      <w:tr w:rsidR="00F2479D" w14:paraId="7A4C0BD0" w14:textId="77777777" w:rsidTr="008A7D4D">
        <w:trPr>
          <w:cantSplit/>
        </w:trPr>
        <w:tc>
          <w:tcPr>
            <w:tcW w:w="1426" w:type="dxa"/>
            <w:vMerge w:val="restart"/>
            <w:vAlign w:val="center"/>
          </w:tcPr>
          <w:p w14:paraId="47B9640F" w14:textId="77777777" w:rsidR="00F2479D" w:rsidRPr="000E3F5A" w:rsidRDefault="00F2479D" w:rsidP="00F2479D">
            <w:pPr>
              <w:pStyle w:val="ListParagraph"/>
              <w:ind w:left="0"/>
              <w:contextualSpacing w:val="0"/>
              <w:rPr>
                <w:rFonts w:cstheme="minorHAnsi"/>
              </w:rPr>
            </w:pPr>
            <w:r w:rsidRPr="00604981">
              <w:rPr>
                <w:rFonts w:cstheme="minorHAnsi"/>
              </w:rPr>
              <w:t>Transfusion-related acute lung injury</w:t>
            </w:r>
          </w:p>
          <w:p w14:paraId="77B13CEC" w14:textId="77777777" w:rsidR="00F2479D" w:rsidRDefault="00F2479D" w:rsidP="00F2479D">
            <w:pPr>
              <w:pStyle w:val="ListParagraph"/>
              <w:ind w:left="0"/>
            </w:pPr>
          </w:p>
        </w:tc>
        <w:tc>
          <w:tcPr>
            <w:tcW w:w="5328" w:type="dxa"/>
            <w:vMerge w:val="restart"/>
            <w:vAlign w:val="center"/>
          </w:tcPr>
          <w:p w14:paraId="2E407455"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79BBB565" w14:textId="77777777" w:rsidR="00F2479D" w:rsidRPr="00053561" w:rsidRDefault="00F2479D">
            <w:pPr>
              <w:pStyle w:val="ListParagraph"/>
              <w:numPr>
                <w:ilvl w:val="0"/>
                <w:numId w:val="19"/>
              </w:numPr>
              <w:rPr>
                <w:rFonts w:cstheme="minorHAnsi"/>
                <w:sz w:val="21"/>
                <w:szCs w:val="21"/>
              </w:rPr>
            </w:pPr>
            <w:r w:rsidRPr="00053561">
              <w:rPr>
                <w:rFonts w:cstheme="minorHAnsi"/>
                <w:sz w:val="21"/>
                <w:szCs w:val="21"/>
              </w:rPr>
              <w:t>Estimates of the incidence of TRALI have been 1 in 5,000 components, mostly in whole blood, 1 in 7,900 units of fresh frozen plasma, and 1 in 432 units of whole blood-derived platelet concentrates.</w:t>
            </w:r>
            <w:r>
              <w:rPr>
                <w:rFonts w:cstheme="minorHAnsi"/>
                <w:sz w:val="21"/>
                <w:szCs w:val="21"/>
              </w:rPr>
              <w:t xml:space="preserve"> </w:t>
            </w:r>
            <w:r>
              <w:rPr>
                <w:rFonts w:cstheme="minorHAnsi"/>
                <w:sz w:val="21"/>
                <w:szCs w:val="21"/>
              </w:rPr>
              <w:br/>
            </w:r>
            <w:r w:rsidRPr="00DD7FAF">
              <w:rPr>
                <w:rFonts w:cstheme="minorHAnsi"/>
                <w:sz w:val="21"/>
                <w:szCs w:val="21"/>
              </w:rPr>
              <w:t>https://www.ncbi.nlm.nih.gov/pmc/articles/PMC2767181/#:~:text=TRALI%20has%20been%20reported%20following,derived%20platelet%20concentrates%20(13)</w:t>
            </w:r>
            <w:r w:rsidRPr="00053561">
              <w:rPr>
                <w:rFonts w:cstheme="minorHAnsi"/>
                <w:sz w:val="21"/>
                <w:szCs w:val="21"/>
              </w:rPr>
              <w:t xml:space="preserve">.   </w:t>
            </w:r>
          </w:p>
          <w:p w14:paraId="312ADFB3" w14:textId="77777777" w:rsidR="00F2479D" w:rsidRPr="00D31706" w:rsidRDefault="00F2479D">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54D4A12E" w14:textId="77777777" w:rsidR="00F2479D" w:rsidRPr="00D31706" w:rsidRDefault="00F2479D" w:rsidP="00F2479D">
            <w:pPr>
              <w:pStyle w:val="ListParagraph"/>
              <w:ind w:left="0"/>
              <w:contextualSpacing w:val="0"/>
              <w:rPr>
                <w:rFonts w:cstheme="minorHAnsi"/>
                <w:sz w:val="21"/>
                <w:szCs w:val="21"/>
              </w:rPr>
            </w:pPr>
          </w:p>
          <w:p w14:paraId="7C3842AA"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1562759D" w14:textId="77777777" w:rsidR="00F2479D" w:rsidRDefault="00F2479D" w:rsidP="00F2479D">
            <w:pPr>
              <w:pStyle w:val="ListParagraph"/>
              <w:ind w:left="0"/>
              <w:contextualSpacing w:val="0"/>
              <w:rPr>
                <w:rFonts w:eastAsiaTheme="minorEastAsia" w:cstheme="minorHAnsi"/>
                <w:sz w:val="21"/>
                <w:szCs w:val="21"/>
              </w:rPr>
            </w:pPr>
          </w:p>
          <w:p w14:paraId="7D46B344" w14:textId="77777777" w:rsidR="00F2479D" w:rsidRPr="00D31706" w:rsidRDefault="00F2479D" w:rsidP="00F2479D">
            <w:pPr>
              <w:pStyle w:val="ListParagraph"/>
              <w:ind w:left="0"/>
              <w:contextualSpacing w:val="0"/>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-3</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-7</m:t>
                      </m:r>
                    </m:sup>
                  </m:sSup>
                </m:e>
              </m:d>
              <m:r>
                <w:rPr>
                  <w:rFonts w:ascii="Cambria Math" w:eastAsiaTheme="minorEastAsia" w:hAnsi="Cambria Math" w:cstheme="minorHAnsi"/>
                  <w:sz w:val="21"/>
                  <w:szCs w:val="21"/>
                </w:rPr>
                <m:t>→P=Improbable</m:t>
              </m:r>
            </m:oMath>
          </w:p>
          <w:p w14:paraId="657B14CE" w14:textId="77777777" w:rsidR="00F2479D" w:rsidRDefault="00F2479D" w:rsidP="00F2479D">
            <w:pPr>
              <w:pStyle w:val="ListParagraph"/>
              <w:ind w:left="0"/>
            </w:pPr>
          </w:p>
        </w:tc>
        <w:tc>
          <w:tcPr>
            <w:tcW w:w="1138" w:type="dxa"/>
            <w:vMerge w:val="restart"/>
            <w:vAlign w:val="center"/>
          </w:tcPr>
          <w:p w14:paraId="1C58307D" w14:textId="77777777" w:rsidR="00F2479D" w:rsidRPr="000E3F5A" w:rsidRDefault="00F2479D" w:rsidP="00F2479D">
            <w:pPr>
              <w:pStyle w:val="ListParagraph"/>
              <w:ind w:left="0"/>
              <w:contextualSpacing w:val="0"/>
              <w:jc w:val="center"/>
              <w:rPr>
                <w:rFonts w:cstheme="minorHAnsi"/>
              </w:rPr>
            </w:pPr>
            <w:r>
              <w:rPr>
                <w:rFonts w:cstheme="minorHAnsi"/>
              </w:rPr>
              <w:t>Frequent</w:t>
            </w:r>
          </w:p>
          <w:p w14:paraId="3DDA1268" w14:textId="77777777" w:rsidR="00F2479D" w:rsidRDefault="00F2479D" w:rsidP="00F2479D">
            <w:pPr>
              <w:pStyle w:val="ListParagraph"/>
              <w:ind w:left="0"/>
            </w:pPr>
          </w:p>
        </w:tc>
        <w:tc>
          <w:tcPr>
            <w:tcW w:w="1138" w:type="dxa"/>
            <w:vAlign w:val="center"/>
          </w:tcPr>
          <w:p w14:paraId="7200E503" w14:textId="7E48FDC1" w:rsidR="00F2479D" w:rsidRDefault="00F2479D" w:rsidP="00F2479D">
            <w:pPr>
              <w:pStyle w:val="ListParagraph"/>
              <w:ind w:left="0"/>
            </w:pPr>
            <w:r w:rsidRPr="003E5147">
              <w:rPr>
                <w:rFonts w:cstheme="minorHAnsi"/>
              </w:rPr>
              <w:t>Frequent</w:t>
            </w:r>
          </w:p>
        </w:tc>
        <w:tc>
          <w:tcPr>
            <w:tcW w:w="1138" w:type="dxa"/>
            <w:vAlign w:val="center"/>
          </w:tcPr>
          <w:p w14:paraId="275E9E00" w14:textId="513BC6DB" w:rsidR="00F2479D" w:rsidRDefault="00F2479D" w:rsidP="00F2479D">
            <w:pPr>
              <w:pStyle w:val="ListParagraph"/>
              <w:ind w:left="0"/>
            </w:pPr>
            <w:r w:rsidRPr="003E5147">
              <w:rPr>
                <w:rFonts w:cstheme="minorHAnsi"/>
              </w:rPr>
              <w:t>Occasional</w:t>
            </w:r>
          </w:p>
        </w:tc>
        <w:tc>
          <w:tcPr>
            <w:tcW w:w="1498" w:type="dxa"/>
            <w:vAlign w:val="center"/>
          </w:tcPr>
          <w:p w14:paraId="73E02DDA" w14:textId="7D488F34" w:rsidR="00F2479D" w:rsidRDefault="00F2479D" w:rsidP="00F2479D">
            <w:pPr>
              <w:pStyle w:val="ListParagraph"/>
              <w:ind w:left="0"/>
            </w:pPr>
            <w:r w:rsidRPr="003E5147">
              <w:rPr>
                <w:rFonts w:cstheme="minorHAnsi"/>
              </w:rPr>
              <w:t>Serious / Major</w:t>
            </w:r>
          </w:p>
        </w:tc>
      </w:tr>
      <w:tr w:rsidR="00F2479D" w14:paraId="2627A661" w14:textId="77777777" w:rsidTr="008A7D4D">
        <w:trPr>
          <w:cantSplit/>
        </w:trPr>
        <w:tc>
          <w:tcPr>
            <w:tcW w:w="1426" w:type="dxa"/>
            <w:vMerge/>
            <w:vAlign w:val="center"/>
          </w:tcPr>
          <w:p w14:paraId="526E2213" w14:textId="77777777" w:rsidR="00F2479D" w:rsidRDefault="00F2479D" w:rsidP="00F2479D">
            <w:pPr>
              <w:pStyle w:val="ListParagraph"/>
              <w:ind w:left="0"/>
            </w:pPr>
          </w:p>
        </w:tc>
        <w:tc>
          <w:tcPr>
            <w:tcW w:w="5328" w:type="dxa"/>
            <w:vMerge/>
            <w:vAlign w:val="center"/>
          </w:tcPr>
          <w:p w14:paraId="661E01F3" w14:textId="77777777" w:rsidR="00F2479D" w:rsidRDefault="00F2479D" w:rsidP="00F2479D">
            <w:pPr>
              <w:pStyle w:val="ListParagraph"/>
              <w:ind w:left="0"/>
            </w:pPr>
          </w:p>
        </w:tc>
        <w:tc>
          <w:tcPr>
            <w:tcW w:w="1138" w:type="dxa"/>
            <w:vMerge/>
            <w:vAlign w:val="center"/>
          </w:tcPr>
          <w:p w14:paraId="283DB952" w14:textId="77777777" w:rsidR="00F2479D" w:rsidRDefault="00F2479D" w:rsidP="00F2479D">
            <w:pPr>
              <w:pStyle w:val="ListParagraph"/>
              <w:ind w:left="0"/>
            </w:pPr>
          </w:p>
        </w:tc>
        <w:tc>
          <w:tcPr>
            <w:tcW w:w="1138" w:type="dxa"/>
            <w:vAlign w:val="center"/>
          </w:tcPr>
          <w:p w14:paraId="62FB43CC" w14:textId="63AAC150" w:rsidR="00F2479D" w:rsidRDefault="00F2479D" w:rsidP="00F2479D">
            <w:pPr>
              <w:pStyle w:val="ListParagraph"/>
              <w:ind w:left="0"/>
            </w:pPr>
            <w:r>
              <w:rPr>
                <w:rFonts w:cstheme="minorHAnsi"/>
              </w:rPr>
              <w:t>Occasional</w:t>
            </w:r>
          </w:p>
        </w:tc>
        <w:tc>
          <w:tcPr>
            <w:tcW w:w="1138" w:type="dxa"/>
            <w:vAlign w:val="center"/>
          </w:tcPr>
          <w:p w14:paraId="5C64CE1C" w14:textId="28C70AFB" w:rsidR="00F2479D" w:rsidRDefault="00F2479D" w:rsidP="00F2479D">
            <w:pPr>
              <w:pStyle w:val="ListParagraph"/>
              <w:ind w:left="0"/>
            </w:pPr>
            <w:r>
              <w:rPr>
                <w:rFonts w:cstheme="minorHAnsi"/>
              </w:rPr>
              <w:t>Improbable</w:t>
            </w:r>
          </w:p>
        </w:tc>
        <w:tc>
          <w:tcPr>
            <w:tcW w:w="1498" w:type="dxa"/>
            <w:vAlign w:val="center"/>
          </w:tcPr>
          <w:p w14:paraId="224402AF" w14:textId="76FD0EC1" w:rsidR="00F2479D" w:rsidRDefault="00F2479D" w:rsidP="00F2479D">
            <w:pPr>
              <w:pStyle w:val="ListParagraph"/>
              <w:ind w:left="0"/>
            </w:pPr>
            <w:r>
              <w:rPr>
                <w:rFonts w:cstheme="minorHAnsi"/>
              </w:rPr>
              <w:t>Critical</w:t>
            </w:r>
          </w:p>
        </w:tc>
      </w:tr>
      <w:tr w:rsidR="00F2479D" w14:paraId="69A4C00B" w14:textId="77777777" w:rsidTr="008A7D4D">
        <w:trPr>
          <w:cantSplit/>
        </w:trPr>
        <w:tc>
          <w:tcPr>
            <w:tcW w:w="1426" w:type="dxa"/>
            <w:vMerge w:val="restart"/>
            <w:vAlign w:val="center"/>
          </w:tcPr>
          <w:p w14:paraId="652BFE91" w14:textId="77777777" w:rsidR="00F2479D" w:rsidRPr="00C82F79" w:rsidRDefault="00F2479D" w:rsidP="00F2479D">
            <w:pPr>
              <w:pStyle w:val="ListParagraph"/>
              <w:ind w:left="0"/>
              <w:rPr>
                <w:rFonts w:cstheme="minorHAnsi"/>
                <w:highlight w:val="yellow"/>
              </w:rPr>
            </w:pPr>
            <w:r w:rsidRPr="00CB78F3">
              <w:rPr>
                <w:rFonts w:cstheme="minorHAnsi"/>
              </w:rPr>
              <w:lastRenderedPageBreak/>
              <w:t>Infection</w:t>
            </w:r>
          </w:p>
          <w:p w14:paraId="2FB0D02A" w14:textId="77777777" w:rsidR="00F2479D" w:rsidRDefault="00F2479D" w:rsidP="00F2479D">
            <w:pPr>
              <w:pStyle w:val="ListParagraph"/>
              <w:ind w:left="0"/>
            </w:pPr>
          </w:p>
        </w:tc>
        <w:tc>
          <w:tcPr>
            <w:tcW w:w="5328" w:type="dxa"/>
            <w:vAlign w:val="center"/>
          </w:tcPr>
          <w:p w14:paraId="63D1F5A3"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08C95CD0" w14:textId="77777777" w:rsidR="00F2479D" w:rsidRPr="00053561" w:rsidRDefault="00F2479D">
            <w:pPr>
              <w:pStyle w:val="ListParagraph"/>
              <w:numPr>
                <w:ilvl w:val="0"/>
                <w:numId w:val="19"/>
              </w:numPr>
              <w:rPr>
                <w:rFonts w:cstheme="minorHAnsi"/>
                <w:sz w:val="21"/>
                <w:szCs w:val="21"/>
              </w:rPr>
            </w:pPr>
            <w:r>
              <w:rPr>
                <w:rFonts w:cstheme="minorHAnsi"/>
                <w:sz w:val="21"/>
                <w:szCs w:val="21"/>
              </w:rPr>
              <w:t>1/30,000 – Any Bacterial Infection</w:t>
            </w:r>
            <w:r w:rsidRPr="00053561">
              <w:rPr>
                <w:rFonts w:cstheme="minorHAnsi"/>
                <w:sz w:val="21"/>
                <w:szCs w:val="21"/>
              </w:rPr>
              <w:t xml:space="preserve">.   </w:t>
            </w:r>
          </w:p>
          <w:p w14:paraId="2FFA4EF0" w14:textId="77777777" w:rsidR="00F2479D" w:rsidRPr="00D31706" w:rsidRDefault="00F2479D">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30B30995" w14:textId="77777777" w:rsidR="00F2479D" w:rsidRPr="00D31706" w:rsidRDefault="00F2479D" w:rsidP="00F2479D">
            <w:pPr>
              <w:pStyle w:val="ListParagraph"/>
              <w:ind w:left="0"/>
              <w:contextualSpacing w:val="0"/>
              <w:rPr>
                <w:rFonts w:cstheme="minorHAnsi"/>
                <w:sz w:val="21"/>
                <w:szCs w:val="21"/>
              </w:rPr>
            </w:pPr>
          </w:p>
          <w:p w14:paraId="5F835C0A"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4D6ECD57" w14:textId="77777777" w:rsidR="00F2479D" w:rsidRDefault="00F2479D" w:rsidP="00F2479D">
            <w:pPr>
              <w:pStyle w:val="ListParagraph"/>
              <w:ind w:left="0"/>
              <w:contextualSpacing w:val="0"/>
              <w:rPr>
                <w:rFonts w:eastAsiaTheme="minorEastAsia" w:cstheme="minorHAnsi"/>
                <w:sz w:val="21"/>
                <w:szCs w:val="21"/>
              </w:rPr>
            </w:pPr>
          </w:p>
          <w:p w14:paraId="2D2EB77F" w14:textId="2EC8570D" w:rsidR="00F2479D" w:rsidRDefault="00F2479D" w:rsidP="00F2479D">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-4</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-2</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-6</m:t>
                      </m:r>
                    </m:sup>
                  </m:sSup>
                </m:e>
              </m:d>
              <m:r>
                <w:rPr>
                  <w:rFonts w:ascii="Cambria Math" w:eastAsiaTheme="minorEastAsia" w:hAnsi="Cambria Math" w:cstheme="minorHAnsi"/>
                  <w:sz w:val="21"/>
                  <w:szCs w:val="21"/>
                </w:rPr>
                <m:t>→P=Improbable</m:t>
              </m:r>
            </m:oMath>
          </w:p>
        </w:tc>
        <w:tc>
          <w:tcPr>
            <w:tcW w:w="1138" w:type="dxa"/>
            <w:vAlign w:val="center"/>
          </w:tcPr>
          <w:p w14:paraId="74424D9D" w14:textId="56C05C65" w:rsidR="00F2479D" w:rsidRDefault="00F2479D" w:rsidP="00F2479D">
            <w:pPr>
              <w:pStyle w:val="ListParagraph"/>
              <w:ind w:left="0"/>
            </w:pPr>
            <w:r>
              <w:rPr>
                <w:rFonts w:cstheme="minorHAnsi"/>
              </w:rPr>
              <w:t>Occasional</w:t>
            </w:r>
          </w:p>
        </w:tc>
        <w:tc>
          <w:tcPr>
            <w:tcW w:w="1138" w:type="dxa"/>
            <w:vAlign w:val="center"/>
          </w:tcPr>
          <w:p w14:paraId="2EA86F01" w14:textId="2CA58441" w:rsidR="00F2479D" w:rsidRDefault="00F2479D" w:rsidP="00F2479D">
            <w:pPr>
              <w:pStyle w:val="ListParagraph"/>
              <w:ind w:left="0"/>
            </w:pPr>
            <w:r>
              <w:rPr>
                <w:rFonts w:cstheme="minorHAnsi"/>
              </w:rPr>
              <w:t>Frequent</w:t>
            </w:r>
          </w:p>
        </w:tc>
        <w:tc>
          <w:tcPr>
            <w:tcW w:w="1138" w:type="dxa"/>
            <w:vAlign w:val="center"/>
          </w:tcPr>
          <w:p w14:paraId="0EB753A8" w14:textId="64CF8B3A" w:rsidR="00F2479D" w:rsidRDefault="00F2479D" w:rsidP="00F2479D">
            <w:pPr>
              <w:pStyle w:val="ListParagraph"/>
              <w:ind w:left="0"/>
            </w:pPr>
            <w:r w:rsidRPr="00C92AD6">
              <w:rPr>
                <w:rFonts w:cstheme="minorHAnsi"/>
              </w:rPr>
              <w:t>Improbable</w:t>
            </w:r>
          </w:p>
        </w:tc>
        <w:tc>
          <w:tcPr>
            <w:tcW w:w="1498" w:type="dxa"/>
            <w:vAlign w:val="center"/>
          </w:tcPr>
          <w:p w14:paraId="2A1102CA" w14:textId="091D1334" w:rsidR="00F2479D" w:rsidRDefault="00F2479D" w:rsidP="00F2479D">
            <w:pPr>
              <w:pStyle w:val="ListParagraph"/>
              <w:ind w:left="0"/>
            </w:pPr>
            <w:r>
              <w:rPr>
                <w:rFonts w:cstheme="minorHAnsi"/>
              </w:rPr>
              <w:t>Serious / Major</w:t>
            </w:r>
          </w:p>
        </w:tc>
      </w:tr>
      <w:tr w:rsidR="00F2479D" w14:paraId="2658C77E" w14:textId="77777777" w:rsidTr="008A7D4D">
        <w:trPr>
          <w:cantSplit/>
        </w:trPr>
        <w:tc>
          <w:tcPr>
            <w:tcW w:w="1426" w:type="dxa"/>
            <w:vMerge/>
            <w:vAlign w:val="center"/>
          </w:tcPr>
          <w:p w14:paraId="70685CD4" w14:textId="77777777" w:rsidR="00F2479D" w:rsidRDefault="00F2479D" w:rsidP="00F2479D">
            <w:pPr>
              <w:pStyle w:val="ListParagraph"/>
              <w:ind w:left="0"/>
            </w:pPr>
          </w:p>
        </w:tc>
        <w:tc>
          <w:tcPr>
            <w:tcW w:w="5328" w:type="dxa"/>
            <w:vAlign w:val="center"/>
          </w:tcPr>
          <w:p w14:paraId="3B767148"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oMath>
            <w:r w:rsidRPr="00D31706">
              <w:rPr>
                <w:rFonts w:eastAsiaTheme="minorEastAsia" w:cstheme="minorHAnsi"/>
                <w:sz w:val="21"/>
                <w:szCs w:val="21"/>
              </w:rPr>
              <w:t>: Probability:</w:t>
            </w:r>
            <w:r>
              <w:rPr>
                <w:rFonts w:eastAsiaTheme="minorEastAsia" w:cstheme="minorHAnsi"/>
                <w:sz w:val="21"/>
                <w:szCs w:val="21"/>
              </w:rPr>
              <w:t xml:space="preserve">  </w:t>
            </w:r>
          </w:p>
          <w:p w14:paraId="49E4A442" w14:textId="77777777" w:rsidR="00F2479D" w:rsidRPr="00053561" w:rsidRDefault="00F2479D">
            <w:pPr>
              <w:pStyle w:val="ListParagraph"/>
              <w:numPr>
                <w:ilvl w:val="0"/>
                <w:numId w:val="19"/>
              </w:numPr>
              <w:rPr>
                <w:rFonts w:cstheme="minorHAnsi"/>
                <w:sz w:val="21"/>
                <w:szCs w:val="21"/>
              </w:rPr>
            </w:pPr>
            <w:r>
              <w:rPr>
                <w:rFonts w:cstheme="minorHAnsi"/>
                <w:sz w:val="21"/>
                <w:szCs w:val="21"/>
              </w:rPr>
              <w:t>1/500,000 – Bacteremia Infection (Subsequent to bacterial infection)</w:t>
            </w:r>
          </w:p>
          <w:p w14:paraId="637E4E4B" w14:textId="77777777" w:rsidR="00F2479D" w:rsidRPr="00D31706" w:rsidRDefault="00F2479D">
            <w:pPr>
              <w:pStyle w:val="ListParagraph"/>
              <w:numPr>
                <w:ilvl w:val="0"/>
                <w:numId w:val="19"/>
              </w:numPr>
              <w:contextualSpacing w:val="0"/>
              <w:rPr>
                <w:rFonts w:cstheme="minorHAnsi"/>
                <w:sz w:val="21"/>
                <w:szCs w:val="21"/>
              </w:rPr>
            </w:pPr>
            <w:r>
              <w:rPr>
                <w:rFonts w:eastAsiaTheme="minorEastAsia" w:cstheme="minorHAnsi"/>
                <w:sz w:val="21"/>
                <w:szCs w:val="21"/>
              </w:rPr>
              <w:t>Per board-certified Emergency Room physician for over 10 years.</w:t>
            </w:r>
          </w:p>
          <w:p w14:paraId="7F8E76AC" w14:textId="77777777" w:rsidR="00F2479D" w:rsidRPr="00D31706" w:rsidRDefault="00F2479D" w:rsidP="00F2479D">
            <w:pPr>
              <w:pStyle w:val="ListParagraph"/>
              <w:ind w:left="0"/>
              <w:contextualSpacing w:val="0"/>
              <w:rPr>
                <w:rFonts w:cstheme="minorHAnsi"/>
                <w:sz w:val="21"/>
                <w:szCs w:val="21"/>
              </w:rPr>
            </w:pPr>
          </w:p>
          <w:p w14:paraId="176BA61D" w14:textId="77777777" w:rsidR="00F2479D" w:rsidRDefault="00F2479D" w:rsidP="00F2479D">
            <w:pPr>
              <w:pStyle w:val="ListParagraph"/>
              <w:ind w:left="0"/>
              <w:contextualSpacing w:val="0"/>
              <w:rPr>
                <w:rFonts w:eastAsiaTheme="minorEastAsia"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oMath>
            <w:r w:rsidRPr="00D31706">
              <w:rPr>
                <w:rFonts w:eastAsiaTheme="minorEastAsia" w:cstheme="minorHAnsi"/>
                <w:sz w:val="21"/>
                <w:szCs w:val="21"/>
              </w:rPr>
              <w:t>: Probability and Severity</w:t>
            </w:r>
            <w:r>
              <w:rPr>
                <w:rFonts w:eastAsiaTheme="minorEastAsia" w:cstheme="minorHAnsi"/>
                <w:sz w:val="21"/>
                <w:szCs w:val="21"/>
              </w:rPr>
              <w:t>:  Per board-certified Emergency Room physician for over 10 years.</w:t>
            </w:r>
          </w:p>
          <w:p w14:paraId="17D0634E" w14:textId="77777777" w:rsidR="00F2479D" w:rsidRDefault="00F2479D" w:rsidP="00F2479D">
            <w:pPr>
              <w:pStyle w:val="ListParagraph"/>
              <w:ind w:left="0"/>
              <w:contextualSpacing w:val="0"/>
              <w:rPr>
                <w:rFonts w:eastAsiaTheme="minorEastAsia" w:cstheme="minorHAnsi"/>
                <w:sz w:val="21"/>
                <w:szCs w:val="21"/>
              </w:rPr>
            </w:pPr>
          </w:p>
          <w:p w14:paraId="6EBE345D" w14:textId="307E66BA" w:rsidR="00F2479D" w:rsidRDefault="00F2479D" w:rsidP="00F2479D">
            <w:pPr>
              <w:pStyle w:val="ListParagraph"/>
              <w:ind w:left="0"/>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 xml:space="preserve">P (=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1</m:t>
                  </m:r>
                </m:sub>
              </m:sSub>
              <m:r>
                <w:rPr>
                  <w:rFonts w:ascii="Cambria Math" w:hAnsi="Cambria Math" w:cstheme="minorHAnsi"/>
                  <w:sz w:val="21"/>
                  <w:szCs w:val="21"/>
                </w:rPr>
                <m:t xml:space="preserve"> ×</m:t>
              </m:r>
              <m:r>
                <w:rPr>
                  <w:rFonts w:ascii="Cambria Math" w:eastAsiaTheme="minorEastAsia" w:hAnsi="Cambria Math" w:cstheme="minorHAnsi"/>
                  <w:sz w:val="21"/>
                  <w:szCs w:val="21"/>
                </w:rPr>
                <m:t xml:space="preserve"> </m:t>
              </m:r>
              <m:sSub>
                <m:sSubPr>
                  <m:ctrlPr>
                    <w:rPr>
                      <w:rFonts w:ascii="Cambria Math" w:hAnsi="Cambria Math" w:cstheme="minorHAnsi"/>
                      <w:i/>
                      <w:sz w:val="21"/>
                      <w:szCs w:val="21"/>
                    </w:rPr>
                  </m:ctrlPr>
                </m:sSubPr>
                <m:e>
                  <m:r>
                    <w:rPr>
                      <w:rFonts w:ascii="Cambria Math" w:hAnsi="Cambria Math" w:cstheme="minorHAnsi"/>
                      <w:sz w:val="21"/>
                      <w:szCs w:val="21"/>
                    </w:rPr>
                    <m:t>P</m:t>
                  </m:r>
                </m:e>
                <m:sub>
                  <m:r>
                    <w:rPr>
                      <w:rFonts w:ascii="Cambria Math" w:hAnsi="Cambria Math" w:cstheme="minorHAnsi"/>
                      <w:sz w:val="21"/>
                      <w:szCs w:val="21"/>
                    </w:rPr>
                    <m:t>2</m:t>
                  </m:r>
                </m:sub>
              </m:sSub>
              <m:r>
                <w:rPr>
                  <w:rFonts w:ascii="Cambria Math" w:hAnsi="Cambria Math" w:cstheme="minorHAnsi"/>
                  <w:sz w:val="21"/>
                  <w:szCs w:val="21"/>
                </w:rPr>
                <m:t>)</m:t>
              </m:r>
            </m:oMath>
            <w:r>
              <w:rPr>
                <w:rFonts w:eastAsiaTheme="minorEastAsia" w:cstheme="minorHAnsi"/>
                <w:sz w:val="21"/>
                <w:szCs w:val="21"/>
              </w:rPr>
              <w:t>:</w:t>
            </w:r>
            <w:r w:rsidRPr="00D31706">
              <w:rPr>
                <w:rFonts w:eastAsiaTheme="minorEastAsia" w:cstheme="minorHAnsi"/>
                <w:sz w:val="21"/>
                <w:szCs w:val="21"/>
              </w:rPr>
              <w:t xml:space="preserve"> Probability:</w:t>
            </w:r>
            <w:r>
              <w:rPr>
                <w:rFonts w:eastAsiaTheme="minorEastAsia" w:cstheme="minorHAnsi"/>
                <w:sz w:val="21"/>
                <w:szCs w:val="21"/>
              </w:rPr>
              <w:t xml:space="preserve">  </w:t>
            </w:r>
            <m:oMath>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 xml:space="preserve">&lt; </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-0</m:t>
                      </m:r>
                    </m:sup>
                  </m:sSup>
                </m:e>
              </m:d>
              <m:r>
                <w:rPr>
                  <w:rFonts w:ascii="Cambria Math" w:eastAsiaTheme="minorEastAsia" w:hAnsi="Cambria Math" w:cstheme="minorHAnsi"/>
                  <w:sz w:val="21"/>
                  <w:szCs w:val="21"/>
                </w:rPr>
                <m:t>→</m:t>
              </m:r>
              <m:d>
                <m:dPr>
                  <m:ctrlPr>
                    <w:rPr>
                      <w:rFonts w:ascii="Cambria Math" w:eastAsiaTheme="minorEastAsia" w:hAnsi="Cambria Math" w:cstheme="minorHAnsi"/>
                      <w:i/>
                      <w:sz w:val="21"/>
                      <w:szCs w:val="21"/>
                    </w:rPr>
                  </m:ctrlPr>
                </m:dPr>
                <m:e>
                  <m:r>
                    <w:rPr>
                      <w:rFonts w:ascii="Cambria Math" w:eastAsiaTheme="minorEastAsia" w:hAnsi="Cambria Math" w:cstheme="minorHAnsi"/>
                      <w:sz w:val="21"/>
                      <w:szCs w:val="21"/>
                    </w:rPr>
                    <m:t>&lt;</m:t>
                  </m:r>
                  <m:sSup>
                    <m:sSupPr>
                      <m:ctrlPr>
                        <w:rPr>
                          <w:rFonts w:ascii="Cambria Math" w:eastAsiaTheme="minorEastAsia" w:hAnsi="Cambria Math" w:cstheme="minorHAnsi"/>
                          <w:i/>
                          <w:sz w:val="21"/>
                          <w:szCs w:val="21"/>
                        </w:rPr>
                      </m:ctrlPr>
                    </m:sSupPr>
                    <m:e>
                      <m:r>
                        <w:rPr>
                          <w:rFonts w:ascii="Cambria Math" w:eastAsiaTheme="minorEastAsia" w:hAnsi="Cambria Math" w:cstheme="minorHAnsi"/>
                          <w:sz w:val="21"/>
                          <w:szCs w:val="21"/>
                        </w:rPr>
                        <m:t>10</m:t>
                      </m:r>
                    </m:e>
                    <m:sup>
                      <m:r>
                        <w:rPr>
                          <w:rFonts w:ascii="Cambria Math" w:eastAsiaTheme="minorEastAsia" w:hAnsi="Cambria Math" w:cstheme="minorHAnsi"/>
                          <w:sz w:val="21"/>
                          <w:szCs w:val="21"/>
                        </w:rPr>
                        <m:t>-5</m:t>
                      </m:r>
                    </m:sup>
                  </m:sSup>
                </m:e>
              </m:d>
              <m:r>
                <w:rPr>
                  <w:rFonts w:ascii="Cambria Math" w:eastAsiaTheme="minorEastAsia" w:hAnsi="Cambria Math" w:cstheme="minorHAnsi"/>
                  <w:sz w:val="21"/>
                  <w:szCs w:val="21"/>
                </w:rPr>
                <m:t>→P=Renote</m:t>
              </m:r>
            </m:oMath>
          </w:p>
        </w:tc>
        <w:tc>
          <w:tcPr>
            <w:tcW w:w="1138" w:type="dxa"/>
            <w:vAlign w:val="center"/>
          </w:tcPr>
          <w:p w14:paraId="11EBBDA9" w14:textId="7C37BAAB" w:rsidR="00F2479D" w:rsidRDefault="00F2479D" w:rsidP="00F2479D">
            <w:pPr>
              <w:pStyle w:val="ListParagraph"/>
              <w:ind w:left="0"/>
            </w:pPr>
            <w:r>
              <w:rPr>
                <w:rFonts w:cstheme="minorHAnsi"/>
              </w:rPr>
              <w:t>Remote</w:t>
            </w:r>
          </w:p>
        </w:tc>
        <w:tc>
          <w:tcPr>
            <w:tcW w:w="1138" w:type="dxa"/>
            <w:vAlign w:val="center"/>
          </w:tcPr>
          <w:p w14:paraId="1BD7C933" w14:textId="01012ECE" w:rsidR="00F2479D" w:rsidRDefault="00F2479D" w:rsidP="00F2479D">
            <w:pPr>
              <w:pStyle w:val="ListParagraph"/>
              <w:ind w:left="0"/>
            </w:pPr>
            <w:r>
              <w:rPr>
                <w:rFonts w:cstheme="minorHAnsi"/>
              </w:rPr>
              <w:t>Expected</w:t>
            </w:r>
          </w:p>
        </w:tc>
        <w:tc>
          <w:tcPr>
            <w:tcW w:w="1138" w:type="dxa"/>
            <w:vAlign w:val="center"/>
          </w:tcPr>
          <w:p w14:paraId="404E63F9" w14:textId="256D51E8" w:rsidR="00F2479D" w:rsidRDefault="00F2479D" w:rsidP="00F2479D">
            <w:pPr>
              <w:pStyle w:val="ListParagraph"/>
              <w:ind w:left="0"/>
            </w:pPr>
            <w:r>
              <w:rPr>
                <w:rFonts w:cstheme="minorHAnsi"/>
              </w:rPr>
              <w:t>Remote</w:t>
            </w:r>
          </w:p>
        </w:tc>
        <w:tc>
          <w:tcPr>
            <w:tcW w:w="1498" w:type="dxa"/>
            <w:vAlign w:val="center"/>
          </w:tcPr>
          <w:p w14:paraId="1A5E1503" w14:textId="6DEBE62E" w:rsidR="00F2479D" w:rsidRDefault="00F2479D" w:rsidP="00F2479D">
            <w:pPr>
              <w:pStyle w:val="ListParagraph"/>
              <w:ind w:left="0"/>
            </w:pPr>
            <w:r>
              <w:rPr>
                <w:rFonts w:cstheme="minorHAnsi"/>
              </w:rPr>
              <w:t>Critical</w:t>
            </w:r>
          </w:p>
        </w:tc>
      </w:tr>
      <w:tr w:rsidR="00F2479D" w14:paraId="1B417E40" w14:textId="77777777" w:rsidTr="008A7D4D">
        <w:trPr>
          <w:cantSplit/>
        </w:trPr>
        <w:tc>
          <w:tcPr>
            <w:tcW w:w="1426" w:type="dxa"/>
            <w:vAlign w:val="center"/>
          </w:tcPr>
          <w:p w14:paraId="36E9F77A" w14:textId="0DEA6132" w:rsidR="00F2479D" w:rsidRDefault="00F2479D" w:rsidP="00F2479D">
            <w:pPr>
              <w:pStyle w:val="ListParagraph"/>
              <w:ind w:left="0"/>
            </w:pPr>
            <w:r>
              <w:rPr>
                <w:rFonts w:cstheme="minorHAnsi"/>
              </w:rPr>
              <w:t>Hepatitis B</w:t>
            </w:r>
          </w:p>
        </w:tc>
        <w:tc>
          <w:tcPr>
            <w:tcW w:w="5328" w:type="dxa"/>
            <w:vAlign w:val="center"/>
          </w:tcPr>
          <w:p w14:paraId="739F7B60" w14:textId="77777777" w:rsidR="00F2479D" w:rsidRPr="00D30693" w:rsidRDefault="00F2479D" w:rsidP="00F2479D">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Hepatitis B virus</w:t>
            </w:r>
            <w:r>
              <w:rPr>
                <w:rFonts w:cstheme="minorHAnsi"/>
                <w:sz w:val="21"/>
                <w:szCs w:val="21"/>
              </w:rPr>
              <w:t>:</w:t>
            </w:r>
            <w:r w:rsidRPr="00D30693">
              <w:rPr>
                <w:rFonts w:cstheme="minorHAnsi"/>
                <w:sz w:val="21"/>
                <w:szCs w:val="21"/>
              </w:rPr>
              <w:t xml:space="preserve"> 1:1 million to 1:1.5 million</w:t>
            </w:r>
            <w:r>
              <w:rPr>
                <w:rFonts w:cstheme="minorHAnsi"/>
                <w:sz w:val="21"/>
                <w:szCs w:val="21"/>
              </w:rPr>
              <w:t xml:space="preserve"> incidences of Hepatitis B being acquired from a blood transfusion.</w:t>
            </w:r>
          </w:p>
          <w:p w14:paraId="48C7E0D5" w14:textId="484D0544" w:rsidR="00F2479D" w:rsidRDefault="00F2479D" w:rsidP="00F2479D">
            <w:pPr>
              <w:pStyle w:val="ListParagraph"/>
              <w:ind w:left="0"/>
            </w:pPr>
            <w:r w:rsidRPr="00D30693">
              <w:rPr>
                <w:rFonts w:cstheme="minorHAnsi"/>
                <w:sz w:val="21"/>
                <w:szCs w:val="21"/>
              </w:rPr>
              <w:t>https://www.uptodate.com/contents/image?imageKey=HEME%2F69661</w:t>
            </w:r>
          </w:p>
        </w:tc>
        <w:tc>
          <w:tcPr>
            <w:tcW w:w="1138" w:type="dxa"/>
            <w:vAlign w:val="center"/>
          </w:tcPr>
          <w:p w14:paraId="3709193B" w14:textId="4DCFD10D" w:rsidR="00F2479D" w:rsidRDefault="00F2479D" w:rsidP="00F2479D">
            <w:pPr>
              <w:pStyle w:val="ListParagraph"/>
              <w:ind w:left="0"/>
            </w:pPr>
            <w:r>
              <w:rPr>
                <w:rFonts w:cstheme="minorHAnsi"/>
              </w:rPr>
              <w:t>N/A</w:t>
            </w:r>
          </w:p>
        </w:tc>
        <w:tc>
          <w:tcPr>
            <w:tcW w:w="1138" w:type="dxa"/>
            <w:vAlign w:val="center"/>
          </w:tcPr>
          <w:p w14:paraId="7319BBB4" w14:textId="3893C746" w:rsidR="00F2479D" w:rsidRDefault="00F2479D" w:rsidP="00F2479D">
            <w:pPr>
              <w:pStyle w:val="ListParagraph"/>
              <w:ind w:left="0"/>
            </w:pPr>
            <w:r>
              <w:rPr>
                <w:rFonts w:cstheme="minorHAnsi"/>
              </w:rPr>
              <w:t>N/A</w:t>
            </w:r>
          </w:p>
        </w:tc>
        <w:tc>
          <w:tcPr>
            <w:tcW w:w="1138" w:type="dxa"/>
            <w:vAlign w:val="center"/>
          </w:tcPr>
          <w:p w14:paraId="3D42EF56" w14:textId="1850A352" w:rsidR="00F2479D" w:rsidRDefault="00F2479D" w:rsidP="00F2479D">
            <w:pPr>
              <w:pStyle w:val="ListParagraph"/>
              <w:ind w:left="0"/>
            </w:pPr>
            <w:r>
              <w:rPr>
                <w:rFonts w:cstheme="minorHAnsi"/>
              </w:rPr>
              <w:t>Improbable</w:t>
            </w:r>
          </w:p>
        </w:tc>
        <w:tc>
          <w:tcPr>
            <w:tcW w:w="1498" w:type="dxa"/>
            <w:vAlign w:val="center"/>
          </w:tcPr>
          <w:p w14:paraId="4BE49553" w14:textId="689640ED" w:rsidR="00F2479D" w:rsidRDefault="00F2479D" w:rsidP="00F2479D">
            <w:pPr>
              <w:pStyle w:val="ListParagraph"/>
              <w:ind w:left="0"/>
            </w:pPr>
            <w:r>
              <w:rPr>
                <w:rFonts w:cstheme="minorHAnsi"/>
              </w:rPr>
              <w:t>Critical</w:t>
            </w:r>
          </w:p>
        </w:tc>
      </w:tr>
      <w:tr w:rsidR="00F2479D" w14:paraId="4E0EEF7B" w14:textId="77777777" w:rsidTr="008A7D4D">
        <w:trPr>
          <w:cantSplit/>
        </w:trPr>
        <w:tc>
          <w:tcPr>
            <w:tcW w:w="1426" w:type="dxa"/>
            <w:vAlign w:val="center"/>
          </w:tcPr>
          <w:p w14:paraId="3A9522B6" w14:textId="6745B084" w:rsidR="00F2479D" w:rsidRDefault="00F2479D" w:rsidP="00F2479D">
            <w:pPr>
              <w:pStyle w:val="ListParagraph"/>
              <w:ind w:left="0"/>
            </w:pPr>
            <w:r>
              <w:rPr>
                <w:rFonts w:cstheme="minorHAnsi"/>
              </w:rPr>
              <w:t>Hepatitis C</w:t>
            </w:r>
          </w:p>
        </w:tc>
        <w:tc>
          <w:tcPr>
            <w:tcW w:w="5328" w:type="dxa"/>
            <w:vAlign w:val="center"/>
          </w:tcPr>
          <w:p w14:paraId="7791B1C9" w14:textId="77777777" w:rsidR="00F2479D" w:rsidRPr="00D30693" w:rsidRDefault="00F2479D" w:rsidP="00F2479D">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Hepatitis C virus</w:t>
            </w:r>
            <w:r>
              <w:rPr>
                <w:rFonts w:cstheme="minorHAnsi"/>
                <w:sz w:val="21"/>
                <w:szCs w:val="21"/>
              </w:rPr>
              <w:t>:</w:t>
            </w:r>
            <w:r w:rsidRPr="00D30693">
              <w:rPr>
                <w:rFonts w:cstheme="minorHAnsi"/>
                <w:sz w:val="21"/>
                <w:szCs w:val="21"/>
              </w:rPr>
              <w:t xml:space="preserve"> 1:2 million to 1:2.6 million</w:t>
            </w:r>
            <w:r>
              <w:rPr>
                <w:rFonts w:cstheme="minorHAnsi"/>
                <w:sz w:val="21"/>
                <w:szCs w:val="21"/>
              </w:rPr>
              <w:t xml:space="preserve"> incidences of Hepatitis C being acquired from a blood transfusion.</w:t>
            </w:r>
          </w:p>
          <w:p w14:paraId="06616235" w14:textId="2B5E5333" w:rsidR="00F2479D" w:rsidRDefault="00F2479D" w:rsidP="00F2479D">
            <w:pPr>
              <w:pStyle w:val="ListParagraph"/>
              <w:ind w:left="0"/>
            </w:pPr>
            <w:r w:rsidRPr="00D30693">
              <w:rPr>
                <w:rFonts w:cstheme="minorHAnsi"/>
                <w:sz w:val="21"/>
                <w:szCs w:val="21"/>
              </w:rPr>
              <w:t>https://www.uptodate.com/contents/image?imageKey=HEME%2F69661</w:t>
            </w:r>
          </w:p>
        </w:tc>
        <w:tc>
          <w:tcPr>
            <w:tcW w:w="1138" w:type="dxa"/>
            <w:vAlign w:val="center"/>
          </w:tcPr>
          <w:p w14:paraId="610146AC" w14:textId="5CAA83A6" w:rsidR="00F2479D" w:rsidRDefault="00F2479D" w:rsidP="00F2479D">
            <w:pPr>
              <w:pStyle w:val="ListParagraph"/>
              <w:ind w:left="0"/>
            </w:pPr>
            <w:r>
              <w:rPr>
                <w:rFonts w:cstheme="minorHAnsi"/>
              </w:rPr>
              <w:t>N/A</w:t>
            </w:r>
          </w:p>
        </w:tc>
        <w:tc>
          <w:tcPr>
            <w:tcW w:w="1138" w:type="dxa"/>
            <w:vAlign w:val="center"/>
          </w:tcPr>
          <w:p w14:paraId="09010FE7" w14:textId="14895305" w:rsidR="00F2479D" w:rsidRDefault="00F2479D" w:rsidP="00F2479D">
            <w:pPr>
              <w:pStyle w:val="ListParagraph"/>
              <w:ind w:left="0"/>
            </w:pPr>
            <w:r>
              <w:rPr>
                <w:rFonts w:cstheme="minorHAnsi"/>
              </w:rPr>
              <w:t>N/A</w:t>
            </w:r>
          </w:p>
        </w:tc>
        <w:tc>
          <w:tcPr>
            <w:tcW w:w="1138" w:type="dxa"/>
            <w:vAlign w:val="center"/>
          </w:tcPr>
          <w:p w14:paraId="08CBB51D" w14:textId="7342A6E1" w:rsidR="00F2479D" w:rsidRDefault="00F2479D" w:rsidP="00F2479D">
            <w:pPr>
              <w:pStyle w:val="ListParagraph"/>
              <w:ind w:left="0"/>
            </w:pPr>
            <w:r>
              <w:rPr>
                <w:rFonts w:cstheme="minorHAnsi"/>
              </w:rPr>
              <w:t>Improbable</w:t>
            </w:r>
          </w:p>
        </w:tc>
        <w:tc>
          <w:tcPr>
            <w:tcW w:w="1498" w:type="dxa"/>
            <w:vAlign w:val="center"/>
          </w:tcPr>
          <w:p w14:paraId="09EFC2C0" w14:textId="5F08EB31" w:rsidR="00F2479D" w:rsidRDefault="00F2479D" w:rsidP="00F2479D">
            <w:pPr>
              <w:pStyle w:val="ListParagraph"/>
              <w:ind w:left="0"/>
            </w:pPr>
            <w:r>
              <w:rPr>
                <w:rFonts w:cstheme="minorHAnsi"/>
              </w:rPr>
              <w:t>Critical</w:t>
            </w:r>
          </w:p>
        </w:tc>
      </w:tr>
      <w:tr w:rsidR="00F2479D" w14:paraId="1C294103" w14:textId="77777777" w:rsidTr="008A7D4D">
        <w:trPr>
          <w:cantSplit/>
        </w:trPr>
        <w:tc>
          <w:tcPr>
            <w:tcW w:w="1426" w:type="dxa"/>
            <w:vAlign w:val="center"/>
          </w:tcPr>
          <w:p w14:paraId="2E061036" w14:textId="545C37A4" w:rsidR="00F2479D" w:rsidRDefault="00F2479D" w:rsidP="00F2479D">
            <w:pPr>
              <w:pStyle w:val="ListParagraph"/>
              <w:ind w:left="0"/>
            </w:pPr>
            <w:r>
              <w:rPr>
                <w:rFonts w:cstheme="minorHAnsi"/>
              </w:rPr>
              <w:lastRenderedPageBreak/>
              <w:t>HIV</w:t>
            </w:r>
          </w:p>
        </w:tc>
        <w:tc>
          <w:tcPr>
            <w:tcW w:w="5328" w:type="dxa"/>
            <w:vAlign w:val="center"/>
          </w:tcPr>
          <w:p w14:paraId="70CF61BF" w14:textId="77777777" w:rsidR="00F2479D" w:rsidRPr="00D30693" w:rsidRDefault="00F2479D" w:rsidP="00F2479D">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 xml:space="preserve">The odds of acquiring HIV from a blood transfusion is less than 1 in two million. </w:t>
            </w:r>
          </w:p>
          <w:p w14:paraId="39A8A8E1" w14:textId="5EE5CE0D" w:rsidR="00F2479D" w:rsidRDefault="00F2479D" w:rsidP="00F2479D">
            <w:pPr>
              <w:pStyle w:val="ListParagraph"/>
              <w:ind w:left="0"/>
            </w:pPr>
            <w:r w:rsidRPr="00D30693">
              <w:rPr>
                <w:rFonts w:cstheme="minorHAnsi"/>
                <w:sz w:val="21"/>
                <w:szCs w:val="21"/>
              </w:rPr>
              <w:t>https://hhma.org/healthadvisor/aha-hivtrans-crs/#:~:text=What%20are%20the%20chances%20of,1%20in%20nearly%202%20million.</w:t>
            </w:r>
          </w:p>
        </w:tc>
        <w:tc>
          <w:tcPr>
            <w:tcW w:w="1138" w:type="dxa"/>
            <w:vAlign w:val="center"/>
          </w:tcPr>
          <w:p w14:paraId="1663A199" w14:textId="311EB7B1" w:rsidR="00F2479D" w:rsidRDefault="00F2479D" w:rsidP="00F2479D">
            <w:pPr>
              <w:pStyle w:val="ListParagraph"/>
              <w:ind w:left="0"/>
            </w:pPr>
            <w:r>
              <w:rPr>
                <w:rFonts w:cstheme="minorHAnsi"/>
              </w:rPr>
              <w:t>N/A</w:t>
            </w:r>
          </w:p>
        </w:tc>
        <w:tc>
          <w:tcPr>
            <w:tcW w:w="1138" w:type="dxa"/>
            <w:vAlign w:val="center"/>
          </w:tcPr>
          <w:p w14:paraId="073B269A" w14:textId="0279DB85" w:rsidR="00F2479D" w:rsidRDefault="00F2479D" w:rsidP="00F2479D">
            <w:pPr>
              <w:pStyle w:val="ListParagraph"/>
              <w:ind w:left="0"/>
            </w:pPr>
            <w:r>
              <w:rPr>
                <w:rFonts w:cstheme="minorHAnsi"/>
              </w:rPr>
              <w:t>N/A</w:t>
            </w:r>
          </w:p>
        </w:tc>
        <w:tc>
          <w:tcPr>
            <w:tcW w:w="1138" w:type="dxa"/>
            <w:vAlign w:val="center"/>
          </w:tcPr>
          <w:p w14:paraId="0344A862" w14:textId="17E7251B" w:rsidR="00F2479D" w:rsidRDefault="00F2479D" w:rsidP="00F2479D">
            <w:pPr>
              <w:pStyle w:val="ListParagraph"/>
              <w:ind w:left="0"/>
            </w:pPr>
            <w:r>
              <w:rPr>
                <w:rFonts w:cstheme="minorHAnsi"/>
              </w:rPr>
              <w:t>Improbable</w:t>
            </w:r>
          </w:p>
        </w:tc>
        <w:tc>
          <w:tcPr>
            <w:tcW w:w="1498" w:type="dxa"/>
            <w:vAlign w:val="center"/>
          </w:tcPr>
          <w:p w14:paraId="7BFC612F" w14:textId="19874199" w:rsidR="00F2479D" w:rsidRDefault="00F2479D" w:rsidP="00F2479D">
            <w:pPr>
              <w:pStyle w:val="ListParagraph"/>
              <w:ind w:left="0"/>
            </w:pPr>
            <w:r>
              <w:rPr>
                <w:rFonts w:cstheme="minorHAnsi"/>
              </w:rPr>
              <w:t>Critical</w:t>
            </w:r>
          </w:p>
        </w:tc>
      </w:tr>
      <w:tr w:rsidR="00D923C4" w14:paraId="2CD88C75" w14:textId="77777777" w:rsidTr="008A7D4D">
        <w:trPr>
          <w:cantSplit/>
        </w:trPr>
        <w:tc>
          <w:tcPr>
            <w:tcW w:w="1426" w:type="dxa"/>
            <w:vMerge w:val="restart"/>
            <w:vAlign w:val="center"/>
          </w:tcPr>
          <w:p w14:paraId="1174D31E" w14:textId="74EC4B51" w:rsidR="00D923C4" w:rsidRDefault="00D923C4" w:rsidP="00F2479D">
            <w:pPr>
              <w:pStyle w:val="ListParagraph"/>
              <w:ind w:left="0"/>
            </w:pPr>
            <w:r>
              <w:rPr>
                <w:rFonts w:cstheme="minorHAnsi"/>
              </w:rPr>
              <w:t>Mislabeled blood bag</w:t>
            </w:r>
          </w:p>
        </w:tc>
        <w:tc>
          <w:tcPr>
            <w:tcW w:w="5328" w:type="dxa"/>
            <w:vMerge w:val="restart"/>
            <w:vAlign w:val="center"/>
          </w:tcPr>
          <w:p w14:paraId="2812603B" w14:textId="77777777" w:rsidR="00D923C4" w:rsidRPr="00D30693" w:rsidRDefault="00D923C4" w:rsidP="00F2479D">
            <w:pPr>
              <w:rPr>
                <w:rFonts w:cstheme="minorHAnsi"/>
                <w:sz w:val="21"/>
                <w:szCs w:val="21"/>
              </w:rPr>
            </w:pPr>
            <w:r w:rsidRPr="00D31706">
              <w:rPr>
                <w:rFonts w:cstheme="minorHAnsi"/>
                <w:sz w:val="21"/>
                <w:szCs w:val="21"/>
              </w:rPr>
              <w:t>For</w:t>
            </w:r>
            <w:r w:rsidRPr="00D31706">
              <w:rPr>
                <w:rFonts w:eastAsiaTheme="minorEastAsia" w:cstheme="minorHAnsi"/>
                <w:sz w:val="21"/>
                <w:szCs w:val="21"/>
              </w:rPr>
              <w:t xml:space="preserve"> </w:t>
            </w:r>
            <m:oMath>
              <m:r>
                <w:rPr>
                  <w:rFonts w:ascii="Cambria Math" w:eastAsiaTheme="minorEastAsia" w:hAnsi="Cambria Math" w:cstheme="minorHAnsi"/>
                  <w:sz w:val="21"/>
                  <w:szCs w:val="21"/>
                </w:rPr>
                <m:t>P</m:t>
              </m:r>
            </m:oMath>
            <w:r>
              <w:rPr>
                <w:rFonts w:eastAsiaTheme="minorEastAsia" w:cstheme="minorHAnsi"/>
                <w:sz w:val="21"/>
                <w:szCs w:val="21"/>
              </w:rPr>
              <w:t xml:space="preserve">:  </w:t>
            </w:r>
            <w:r w:rsidRPr="00D30693">
              <w:rPr>
                <w:rFonts w:cstheme="minorHAnsi"/>
                <w:sz w:val="21"/>
                <w:szCs w:val="21"/>
              </w:rPr>
              <w:t xml:space="preserve">actual harmful events due to errors occurred in 0.26% of the patients. </w:t>
            </w:r>
          </w:p>
          <w:p w14:paraId="49D3EA88" w14:textId="6402905F" w:rsidR="00D923C4" w:rsidRDefault="00D923C4" w:rsidP="00F2479D">
            <w:pPr>
              <w:pStyle w:val="ListParagraph"/>
              <w:ind w:left="0"/>
            </w:pPr>
            <w:r w:rsidRPr="00D30693">
              <w:rPr>
                <w:rFonts w:cstheme="minorHAnsi"/>
                <w:sz w:val="21"/>
                <w:szCs w:val="21"/>
              </w:rPr>
              <w:t>https://www.ncbi.nlm.nih.gov/pmc/articles/PMC4782493/</w:t>
            </w:r>
          </w:p>
        </w:tc>
        <w:tc>
          <w:tcPr>
            <w:tcW w:w="1138" w:type="dxa"/>
            <w:vMerge w:val="restart"/>
            <w:vAlign w:val="center"/>
          </w:tcPr>
          <w:p w14:paraId="61D94BEE" w14:textId="51697DA7" w:rsidR="00D923C4" w:rsidRDefault="00D923C4" w:rsidP="00F2479D">
            <w:pPr>
              <w:pStyle w:val="ListParagraph"/>
              <w:ind w:left="0"/>
            </w:pPr>
            <w:r>
              <w:rPr>
                <w:rFonts w:cstheme="minorHAnsi"/>
              </w:rPr>
              <w:t>N/A</w:t>
            </w:r>
          </w:p>
        </w:tc>
        <w:tc>
          <w:tcPr>
            <w:tcW w:w="1138" w:type="dxa"/>
            <w:vMerge w:val="restart"/>
            <w:vAlign w:val="center"/>
          </w:tcPr>
          <w:p w14:paraId="6842D235" w14:textId="57065425" w:rsidR="00D923C4" w:rsidRDefault="00D923C4" w:rsidP="00F2479D">
            <w:pPr>
              <w:pStyle w:val="ListParagraph"/>
              <w:ind w:left="0"/>
            </w:pPr>
            <w:r>
              <w:rPr>
                <w:rFonts w:cstheme="minorHAnsi"/>
              </w:rPr>
              <w:t>N/A</w:t>
            </w:r>
          </w:p>
        </w:tc>
        <w:tc>
          <w:tcPr>
            <w:tcW w:w="1138" w:type="dxa"/>
            <w:vAlign w:val="center"/>
          </w:tcPr>
          <w:p w14:paraId="668738E8" w14:textId="28D6FF89" w:rsidR="00D923C4" w:rsidRDefault="00D923C4" w:rsidP="00F2479D">
            <w:pPr>
              <w:pStyle w:val="ListParagraph"/>
              <w:ind w:left="0"/>
            </w:pPr>
            <w:r>
              <w:rPr>
                <w:rFonts w:cstheme="minorHAnsi"/>
              </w:rPr>
              <w:t>Often</w:t>
            </w:r>
          </w:p>
        </w:tc>
        <w:tc>
          <w:tcPr>
            <w:tcW w:w="1498" w:type="dxa"/>
            <w:vAlign w:val="center"/>
          </w:tcPr>
          <w:p w14:paraId="6C9F0D92" w14:textId="5B15FA6B" w:rsidR="00D923C4" w:rsidRDefault="00D923C4" w:rsidP="00F2479D">
            <w:pPr>
              <w:pStyle w:val="ListParagraph"/>
              <w:ind w:left="0"/>
            </w:pPr>
            <w:r>
              <w:rPr>
                <w:rFonts w:cstheme="minorHAnsi"/>
              </w:rPr>
              <w:t>Negligible</w:t>
            </w:r>
          </w:p>
        </w:tc>
      </w:tr>
      <w:tr w:rsidR="00D923C4" w14:paraId="282B01A4" w14:textId="77777777" w:rsidTr="008A7D4D">
        <w:trPr>
          <w:cantSplit/>
        </w:trPr>
        <w:tc>
          <w:tcPr>
            <w:tcW w:w="1426" w:type="dxa"/>
            <w:vMerge/>
            <w:vAlign w:val="center"/>
          </w:tcPr>
          <w:p w14:paraId="48F93501" w14:textId="77777777" w:rsidR="00D923C4" w:rsidRDefault="00D923C4" w:rsidP="00F2479D">
            <w:pPr>
              <w:pStyle w:val="ListParagraph"/>
              <w:ind w:left="0"/>
            </w:pPr>
          </w:p>
        </w:tc>
        <w:tc>
          <w:tcPr>
            <w:tcW w:w="5328" w:type="dxa"/>
            <w:vMerge/>
            <w:vAlign w:val="center"/>
          </w:tcPr>
          <w:p w14:paraId="1B7351B0" w14:textId="77777777" w:rsidR="00D923C4" w:rsidRDefault="00D923C4" w:rsidP="00F2479D">
            <w:pPr>
              <w:pStyle w:val="ListParagraph"/>
              <w:ind w:left="0"/>
            </w:pPr>
          </w:p>
        </w:tc>
        <w:tc>
          <w:tcPr>
            <w:tcW w:w="1138" w:type="dxa"/>
            <w:vMerge/>
            <w:vAlign w:val="center"/>
          </w:tcPr>
          <w:p w14:paraId="32119D1D" w14:textId="77777777" w:rsidR="00D923C4" w:rsidRDefault="00D923C4" w:rsidP="00F2479D">
            <w:pPr>
              <w:pStyle w:val="ListParagraph"/>
              <w:ind w:left="0"/>
            </w:pPr>
          </w:p>
        </w:tc>
        <w:tc>
          <w:tcPr>
            <w:tcW w:w="1138" w:type="dxa"/>
            <w:vMerge/>
            <w:vAlign w:val="center"/>
          </w:tcPr>
          <w:p w14:paraId="68C522A5" w14:textId="77777777" w:rsidR="00D923C4" w:rsidRDefault="00D923C4" w:rsidP="00F2479D">
            <w:pPr>
              <w:pStyle w:val="ListParagraph"/>
              <w:ind w:left="0"/>
            </w:pPr>
          </w:p>
        </w:tc>
        <w:tc>
          <w:tcPr>
            <w:tcW w:w="1138" w:type="dxa"/>
            <w:vAlign w:val="center"/>
          </w:tcPr>
          <w:p w14:paraId="6DCF0E39" w14:textId="7534B7EE" w:rsidR="00D923C4" w:rsidRDefault="00D923C4" w:rsidP="00F2479D">
            <w:pPr>
              <w:pStyle w:val="ListParagraph"/>
              <w:ind w:left="0"/>
            </w:pPr>
            <w:r>
              <w:rPr>
                <w:rFonts w:cstheme="minorHAnsi"/>
              </w:rPr>
              <w:t>Frequent</w:t>
            </w:r>
          </w:p>
        </w:tc>
        <w:tc>
          <w:tcPr>
            <w:tcW w:w="1498" w:type="dxa"/>
            <w:vAlign w:val="center"/>
          </w:tcPr>
          <w:p w14:paraId="3B618B55" w14:textId="0281163B" w:rsidR="00D923C4" w:rsidRDefault="00D923C4" w:rsidP="00F2479D">
            <w:pPr>
              <w:pStyle w:val="ListParagraph"/>
              <w:ind w:left="0"/>
            </w:pPr>
            <w:r>
              <w:rPr>
                <w:rFonts w:cstheme="minorHAnsi"/>
              </w:rPr>
              <w:t>Serious / Major</w:t>
            </w:r>
          </w:p>
        </w:tc>
      </w:tr>
      <w:tr w:rsidR="00D923C4" w14:paraId="30C3B61C" w14:textId="77777777" w:rsidTr="008A7D4D">
        <w:trPr>
          <w:cantSplit/>
        </w:trPr>
        <w:tc>
          <w:tcPr>
            <w:tcW w:w="1426" w:type="dxa"/>
            <w:vMerge/>
            <w:vAlign w:val="center"/>
          </w:tcPr>
          <w:p w14:paraId="14EAA82E" w14:textId="77777777" w:rsidR="00D923C4" w:rsidRDefault="00D923C4" w:rsidP="00F2479D">
            <w:pPr>
              <w:pStyle w:val="ListParagraph"/>
              <w:ind w:left="0"/>
            </w:pPr>
          </w:p>
        </w:tc>
        <w:tc>
          <w:tcPr>
            <w:tcW w:w="5328" w:type="dxa"/>
            <w:vMerge/>
            <w:vAlign w:val="center"/>
          </w:tcPr>
          <w:p w14:paraId="094297A6" w14:textId="77777777" w:rsidR="00D923C4" w:rsidRDefault="00D923C4" w:rsidP="00F2479D">
            <w:pPr>
              <w:pStyle w:val="ListParagraph"/>
              <w:ind w:left="0"/>
            </w:pPr>
          </w:p>
        </w:tc>
        <w:tc>
          <w:tcPr>
            <w:tcW w:w="1138" w:type="dxa"/>
            <w:vMerge/>
            <w:vAlign w:val="center"/>
          </w:tcPr>
          <w:p w14:paraId="5AC071DA" w14:textId="77777777" w:rsidR="00D923C4" w:rsidRDefault="00D923C4" w:rsidP="00F2479D">
            <w:pPr>
              <w:pStyle w:val="ListParagraph"/>
              <w:ind w:left="0"/>
            </w:pPr>
          </w:p>
        </w:tc>
        <w:tc>
          <w:tcPr>
            <w:tcW w:w="1138" w:type="dxa"/>
            <w:vMerge/>
            <w:vAlign w:val="center"/>
          </w:tcPr>
          <w:p w14:paraId="23DC9B07" w14:textId="77777777" w:rsidR="00D923C4" w:rsidRDefault="00D923C4" w:rsidP="00F2479D">
            <w:pPr>
              <w:pStyle w:val="ListParagraph"/>
              <w:ind w:left="0"/>
            </w:pPr>
          </w:p>
        </w:tc>
        <w:tc>
          <w:tcPr>
            <w:tcW w:w="1138" w:type="dxa"/>
            <w:vAlign w:val="center"/>
          </w:tcPr>
          <w:p w14:paraId="6134256C" w14:textId="07E517B7" w:rsidR="00D923C4" w:rsidRPr="00D923C4" w:rsidRDefault="00D923C4" w:rsidP="00D923C4">
            <w:pPr>
              <w:pStyle w:val="ListParagraph"/>
              <w:ind w:left="0"/>
              <w:contextualSpacing w:val="0"/>
              <w:jc w:val="center"/>
              <w:rPr>
                <w:rFonts w:cstheme="minorHAnsi"/>
              </w:rPr>
            </w:pPr>
            <w:r>
              <w:rPr>
                <w:rFonts w:cstheme="minorHAnsi"/>
              </w:rPr>
              <w:t>Probable</w:t>
            </w:r>
          </w:p>
        </w:tc>
        <w:tc>
          <w:tcPr>
            <w:tcW w:w="1498" w:type="dxa"/>
            <w:vAlign w:val="center"/>
          </w:tcPr>
          <w:p w14:paraId="288C7DD2" w14:textId="121BBF0C" w:rsidR="00D923C4" w:rsidRDefault="00D923C4" w:rsidP="00F2479D">
            <w:pPr>
              <w:pStyle w:val="ListParagraph"/>
              <w:ind w:left="0"/>
            </w:pPr>
            <w:r>
              <w:rPr>
                <w:rFonts w:cstheme="minorHAnsi"/>
              </w:rPr>
              <w:t>Catastrophic / Fatal</w:t>
            </w:r>
          </w:p>
        </w:tc>
      </w:tr>
    </w:tbl>
    <w:p w14:paraId="651A573F" w14:textId="77777777" w:rsidR="009319CE" w:rsidRDefault="009319CE" w:rsidP="009319CE">
      <w:pPr>
        <w:pStyle w:val="ListParagraph"/>
        <w:ind w:left="1152"/>
      </w:pPr>
    </w:p>
    <w:p w14:paraId="66A93CE5" w14:textId="77777777" w:rsidR="009319CE" w:rsidRPr="00D17666" w:rsidRDefault="009319CE" w:rsidP="009319CE">
      <w:pPr>
        <w:pStyle w:val="ListParagraph"/>
        <w:ind w:left="1152"/>
      </w:pPr>
    </w:p>
    <w:p w14:paraId="6AFB9D9C" w14:textId="77777777" w:rsidR="001639C0" w:rsidRPr="00C45E04" w:rsidRDefault="001639C0">
      <w:pPr>
        <w:pStyle w:val="ListParagraph"/>
        <w:numPr>
          <w:ilvl w:val="2"/>
          <w:numId w:val="13"/>
        </w:numPr>
        <w:rPr>
          <w:rFonts w:cstheme="minorHAnsi"/>
        </w:rPr>
      </w:pPr>
      <w:r>
        <w:rPr>
          <w:rFonts w:cstheme="minorHAnsi"/>
        </w:rPr>
        <w:t xml:space="preserve">Populate each cell in the following table for </w:t>
      </w:r>
      <m:oMath>
        <m:r>
          <w:rPr>
            <w:rFonts w:ascii="Cambria Math" w:hAnsi="Cambria Math" w:cstheme="minorHAnsi"/>
          </w:rPr>
          <m:t>R</m:t>
        </m:r>
      </m:oMath>
      <w:r>
        <w:rPr>
          <w:rFonts w:eastAsiaTheme="minorEastAsia" w:cstheme="minorHAnsi"/>
        </w:rPr>
        <w:t xml:space="preserve">, note the severity (from the top row) and the probability (from the left column), and enter the number of risks in the previous table with that cell’s combination of severity and probability: </w:t>
      </w:r>
    </w:p>
    <w:tbl>
      <w:tblPr>
        <w:tblStyle w:val="TableGrid"/>
        <w:tblW w:w="0" w:type="auto"/>
        <w:jc w:val="center"/>
        <w:tblLook w:val="04A0" w:firstRow="1" w:lastRow="0" w:firstColumn="1" w:lastColumn="0" w:noHBand="0" w:noVBand="1"/>
      </w:tblPr>
      <w:tblGrid>
        <w:gridCol w:w="874"/>
        <w:gridCol w:w="780"/>
        <w:gridCol w:w="565"/>
        <w:gridCol w:w="719"/>
        <w:gridCol w:w="607"/>
        <w:gridCol w:w="928"/>
      </w:tblGrid>
      <w:tr w:rsidR="001639C0" w:rsidRPr="00F60A9B" w14:paraId="78CD59BB" w14:textId="77777777" w:rsidTr="00024DD9">
        <w:trPr>
          <w:tblHeader/>
          <w:jc w:val="center"/>
        </w:trPr>
        <w:tc>
          <w:tcPr>
            <w:tcW w:w="0" w:type="auto"/>
            <w:tcBorders>
              <w:top w:val="nil"/>
              <w:left w:val="nil"/>
              <w:bottom w:val="single" w:sz="4" w:space="0" w:color="auto"/>
            </w:tcBorders>
            <w:vAlign w:val="center"/>
          </w:tcPr>
          <w:p w14:paraId="51DA65FA" w14:textId="77777777" w:rsidR="001639C0" w:rsidRPr="00F60A9B" w:rsidRDefault="001639C0" w:rsidP="00024DD9">
            <m:oMathPara>
              <m:oMath>
                <m:r>
                  <w:rPr>
                    <w:rFonts w:ascii="Cambria Math" w:hAnsi="Cambria Math"/>
                  </w:rPr>
                  <m:t>R</m:t>
                </m:r>
              </m:oMath>
            </m:oMathPara>
          </w:p>
        </w:tc>
        <w:tc>
          <w:tcPr>
            <w:tcW w:w="0" w:type="auto"/>
            <w:tcBorders>
              <w:top w:val="single" w:sz="4" w:space="0" w:color="auto"/>
              <w:bottom w:val="single" w:sz="12" w:space="0" w:color="auto"/>
            </w:tcBorders>
            <w:vAlign w:val="center"/>
          </w:tcPr>
          <w:p w14:paraId="42870ED9" w14:textId="77777777" w:rsidR="001639C0" w:rsidRPr="005B7BEE" w:rsidRDefault="001639C0" w:rsidP="00024DD9">
            <w:pPr>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52516B4E" w14:textId="77777777" w:rsidR="001639C0" w:rsidRPr="005B7BEE" w:rsidRDefault="001639C0" w:rsidP="00024DD9">
            <w:pPr>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188E6C53" w14:textId="77777777" w:rsidR="001639C0" w:rsidRPr="005B7BEE" w:rsidRDefault="001639C0" w:rsidP="00024DD9">
            <w:pPr>
              <w:jc w:val="center"/>
              <w:rPr>
                <w:sz w:val="14"/>
                <w:szCs w:val="14"/>
              </w:rPr>
            </w:pPr>
            <w:r w:rsidRPr="005B7BEE">
              <w:rPr>
                <w:sz w:val="14"/>
                <w:szCs w:val="14"/>
              </w:rPr>
              <w:t xml:space="preserve">Serious / </w:t>
            </w:r>
          </w:p>
          <w:p w14:paraId="2ADE6F97" w14:textId="77777777" w:rsidR="001639C0" w:rsidRPr="005B7BEE" w:rsidRDefault="001639C0" w:rsidP="00024DD9">
            <w:pPr>
              <w:jc w:val="center"/>
              <w:rPr>
                <w:sz w:val="14"/>
                <w:szCs w:val="14"/>
              </w:rPr>
            </w:pPr>
            <w:r w:rsidRPr="005B7BEE">
              <w:rPr>
                <w:sz w:val="14"/>
                <w:szCs w:val="14"/>
              </w:rPr>
              <w:t>Major</w:t>
            </w:r>
          </w:p>
        </w:tc>
        <w:tc>
          <w:tcPr>
            <w:tcW w:w="0" w:type="auto"/>
            <w:tcBorders>
              <w:top w:val="single" w:sz="4" w:space="0" w:color="auto"/>
              <w:bottom w:val="single" w:sz="12" w:space="0" w:color="auto"/>
            </w:tcBorders>
            <w:vAlign w:val="center"/>
          </w:tcPr>
          <w:p w14:paraId="326BB99D" w14:textId="77777777" w:rsidR="001639C0" w:rsidRPr="005B7BEE" w:rsidRDefault="001639C0" w:rsidP="00024DD9">
            <w:pPr>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9BC99FE" w14:textId="77777777" w:rsidR="001639C0" w:rsidRPr="005B7BEE" w:rsidRDefault="001639C0" w:rsidP="00024DD9">
            <w:pPr>
              <w:jc w:val="center"/>
              <w:rPr>
                <w:sz w:val="14"/>
                <w:szCs w:val="14"/>
              </w:rPr>
            </w:pPr>
            <w:r w:rsidRPr="005B7BEE">
              <w:rPr>
                <w:sz w:val="14"/>
                <w:szCs w:val="14"/>
              </w:rPr>
              <w:t xml:space="preserve">Catastrophic </w:t>
            </w:r>
          </w:p>
          <w:p w14:paraId="036C9CF0" w14:textId="77777777" w:rsidR="001639C0" w:rsidRPr="005B7BEE" w:rsidRDefault="001639C0" w:rsidP="00024DD9">
            <w:pPr>
              <w:jc w:val="center"/>
              <w:rPr>
                <w:sz w:val="14"/>
                <w:szCs w:val="14"/>
              </w:rPr>
            </w:pPr>
            <w:r w:rsidRPr="005B7BEE">
              <w:rPr>
                <w:sz w:val="14"/>
                <w:szCs w:val="14"/>
              </w:rPr>
              <w:t>/ Fatal</w:t>
            </w:r>
          </w:p>
        </w:tc>
      </w:tr>
      <w:tr w:rsidR="00260DED" w:rsidRPr="00F60A9B" w14:paraId="07629B6C" w14:textId="77777777" w:rsidTr="003668DB">
        <w:trPr>
          <w:jc w:val="center"/>
        </w:trPr>
        <w:tc>
          <w:tcPr>
            <w:tcW w:w="0" w:type="auto"/>
            <w:tcBorders>
              <w:top w:val="single" w:sz="4" w:space="0" w:color="auto"/>
              <w:right w:val="single" w:sz="12" w:space="0" w:color="auto"/>
            </w:tcBorders>
            <w:vAlign w:val="center"/>
          </w:tcPr>
          <w:p w14:paraId="78F86420" w14:textId="77777777" w:rsidR="00260DED" w:rsidRPr="005B7BEE" w:rsidRDefault="00260DED" w:rsidP="00260DED">
            <w:pPr>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C260FF1" w14:textId="4594D7C4" w:rsidR="00260DED" w:rsidRPr="009B3033"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B3E752F" w14:textId="2AF1A17D"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6223D73" w14:textId="5F3F3E8F"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A9C5985" w14:textId="4C5C649A" w:rsidR="00260DED" w:rsidRPr="00210DD1" w:rsidRDefault="00260DED" w:rsidP="00260DED">
            <w:pPr>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B22F6CA" w14:textId="122954AE" w:rsidR="00260DED" w:rsidRPr="00F60A9B" w:rsidRDefault="00260DED" w:rsidP="00260DED">
            <w:pPr>
              <w:jc w:val="center"/>
            </w:pPr>
            <w:r>
              <w:rPr>
                <w:rFonts w:ascii="Calibri" w:hAnsi="Calibri" w:cs="Calibri"/>
                <w:color w:val="000000"/>
              </w:rPr>
              <w:t>0</w:t>
            </w:r>
          </w:p>
        </w:tc>
      </w:tr>
      <w:tr w:rsidR="00260DED" w:rsidRPr="00F60A9B" w14:paraId="478DC158" w14:textId="77777777" w:rsidTr="003668DB">
        <w:trPr>
          <w:jc w:val="center"/>
        </w:trPr>
        <w:tc>
          <w:tcPr>
            <w:tcW w:w="0" w:type="auto"/>
            <w:tcBorders>
              <w:right w:val="single" w:sz="12" w:space="0" w:color="auto"/>
            </w:tcBorders>
            <w:vAlign w:val="center"/>
          </w:tcPr>
          <w:p w14:paraId="6CF13168" w14:textId="77777777" w:rsidR="00260DED" w:rsidRPr="005B7BEE" w:rsidRDefault="00260DED" w:rsidP="00260DED">
            <w:pP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C01654E" w14:textId="29E1A194" w:rsidR="00260DED" w:rsidRDefault="00260DED" w:rsidP="00260DED">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C984B5C" w14:textId="3C905B24"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8FE329" w14:textId="28F0200C"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0A7477" w14:textId="67AFAA25"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C22A12B" w14:textId="208B0945" w:rsidR="00260DED" w:rsidRDefault="00260DED" w:rsidP="00260DED">
            <w:pPr>
              <w:jc w:val="center"/>
            </w:pPr>
            <w:r>
              <w:rPr>
                <w:rFonts w:ascii="Calibri" w:hAnsi="Calibri" w:cs="Calibri"/>
                <w:color w:val="000000"/>
              </w:rPr>
              <w:t>0</w:t>
            </w:r>
          </w:p>
        </w:tc>
      </w:tr>
      <w:tr w:rsidR="00260DED" w:rsidRPr="00F60A9B" w14:paraId="1CEA4D49" w14:textId="77777777" w:rsidTr="003668DB">
        <w:trPr>
          <w:jc w:val="center"/>
        </w:trPr>
        <w:tc>
          <w:tcPr>
            <w:tcW w:w="0" w:type="auto"/>
            <w:tcBorders>
              <w:top w:val="single" w:sz="4" w:space="0" w:color="auto"/>
              <w:right w:val="single" w:sz="12" w:space="0" w:color="auto"/>
            </w:tcBorders>
            <w:vAlign w:val="center"/>
          </w:tcPr>
          <w:p w14:paraId="243F2277" w14:textId="77777777" w:rsidR="00260DED" w:rsidRPr="005B7BEE" w:rsidRDefault="00260DED" w:rsidP="00260DED">
            <w:pP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519EC60" w14:textId="4CB66086" w:rsidR="00260DED"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DDABD" w14:textId="59209A20"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0D89E2" w14:textId="03C325B7" w:rsidR="00260DED" w:rsidRPr="00210DD1" w:rsidRDefault="00260DED" w:rsidP="00260DED">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96F7B71" w14:textId="0C6F7522"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4DF7DCF" w14:textId="6A814B84" w:rsidR="00260DED" w:rsidRDefault="00260DED" w:rsidP="00260DED">
            <w:pPr>
              <w:jc w:val="center"/>
            </w:pPr>
            <w:r>
              <w:rPr>
                <w:rFonts w:ascii="Calibri" w:hAnsi="Calibri" w:cs="Calibri"/>
                <w:color w:val="000000"/>
              </w:rPr>
              <w:t>0</w:t>
            </w:r>
          </w:p>
        </w:tc>
      </w:tr>
      <w:tr w:rsidR="00260DED" w:rsidRPr="00F60A9B" w14:paraId="2AAC74EC" w14:textId="77777777" w:rsidTr="003668DB">
        <w:trPr>
          <w:jc w:val="center"/>
        </w:trPr>
        <w:tc>
          <w:tcPr>
            <w:tcW w:w="0" w:type="auto"/>
            <w:tcBorders>
              <w:right w:val="single" w:sz="12" w:space="0" w:color="auto"/>
            </w:tcBorders>
            <w:vAlign w:val="center"/>
          </w:tcPr>
          <w:p w14:paraId="63A3B040" w14:textId="77777777" w:rsidR="00260DED" w:rsidRPr="005B7BEE" w:rsidRDefault="00260DED" w:rsidP="00260DED">
            <w:pPr>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19AD7313" w14:textId="5A5534CF"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2461FE" w14:textId="1EDD973C" w:rsidR="00260DED" w:rsidRPr="00210DD1" w:rsidRDefault="00260DED" w:rsidP="00260DED">
            <w:pPr>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4D008B1" w14:textId="2C5B3590"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BEA49B6" w14:textId="44DD5CEA"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61ABC08" w14:textId="38E86D14" w:rsidR="00260DED" w:rsidRPr="00F60A9B" w:rsidRDefault="00260DED" w:rsidP="00260DED">
            <w:pPr>
              <w:jc w:val="center"/>
            </w:pPr>
            <w:r>
              <w:rPr>
                <w:rFonts w:ascii="Calibri" w:hAnsi="Calibri" w:cs="Calibri"/>
                <w:color w:val="000000"/>
              </w:rPr>
              <w:t>1</w:t>
            </w:r>
          </w:p>
        </w:tc>
      </w:tr>
      <w:tr w:rsidR="00260DED" w:rsidRPr="00F60A9B" w14:paraId="3EFC6129" w14:textId="77777777" w:rsidTr="003668DB">
        <w:trPr>
          <w:jc w:val="center"/>
        </w:trPr>
        <w:tc>
          <w:tcPr>
            <w:tcW w:w="0" w:type="auto"/>
            <w:tcBorders>
              <w:right w:val="single" w:sz="12" w:space="0" w:color="auto"/>
            </w:tcBorders>
            <w:vAlign w:val="center"/>
          </w:tcPr>
          <w:p w14:paraId="350E386F" w14:textId="77777777" w:rsidR="00260DED" w:rsidRPr="005B7BEE" w:rsidRDefault="00260DED" w:rsidP="00260DED">
            <w:pPr>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D97C4B9" w14:textId="6089EF50"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62FB92" w14:textId="16260FAE"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A59EE5F" w14:textId="670BECD1" w:rsidR="00260DED" w:rsidRPr="00210DD1" w:rsidRDefault="00260DED" w:rsidP="00260DED">
            <w:pPr>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171AA6A7" w14:textId="5304D24E"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4781CF9" w14:textId="03861170" w:rsidR="00260DED" w:rsidRPr="00F60A9B" w:rsidRDefault="00260DED" w:rsidP="00260DED">
            <w:pPr>
              <w:jc w:val="center"/>
            </w:pPr>
            <w:r>
              <w:rPr>
                <w:rFonts w:ascii="Calibri" w:hAnsi="Calibri" w:cs="Calibri"/>
                <w:color w:val="000000"/>
              </w:rPr>
              <w:t>0</w:t>
            </w:r>
          </w:p>
        </w:tc>
      </w:tr>
      <w:tr w:rsidR="00260DED" w:rsidRPr="00F60A9B" w14:paraId="4667563A" w14:textId="77777777" w:rsidTr="003668DB">
        <w:trPr>
          <w:jc w:val="center"/>
        </w:trPr>
        <w:tc>
          <w:tcPr>
            <w:tcW w:w="0" w:type="auto"/>
            <w:tcBorders>
              <w:right w:val="single" w:sz="12" w:space="0" w:color="auto"/>
            </w:tcBorders>
            <w:vAlign w:val="center"/>
          </w:tcPr>
          <w:p w14:paraId="73284087" w14:textId="77777777" w:rsidR="00260DED" w:rsidRPr="005B7BEE" w:rsidRDefault="00260DED" w:rsidP="00260DED">
            <w:pPr>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A4064B1" w14:textId="421B8C47" w:rsidR="00260DED" w:rsidRPr="00F60A9B"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363B8A3" w14:textId="1ED14934"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AF12FD" w14:textId="28558060" w:rsidR="00260DED" w:rsidRPr="00210DD1" w:rsidRDefault="00260DED" w:rsidP="00260DED">
            <w:pPr>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786294" w14:textId="456EFA01" w:rsidR="00260DED" w:rsidRPr="00210DD1" w:rsidRDefault="00260DED" w:rsidP="00260DED">
            <w:pPr>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B6AAC77" w14:textId="53FAF826" w:rsidR="00260DED" w:rsidRPr="00F60A9B" w:rsidRDefault="00260DED" w:rsidP="00260DED">
            <w:pPr>
              <w:jc w:val="center"/>
            </w:pPr>
            <w:r>
              <w:rPr>
                <w:rFonts w:ascii="Calibri" w:hAnsi="Calibri" w:cs="Calibri"/>
                <w:color w:val="000000"/>
              </w:rPr>
              <w:t>0</w:t>
            </w:r>
          </w:p>
        </w:tc>
      </w:tr>
      <w:tr w:rsidR="00260DED" w:rsidRPr="00F60A9B" w14:paraId="41C453E5" w14:textId="77777777" w:rsidTr="003668DB">
        <w:trPr>
          <w:jc w:val="center"/>
        </w:trPr>
        <w:tc>
          <w:tcPr>
            <w:tcW w:w="0" w:type="auto"/>
            <w:tcBorders>
              <w:right w:val="single" w:sz="12" w:space="0" w:color="auto"/>
            </w:tcBorders>
            <w:vAlign w:val="center"/>
          </w:tcPr>
          <w:p w14:paraId="0563D8CC" w14:textId="77777777" w:rsidR="00260DED" w:rsidRPr="005B7BEE" w:rsidRDefault="00260DED" w:rsidP="00260DED">
            <w:pPr>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6280C8E6" w14:textId="76185B09" w:rsidR="00260DED" w:rsidRPr="00F60A9B" w:rsidRDefault="00260DED" w:rsidP="00260DED">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1A801A4" w14:textId="2A8633F2" w:rsidR="00260DED" w:rsidRPr="00210DD1" w:rsidRDefault="00260DED" w:rsidP="00260DED">
            <w:pPr>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25539B24" w14:textId="48BF0405" w:rsidR="00260DED" w:rsidRPr="00210DD1" w:rsidRDefault="00260DED" w:rsidP="00260DED">
            <w:pPr>
              <w:jc w:val="center"/>
            </w:pPr>
            <w:r>
              <w:rPr>
                <w:rFonts w:ascii="Calibri" w:hAnsi="Calibri" w:cs="Calibri"/>
                <w:color w:val="000000"/>
              </w:rPr>
              <w:t>3</w:t>
            </w:r>
          </w:p>
        </w:tc>
        <w:tc>
          <w:tcPr>
            <w:tcW w:w="0" w:type="auto"/>
            <w:tcBorders>
              <w:top w:val="nil"/>
              <w:left w:val="nil"/>
              <w:bottom w:val="single" w:sz="8" w:space="0" w:color="auto"/>
              <w:right w:val="single" w:sz="4" w:space="0" w:color="auto"/>
            </w:tcBorders>
            <w:shd w:val="clear" w:color="auto" w:fill="auto"/>
            <w:vAlign w:val="bottom"/>
          </w:tcPr>
          <w:p w14:paraId="13736E27" w14:textId="1483EEA7" w:rsidR="00260DED" w:rsidRPr="00210DD1" w:rsidRDefault="00260DED" w:rsidP="00260DED">
            <w:pPr>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4E558461" w14:textId="2860AE14" w:rsidR="00260DED" w:rsidRPr="00F60A9B" w:rsidRDefault="00260DED" w:rsidP="00260DED">
            <w:pPr>
              <w:keepNext/>
              <w:jc w:val="center"/>
            </w:pPr>
            <w:r>
              <w:rPr>
                <w:rFonts w:ascii="Calibri" w:hAnsi="Calibri" w:cs="Calibri"/>
                <w:color w:val="000000"/>
              </w:rPr>
              <w:t>3</w:t>
            </w:r>
          </w:p>
        </w:tc>
      </w:tr>
    </w:tbl>
    <w:p w14:paraId="23D34179" w14:textId="2D3B6C54" w:rsidR="001639C0" w:rsidRPr="001734B9" w:rsidRDefault="001639C0" w:rsidP="001639C0">
      <w:pPr>
        <w:pStyle w:val="Caption"/>
        <w:spacing w:before="120"/>
        <w:jc w:val="center"/>
        <w:rPr>
          <w:rFonts w:cstheme="minorHAnsi"/>
        </w:rPr>
      </w:pPr>
      <w:r>
        <w:t xml:space="preserve">Table </w:t>
      </w:r>
      <w:r>
        <w:fldChar w:fldCharType="begin"/>
      </w:r>
      <w:r>
        <w:instrText xml:space="preserve"> SEQ Table \* ARABIC </w:instrText>
      </w:r>
      <w:r>
        <w:fldChar w:fldCharType="separate"/>
      </w:r>
      <w:r w:rsidR="001E41EA">
        <w:rPr>
          <w:noProof/>
        </w:rPr>
        <w:t>15</w:t>
      </w:r>
      <w:r>
        <w:rPr>
          <w:noProof/>
        </w:rPr>
        <w:fldChar w:fldCharType="end"/>
      </w:r>
      <w:r>
        <w:t xml:space="preserve"> - </w:t>
      </w:r>
      <m:oMath>
        <m:sSub>
          <m:sSubPr>
            <m:ctrlPr>
              <w:rPr>
                <w:rFonts w:ascii="Cambria Math" w:hAnsi="Cambria Math" w:cstheme="minorHAnsi"/>
              </w:rPr>
            </m:ctrlPr>
          </m:sSubPr>
          <m:e>
            <m:r>
              <w:rPr>
                <w:rFonts w:ascii="Cambria Math" w:hAnsi="Cambria Math" w:cstheme="minorHAnsi"/>
              </w:rPr>
              <m:t>Table</m:t>
            </m:r>
          </m:e>
          <m:sub>
            <m:r>
              <w:rPr>
                <w:rFonts w:ascii="Cambria Math" w:hAnsi="Cambria Math" w:cstheme="minorHAnsi"/>
              </w:rPr>
              <m:t>R</m:t>
            </m:r>
          </m:sub>
        </m:sSub>
      </m:oMath>
      <w:r>
        <w:rPr>
          <w:rFonts w:eastAsiaTheme="minorEastAsia"/>
        </w:rPr>
        <w:t xml:space="preserve"> for the example in Attachment A</w:t>
      </w:r>
      <w:r>
        <w:rPr>
          <w:rFonts w:eastAsiaTheme="minorEastAsia" w:cstheme="minorHAnsi"/>
        </w:rPr>
        <w:t xml:space="preserve"> </w:t>
      </w:r>
    </w:p>
    <w:p w14:paraId="2E9B44BD" w14:textId="77777777" w:rsidR="001639C0" w:rsidRDefault="001639C0" w:rsidP="00AA2310">
      <w:pPr>
        <w:spacing w:after="0" w:line="240" w:lineRule="auto"/>
        <w:rPr>
          <w:rFonts w:cstheme="minorHAnsi"/>
        </w:rPr>
      </w:pPr>
    </w:p>
    <w:p w14:paraId="4862F9E0" w14:textId="45ABD6BF" w:rsidR="009262D1" w:rsidRPr="009262D1" w:rsidRDefault="006046E3">
      <w:pPr>
        <w:pStyle w:val="ListParagraph"/>
        <w:numPr>
          <w:ilvl w:val="0"/>
          <w:numId w:val="31"/>
        </w:numPr>
        <w:outlineLvl w:val="2"/>
        <w:rPr>
          <w:rFonts w:cstheme="minorHAnsi"/>
        </w:rPr>
      </w:pPr>
      <w:bookmarkStart w:id="111" w:name="_Toc156728670"/>
      <w:r>
        <w:rPr>
          <w:rFonts w:eastAsiaTheme="minorEastAsia"/>
        </w:rPr>
        <w:t>Use the tables to c</w:t>
      </w:r>
      <w:r w:rsidRPr="00FF1816">
        <w:rPr>
          <w:rFonts w:eastAsiaTheme="minorEastAsia"/>
        </w:rPr>
        <w:t xml:space="preserve">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Pr>
          <w:rFonts w:cstheme="minorHAnsi"/>
        </w:rPr>
        <w:t xml:space="preserve"> and populate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bookmarkEnd w:id="111"/>
      <w:r>
        <w:rPr>
          <w:rFonts w:cstheme="minorHAnsi"/>
        </w:rPr>
        <w:fldChar w:fldCharType="end"/>
      </w:r>
    </w:p>
    <w:p w14:paraId="1818D4AE" w14:textId="77777777" w:rsidR="009262D1" w:rsidRPr="0020191B" w:rsidRDefault="009262D1" w:rsidP="009262D1">
      <w:pPr>
        <w:pStyle w:val="ListParagraph"/>
        <w:ind w:left="864"/>
        <w:rPr>
          <w:rFonts w:eastAsiaTheme="minorEastAsia"/>
        </w:rPr>
      </w:pPr>
    </w:p>
    <w:p w14:paraId="0BA3C392" w14:textId="30154F0E" w:rsidR="009262D1" w:rsidRPr="00FF1816" w:rsidRDefault="009262D1">
      <w:pPr>
        <w:pStyle w:val="ListParagraph"/>
        <w:numPr>
          <w:ilvl w:val="1"/>
          <w:numId w:val="31"/>
        </w:numPr>
        <w:rPr>
          <w:rFonts w:eastAsiaTheme="minorEastAsia"/>
        </w:rPr>
      </w:pPr>
      <w:r>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oMath>
      <w:r w:rsidRPr="00FF1816">
        <w:rPr>
          <w:rFonts w:eastAsiaTheme="minorEastAsia"/>
        </w:rPr>
        <w:t xml:space="preserve"> and </w:t>
      </w:r>
      <m:oMath>
        <m:r>
          <w:rPr>
            <w:rFonts w:ascii="Cambria Math" w:eastAsiaTheme="minorEastAsia" w:hAnsi="Cambria Math"/>
          </w:rPr>
          <m:t>R</m:t>
        </m:r>
      </m:oMath>
      <w:r w:rsidRPr="00FF1816">
        <w:rPr>
          <w:rFonts w:eastAsiaTheme="minorEastAsia"/>
        </w:rPr>
        <w:t xml:space="preserve">, </w:t>
      </w:r>
      <w:r>
        <w:rPr>
          <w:rFonts w:eastAsiaTheme="minorEastAsia"/>
        </w:rPr>
        <w:fldChar w:fldCharType="begin"/>
      </w:r>
      <w:r>
        <w:rPr>
          <w:rFonts w:eastAsiaTheme="minorEastAsia"/>
        </w:rPr>
        <w:instrText xml:space="preserve"> REF _Ref147478194 \h </w:instrText>
      </w:r>
      <w:r>
        <w:rPr>
          <w:rFonts w:eastAsiaTheme="minorEastAsia"/>
        </w:rPr>
      </w:r>
      <w:r>
        <w:rPr>
          <w:rFonts w:eastAsiaTheme="minorEastAsia"/>
        </w:rPr>
        <w:fldChar w:fldCharType="separate"/>
      </w:r>
      <w:r w:rsidR="001E41EA">
        <w:t xml:space="preserve">Table </w:t>
      </w:r>
      <w:r w:rsidR="001E41EA">
        <w:rPr>
          <w:noProof/>
        </w:rPr>
        <w:t>11</w:t>
      </w:r>
      <w:r>
        <w:rPr>
          <w:rFonts w:eastAsiaTheme="minorEastAsia"/>
        </w:rPr>
        <w:fldChar w:fldCharType="end"/>
      </w:r>
      <w:r>
        <w:rPr>
          <w:rFonts w:eastAsiaTheme="minorEastAsia"/>
        </w:rPr>
        <w:t xml:space="preserve"> </w:t>
      </w:r>
      <w:r w:rsidRPr="00FF1816">
        <w:rPr>
          <w:rFonts w:eastAsiaTheme="minorEastAsia"/>
        </w:rPr>
        <w:t xml:space="preserve">and </w:t>
      </w:r>
      <w:r>
        <w:rPr>
          <w:rFonts w:eastAsiaTheme="minorEastAsia"/>
        </w:rPr>
        <w:fldChar w:fldCharType="begin"/>
      </w:r>
      <w:r>
        <w:rPr>
          <w:rFonts w:eastAsiaTheme="minorEastAsia"/>
        </w:rPr>
        <w:instrText xml:space="preserve"> REF _Ref147478214 \h </w:instrText>
      </w:r>
      <w:r>
        <w:rPr>
          <w:rFonts w:eastAsiaTheme="minorEastAsia"/>
        </w:rPr>
      </w:r>
      <w:r>
        <w:rPr>
          <w:rFonts w:eastAsiaTheme="minorEastAsia"/>
        </w:rPr>
        <w:fldChar w:fldCharType="separate"/>
      </w:r>
      <w:r w:rsidR="001E41EA">
        <w:t xml:space="preserve">Table </w:t>
      </w:r>
      <w:r w:rsidR="001E41EA">
        <w:rPr>
          <w:noProof/>
        </w:rPr>
        <w:t>12</w:t>
      </w:r>
      <w:r>
        <w:rPr>
          <w:rFonts w:eastAsiaTheme="minorEastAsia"/>
        </w:rPr>
        <w:fldChar w:fldCharType="end"/>
      </w:r>
      <w:r>
        <w:rPr>
          <w:rFonts w:eastAsiaTheme="minorEastAsia"/>
        </w:rPr>
        <w:t xml:space="preserve"> </w:t>
      </w:r>
      <w:r w:rsidRPr="00FF1816">
        <w:rPr>
          <w:rFonts w:eastAsiaTheme="minorEastAsia"/>
        </w:rPr>
        <w:t xml:space="preserve">above, to calculate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sidRPr="00FF1816">
        <w:rPr>
          <w:rFonts w:cstheme="minorHAnsi"/>
        </w:rPr>
        <w:t xml:space="preserve">: </w:t>
      </w:r>
    </w:p>
    <w:tbl>
      <w:tblPr>
        <w:tblStyle w:val="TableGrid"/>
        <w:tblW w:w="14221" w:type="dxa"/>
        <w:jc w:val="center"/>
        <w:tblLayout w:type="fixed"/>
        <w:tblLook w:val="04A0" w:firstRow="1" w:lastRow="0" w:firstColumn="1" w:lastColumn="0" w:noHBand="0" w:noVBand="1"/>
      </w:tblPr>
      <w:tblGrid>
        <w:gridCol w:w="900"/>
        <w:gridCol w:w="630"/>
        <w:gridCol w:w="540"/>
        <w:gridCol w:w="726"/>
        <w:gridCol w:w="595"/>
        <w:gridCol w:w="906"/>
        <w:gridCol w:w="353"/>
        <w:gridCol w:w="930"/>
        <w:gridCol w:w="630"/>
        <w:gridCol w:w="540"/>
        <w:gridCol w:w="692"/>
        <w:gridCol w:w="595"/>
        <w:gridCol w:w="906"/>
        <w:gridCol w:w="295"/>
        <w:gridCol w:w="932"/>
        <w:gridCol w:w="630"/>
        <w:gridCol w:w="540"/>
        <w:gridCol w:w="690"/>
        <w:gridCol w:w="690"/>
        <w:gridCol w:w="595"/>
        <w:gridCol w:w="906"/>
      </w:tblGrid>
      <w:tr w:rsidR="001E6AA3" w:rsidRPr="00F60A9B" w14:paraId="65A45554" w14:textId="77777777" w:rsidTr="00260DED">
        <w:trPr>
          <w:cantSplit/>
          <w:trHeight w:val="432"/>
          <w:tblHeader/>
          <w:jc w:val="center"/>
        </w:trPr>
        <w:tc>
          <w:tcPr>
            <w:tcW w:w="900" w:type="dxa"/>
            <w:tcBorders>
              <w:top w:val="nil"/>
              <w:left w:val="nil"/>
              <w:bottom w:val="single" w:sz="4" w:space="0" w:color="auto"/>
            </w:tcBorders>
            <w:vAlign w:val="center"/>
          </w:tcPr>
          <w:p w14:paraId="24927FE6" w14:textId="77777777" w:rsidR="001E6AA3" w:rsidRPr="00F60A9B" w:rsidRDefault="00000000" w:rsidP="00024DD9">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630" w:type="dxa"/>
            <w:tcBorders>
              <w:top w:val="single" w:sz="4" w:space="0" w:color="auto"/>
              <w:bottom w:val="single" w:sz="12" w:space="0" w:color="auto"/>
            </w:tcBorders>
            <w:vAlign w:val="center"/>
          </w:tcPr>
          <w:p w14:paraId="23415573" w14:textId="77777777" w:rsidR="001E6AA3" w:rsidRPr="005B7BEE" w:rsidRDefault="001E6AA3" w:rsidP="00024DD9">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1C77EDC7" w14:textId="77777777" w:rsidR="001E6AA3" w:rsidRPr="005B7BEE" w:rsidRDefault="001E6AA3" w:rsidP="00024DD9">
            <w:pPr>
              <w:jc w:val="center"/>
              <w:rPr>
                <w:sz w:val="14"/>
                <w:szCs w:val="14"/>
              </w:rPr>
            </w:pPr>
            <w:r w:rsidRPr="005B7BEE">
              <w:rPr>
                <w:sz w:val="14"/>
                <w:szCs w:val="14"/>
              </w:rPr>
              <w:t>Minor</w:t>
            </w:r>
          </w:p>
        </w:tc>
        <w:tc>
          <w:tcPr>
            <w:tcW w:w="726" w:type="dxa"/>
            <w:tcBorders>
              <w:top w:val="single" w:sz="4" w:space="0" w:color="auto"/>
              <w:bottom w:val="single" w:sz="12" w:space="0" w:color="auto"/>
            </w:tcBorders>
            <w:vAlign w:val="center"/>
          </w:tcPr>
          <w:p w14:paraId="3FE9AC55" w14:textId="77777777" w:rsidR="001E6AA3" w:rsidRDefault="001E6AA3" w:rsidP="00024DD9">
            <w:pPr>
              <w:jc w:val="center"/>
              <w:rPr>
                <w:sz w:val="14"/>
                <w:szCs w:val="14"/>
              </w:rPr>
            </w:pPr>
            <w:r w:rsidRPr="005B7BEE">
              <w:rPr>
                <w:sz w:val="14"/>
                <w:szCs w:val="14"/>
              </w:rPr>
              <w:t>Serious</w:t>
            </w:r>
          </w:p>
          <w:p w14:paraId="028505D6" w14:textId="77777777" w:rsidR="001E6AA3" w:rsidRPr="005B7BEE" w:rsidRDefault="001E6AA3" w:rsidP="00024DD9">
            <w:pPr>
              <w:jc w:val="center"/>
              <w:rPr>
                <w:sz w:val="14"/>
                <w:szCs w:val="14"/>
              </w:rPr>
            </w:pPr>
            <w:r w:rsidRPr="005B7BEE">
              <w:rPr>
                <w:sz w:val="14"/>
                <w:szCs w:val="14"/>
              </w:rPr>
              <w:t>/Major</w:t>
            </w:r>
          </w:p>
        </w:tc>
        <w:tc>
          <w:tcPr>
            <w:tcW w:w="595" w:type="dxa"/>
            <w:tcBorders>
              <w:top w:val="single" w:sz="4" w:space="0" w:color="auto"/>
              <w:bottom w:val="single" w:sz="12" w:space="0" w:color="auto"/>
            </w:tcBorders>
            <w:vAlign w:val="center"/>
          </w:tcPr>
          <w:p w14:paraId="443D84C2" w14:textId="77777777" w:rsidR="001E6AA3" w:rsidRPr="005B7BEE" w:rsidRDefault="001E6AA3" w:rsidP="00024DD9">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071AF228" w14:textId="77777777" w:rsidR="001E6AA3" w:rsidRPr="005B7BEE" w:rsidRDefault="001E6AA3" w:rsidP="00024DD9">
            <w:pPr>
              <w:jc w:val="center"/>
              <w:rPr>
                <w:sz w:val="14"/>
                <w:szCs w:val="14"/>
              </w:rPr>
            </w:pPr>
            <w:r w:rsidRPr="005B7BEE">
              <w:rPr>
                <w:sz w:val="14"/>
                <w:szCs w:val="14"/>
              </w:rPr>
              <w:t>Catastrophic / Fatal</w:t>
            </w:r>
          </w:p>
        </w:tc>
        <w:tc>
          <w:tcPr>
            <w:tcW w:w="353" w:type="dxa"/>
            <w:tcBorders>
              <w:top w:val="nil"/>
              <w:left w:val="nil"/>
              <w:bottom w:val="nil"/>
              <w:right w:val="nil"/>
            </w:tcBorders>
            <w:vAlign w:val="center"/>
          </w:tcPr>
          <w:p w14:paraId="2FC88D53" w14:textId="77777777" w:rsidR="001E6AA3" w:rsidRPr="005B7BEE" w:rsidRDefault="001E6AA3" w:rsidP="00024DD9">
            <w:pPr>
              <w:jc w:val="center"/>
              <w:rPr>
                <w:sz w:val="14"/>
                <w:szCs w:val="14"/>
              </w:rPr>
            </w:pPr>
          </w:p>
        </w:tc>
        <w:tc>
          <w:tcPr>
            <w:tcW w:w="930" w:type="dxa"/>
            <w:tcBorders>
              <w:top w:val="nil"/>
              <w:left w:val="nil"/>
              <w:bottom w:val="single" w:sz="12" w:space="0" w:color="auto"/>
            </w:tcBorders>
            <w:vAlign w:val="center"/>
          </w:tcPr>
          <w:p w14:paraId="3BE263BF" w14:textId="77777777" w:rsidR="001E6AA3" w:rsidRPr="005B7BEE" w:rsidRDefault="001E6AA3" w:rsidP="00024DD9">
            <w:pPr>
              <w:jc w:val="center"/>
              <w:rPr>
                <w:sz w:val="14"/>
                <w:szCs w:val="14"/>
              </w:rPr>
            </w:pPr>
            <m:oMathPara>
              <m:oMath>
                <m:r>
                  <w:rPr>
                    <w:rFonts w:ascii="Cambria Math" w:hAnsi="Cambria Math"/>
                  </w:rPr>
                  <m:t>R</m:t>
                </m:r>
              </m:oMath>
            </m:oMathPara>
          </w:p>
        </w:tc>
        <w:tc>
          <w:tcPr>
            <w:tcW w:w="630" w:type="dxa"/>
            <w:tcBorders>
              <w:top w:val="single" w:sz="4" w:space="0" w:color="auto"/>
              <w:bottom w:val="single" w:sz="12" w:space="0" w:color="auto"/>
            </w:tcBorders>
            <w:vAlign w:val="center"/>
          </w:tcPr>
          <w:p w14:paraId="771971DF" w14:textId="77777777" w:rsidR="001E6AA3" w:rsidRPr="005B7BEE" w:rsidRDefault="001E6AA3" w:rsidP="00024DD9">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26326FE6" w14:textId="77777777" w:rsidR="001E6AA3" w:rsidRPr="005B7BEE" w:rsidRDefault="001E6AA3" w:rsidP="00024DD9">
            <w:pPr>
              <w:jc w:val="center"/>
              <w:rPr>
                <w:sz w:val="14"/>
                <w:szCs w:val="14"/>
              </w:rPr>
            </w:pPr>
            <w:r w:rsidRPr="005B7BEE">
              <w:rPr>
                <w:sz w:val="14"/>
                <w:szCs w:val="14"/>
              </w:rPr>
              <w:t>Minor</w:t>
            </w:r>
          </w:p>
        </w:tc>
        <w:tc>
          <w:tcPr>
            <w:tcW w:w="692" w:type="dxa"/>
            <w:tcBorders>
              <w:top w:val="single" w:sz="4" w:space="0" w:color="auto"/>
              <w:bottom w:val="single" w:sz="12" w:space="0" w:color="auto"/>
            </w:tcBorders>
            <w:vAlign w:val="center"/>
          </w:tcPr>
          <w:p w14:paraId="77FB9601" w14:textId="77777777" w:rsidR="001E6AA3" w:rsidRPr="005B7BEE" w:rsidRDefault="001E6AA3" w:rsidP="00024DD9">
            <w:pPr>
              <w:jc w:val="center"/>
              <w:rPr>
                <w:sz w:val="14"/>
                <w:szCs w:val="14"/>
              </w:rPr>
            </w:pPr>
            <w:r w:rsidRPr="005B7BEE">
              <w:rPr>
                <w:sz w:val="14"/>
                <w:szCs w:val="14"/>
              </w:rPr>
              <w:t>Serious / Major</w:t>
            </w:r>
          </w:p>
        </w:tc>
        <w:tc>
          <w:tcPr>
            <w:tcW w:w="595" w:type="dxa"/>
            <w:tcBorders>
              <w:top w:val="single" w:sz="4" w:space="0" w:color="auto"/>
              <w:bottom w:val="single" w:sz="12" w:space="0" w:color="auto"/>
            </w:tcBorders>
            <w:vAlign w:val="center"/>
          </w:tcPr>
          <w:p w14:paraId="09B6A133" w14:textId="77777777" w:rsidR="001E6AA3" w:rsidRPr="005B7BEE" w:rsidRDefault="001E6AA3" w:rsidP="00024DD9">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3E52C651" w14:textId="77777777" w:rsidR="001E6AA3" w:rsidRPr="005B7BEE" w:rsidRDefault="001E6AA3" w:rsidP="00024DD9">
            <w:pPr>
              <w:jc w:val="center"/>
              <w:rPr>
                <w:sz w:val="14"/>
                <w:szCs w:val="14"/>
              </w:rPr>
            </w:pPr>
            <w:r w:rsidRPr="005B7BEE">
              <w:rPr>
                <w:sz w:val="14"/>
                <w:szCs w:val="14"/>
              </w:rPr>
              <w:t>Catastrophic / Fatal</w:t>
            </w:r>
          </w:p>
        </w:tc>
        <w:tc>
          <w:tcPr>
            <w:tcW w:w="295" w:type="dxa"/>
            <w:tcBorders>
              <w:top w:val="nil"/>
              <w:left w:val="nil"/>
              <w:bottom w:val="nil"/>
              <w:right w:val="nil"/>
            </w:tcBorders>
            <w:vAlign w:val="center"/>
          </w:tcPr>
          <w:p w14:paraId="088EF263" w14:textId="77777777" w:rsidR="001E6AA3" w:rsidRPr="005B7BEE" w:rsidRDefault="001E6AA3" w:rsidP="00024DD9">
            <w:pPr>
              <w:jc w:val="center"/>
              <w:rPr>
                <w:sz w:val="14"/>
                <w:szCs w:val="14"/>
              </w:rPr>
            </w:pPr>
          </w:p>
        </w:tc>
        <w:tc>
          <w:tcPr>
            <w:tcW w:w="932" w:type="dxa"/>
            <w:tcBorders>
              <w:top w:val="nil"/>
              <w:left w:val="nil"/>
              <w:bottom w:val="single" w:sz="12" w:space="0" w:color="auto"/>
            </w:tcBorders>
            <w:vAlign w:val="center"/>
          </w:tcPr>
          <w:p w14:paraId="6EF57516" w14:textId="77777777" w:rsidR="001E6AA3" w:rsidRPr="005B7BEE" w:rsidRDefault="00000000" w:rsidP="00024DD9">
            <w:pPr>
              <w:jc w:val="center"/>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 xml:space="preserve"> ⋃ R</m:t>
                </m:r>
              </m:oMath>
            </m:oMathPara>
          </w:p>
        </w:tc>
        <w:tc>
          <w:tcPr>
            <w:tcW w:w="630" w:type="dxa"/>
            <w:tcBorders>
              <w:top w:val="single" w:sz="4" w:space="0" w:color="auto"/>
              <w:bottom w:val="single" w:sz="12" w:space="0" w:color="auto"/>
            </w:tcBorders>
            <w:vAlign w:val="center"/>
          </w:tcPr>
          <w:p w14:paraId="5999C4E0" w14:textId="77777777" w:rsidR="001E6AA3" w:rsidRPr="005B7BEE" w:rsidRDefault="001E6AA3" w:rsidP="00024DD9">
            <w:pPr>
              <w:jc w:val="center"/>
              <w:rPr>
                <w:sz w:val="14"/>
                <w:szCs w:val="14"/>
              </w:rPr>
            </w:pPr>
            <w:r w:rsidRPr="005B7BEE">
              <w:rPr>
                <w:sz w:val="14"/>
                <w:szCs w:val="14"/>
              </w:rPr>
              <w:t>Negligible</w:t>
            </w:r>
          </w:p>
        </w:tc>
        <w:tc>
          <w:tcPr>
            <w:tcW w:w="540" w:type="dxa"/>
            <w:tcBorders>
              <w:top w:val="single" w:sz="4" w:space="0" w:color="auto"/>
              <w:bottom w:val="single" w:sz="12" w:space="0" w:color="auto"/>
            </w:tcBorders>
            <w:vAlign w:val="center"/>
          </w:tcPr>
          <w:p w14:paraId="7B22B730" w14:textId="77777777" w:rsidR="001E6AA3" w:rsidRPr="005B7BEE" w:rsidRDefault="001E6AA3" w:rsidP="00024DD9">
            <w:pPr>
              <w:jc w:val="center"/>
              <w:rPr>
                <w:sz w:val="14"/>
                <w:szCs w:val="14"/>
              </w:rPr>
            </w:pPr>
            <w:r w:rsidRPr="005B7BEE">
              <w:rPr>
                <w:sz w:val="14"/>
                <w:szCs w:val="14"/>
              </w:rPr>
              <w:t>Minor</w:t>
            </w:r>
          </w:p>
        </w:tc>
        <w:tc>
          <w:tcPr>
            <w:tcW w:w="690" w:type="dxa"/>
            <w:tcBorders>
              <w:top w:val="single" w:sz="4" w:space="0" w:color="auto"/>
              <w:bottom w:val="single" w:sz="12" w:space="0" w:color="auto"/>
            </w:tcBorders>
          </w:tcPr>
          <w:p w14:paraId="1B39DB8A" w14:textId="77777777" w:rsidR="001E6AA3" w:rsidRPr="005B7BEE" w:rsidRDefault="001E6AA3" w:rsidP="00024DD9">
            <w:pPr>
              <w:jc w:val="center"/>
              <w:rPr>
                <w:sz w:val="14"/>
                <w:szCs w:val="14"/>
              </w:rPr>
            </w:pPr>
          </w:p>
        </w:tc>
        <w:tc>
          <w:tcPr>
            <w:tcW w:w="690" w:type="dxa"/>
            <w:tcBorders>
              <w:top w:val="single" w:sz="4" w:space="0" w:color="auto"/>
              <w:bottom w:val="single" w:sz="12" w:space="0" w:color="auto"/>
            </w:tcBorders>
            <w:vAlign w:val="center"/>
          </w:tcPr>
          <w:p w14:paraId="7DDAA944" w14:textId="6E0A465A" w:rsidR="001E6AA3" w:rsidRPr="005B7BEE" w:rsidRDefault="001E6AA3" w:rsidP="00024DD9">
            <w:pPr>
              <w:jc w:val="center"/>
              <w:rPr>
                <w:sz w:val="14"/>
                <w:szCs w:val="14"/>
              </w:rPr>
            </w:pPr>
            <w:r w:rsidRPr="005B7BEE">
              <w:rPr>
                <w:sz w:val="14"/>
                <w:szCs w:val="14"/>
              </w:rPr>
              <w:t>Serious / Major</w:t>
            </w:r>
          </w:p>
        </w:tc>
        <w:tc>
          <w:tcPr>
            <w:tcW w:w="595" w:type="dxa"/>
            <w:tcBorders>
              <w:top w:val="single" w:sz="4" w:space="0" w:color="auto"/>
              <w:bottom w:val="single" w:sz="12" w:space="0" w:color="auto"/>
            </w:tcBorders>
            <w:vAlign w:val="center"/>
          </w:tcPr>
          <w:p w14:paraId="489C8738" w14:textId="77777777" w:rsidR="001E6AA3" w:rsidRPr="005B7BEE" w:rsidRDefault="001E6AA3" w:rsidP="00024DD9">
            <w:pPr>
              <w:jc w:val="center"/>
              <w:rPr>
                <w:sz w:val="14"/>
                <w:szCs w:val="14"/>
              </w:rPr>
            </w:pPr>
            <w:r w:rsidRPr="005B7BEE">
              <w:rPr>
                <w:sz w:val="14"/>
                <w:szCs w:val="14"/>
              </w:rPr>
              <w:t>Critical</w:t>
            </w:r>
          </w:p>
        </w:tc>
        <w:tc>
          <w:tcPr>
            <w:tcW w:w="906" w:type="dxa"/>
            <w:tcBorders>
              <w:top w:val="single" w:sz="4" w:space="0" w:color="auto"/>
              <w:bottom w:val="single" w:sz="12" w:space="0" w:color="auto"/>
            </w:tcBorders>
            <w:vAlign w:val="center"/>
          </w:tcPr>
          <w:p w14:paraId="37FC5060" w14:textId="77777777" w:rsidR="001E6AA3" w:rsidRPr="005B7BEE" w:rsidRDefault="001E6AA3" w:rsidP="00024DD9">
            <w:pPr>
              <w:jc w:val="center"/>
              <w:rPr>
                <w:sz w:val="14"/>
                <w:szCs w:val="14"/>
              </w:rPr>
            </w:pPr>
            <w:r w:rsidRPr="005B7BEE">
              <w:rPr>
                <w:sz w:val="14"/>
                <w:szCs w:val="14"/>
              </w:rPr>
              <w:t>Catastrophic / Fatal</w:t>
            </w:r>
          </w:p>
        </w:tc>
      </w:tr>
      <w:tr w:rsidR="00260DED" w:rsidRPr="00F60A9B" w14:paraId="21912C66" w14:textId="77777777" w:rsidTr="00913A33">
        <w:trPr>
          <w:cantSplit/>
          <w:jc w:val="center"/>
        </w:trPr>
        <w:tc>
          <w:tcPr>
            <w:tcW w:w="900" w:type="dxa"/>
            <w:tcBorders>
              <w:top w:val="single" w:sz="4" w:space="0" w:color="auto"/>
              <w:right w:val="single" w:sz="12" w:space="0" w:color="auto"/>
            </w:tcBorders>
            <w:vAlign w:val="center"/>
          </w:tcPr>
          <w:p w14:paraId="6C6A6B47" w14:textId="77777777" w:rsidR="00260DED" w:rsidRPr="005B7BEE" w:rsidRDefault="00260DED" w:rsidP="00260DED">
            <w:pPr>
              <w:rPr>
                <w:sz w:val="14"/>
                <w:szCs w:val="14"/>
              </w:rPr>
            </w:pPr>
            <w:r>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49A274FC" w14:textId="429C6FD7" w:rsidR="00260DED" w:rsidRPr="009262D1" w:rsidRDefault="00260DED" w:rsidP="00260DED">
            <w:pPr>
              <w:jc w:val="center"/>
              <w:rPr>
                <w:highlight w:val="yellow"/>
              </w:rPr>
            </w:pPr>
            <w:r>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786EBA7D" w14:textId="441389A9" w:rsidR="00260DED" w:rsidRPr="009262D1" w:rsidRDefault="00260DED" w:rsidP="00260DED">
            <w:pPr>
              <w:jc w:val="center"/>
              <w:rPr>
                <w:highlight w:val="yellow"/>
              </w:rPr>
            </w:pPr>
            <w:r>
              <w:rPr>
                <w:rFonts w:ascii="Calibri" w:hAnsi="Calibri" w:cs="Calibri"/>
                <w:color w:val="000000"/>
              </w:rPr>
              <w:t>0</w:t>
            </w:r>
          </w:p>
        </w:tc>
        <w:tc>
          <w:tcPr>
            <w:tcW w:w="726" w:type="dxa"/>
            <w:tcBorders>
              <w:top w:val="single" w:sz="8" w:space="0" w:color="auto"/>
              <w:left w:val="nil"/>
              <w:bottom w:val="single" w:sz="4" w:space="0" w:color="auto"/>
              <w:right w:val="single" w:sz="4" w:space="0" w:color="auto"/>
            </w:tcBorders>
            <w:shd w:val="clear" w:color="auto" w:fill="auto"/>
            <w:vAlign w:val="bottom"/>
          </w:tcPr>
          <w:p w14:paraId="4AF55089" w14:textId="36FB920B" w:rsidR="00260DED" w:rsidRPr="009262D1" w:rsidRDefault="00260DED" w:rsidP="00260DED">
            <w:pPr>
              <w:jc w:val="center"/>
              <w:rPr>
                <w:highlight w:val="yellow"/>
              </w:rPr>
            </w:pPr>
            <w:r>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401F6CD0" w14:textId="6725503F"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09E47A0" w14:textId="7A0C5E11"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vAlign w:val="center"/>
          </w:tcPr>
          <w:p w14:paraId="232E735C" w14:textId="77777777" w:rsidR="00260DED" w:rsidRPr="00E449EA" w:rsidRDefault="00260DED" w:rsidP="00260DED">
            <w:pPr>
              <w:jc w:val="center"/>
            </w:pPr>
          </w:p>
        </w:tc>
        <w:tc>
          <w:tcPr>
            <w:tcW w:w="930" w:type="dxa"/>
            <w:tcBorders>
              <w:top w:val="single" w:sz="12" w:space="0" w:color="auto"/>
              <w:left w:val="single" w:sz="4" w:space="0" w:color="auto"/>
              <w:bottom w:val="single" w:sz="4" w:space="0" w:color="auto"/>
            </w:tcBorders>
            <w:vAlign w:val="center"/>
          </w:tcPr>
          <w:p w14:paraId="480C46AB" w14:textId="77777777" w:rsidR="00260DED" w:rsidRPr="00E449EA" w:rsidRDefault="00260DED" w:rsidP="00260DED">
            <w:pPr>
              <w:jc w:val="center"/>
            </w:pPr>
            <w:r w:rsidRPr="00E449EA">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9FFFB72" w14:textId="551B1B41" w:rsidR="00260DED" w:rsidRPr="00E449EA" w:rsidRDefault="00260DED" w:rsidP="00260DED">
            <w:pPr>
              <w:jc w:val="center"/>
            </w:pPr>
            <w:r>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0C5DF86B" w14:textId="4A5B3AA0" w:rsidR="00260DED" w:rsidRPr="00E449EA" w:rsidRDefault="00260DED" w:rsidP="00260DED">
            <w:pPr>
              <w:jc w:val="center"/>
            </w:pPr>
            <w:r>
              <w:rPr>
                <w:rFonts w:ascii="Calibri" w:hAnsi="Calibri" w:cs="Calibri"/>
                <w:color w:val="000000"/>
              </w:rPr>
              <w:t>0</w:t>
            </w:r>
          </w:p>
        </w:tc>
        <w:tc>
          <w:tcPr>
            <w:tcW w:w="692" w:type="dxa"/>
            <w:tcBorders>
              <w:top w:val="single" w:sz="8" w:space="0" w:color="auto"/>
              <w:left w:val="nil"/>
              <w:bottom w:val="single" w:sz="4" w:space="0" w:color="auto"/>
              <w:right w:val="single" w:sz="4" w:space="0" w:color="auto"/>
            </w:tcBorders>
            <w:shd w:val="clear" w:color="auto" w:fill="auto"/>
            <w:vAlign w:val="bottom"/>
          </w:tcPr>
          <w:p w14:paraId="0C0FD699" w14:textId="72DDC94D" w:rsidR="00260DED" w:rsidRPr="00E449EA" w:rsidRDefault="00260DED" w:rsidP="00260DED">
            <w:pPr>
              <w:jc w:val="center"/>
            </w:pPr>
            <w:r>
              <w:rPr>
                <w:rFonts w:ascii="Calibri" w:hAnsi="Calibri" w:cs="Calibri"/>
                <w:color w:val="000000"/>
              </w:rPr>
              <w:t>0</w:t>
            </w:r>
          </w:p>
        </w:tc>
        <w:tc>
          <w:tcPr>
            <w:tcW w:w="595" w:type="dxa"/>
            <w:tcBorders>
              <w:top w:val="single" w:sz="8" w:space="0" w:color="auto"/>
              <w:left w:val="nil"/>
              <w:bottom w:val="single" w:sz="4" w:space="0" w:color="auto"/>
              <w:right w:val="single" w:sz="4" w:space="0" w:color="auto"/>
            </w:tcBorders>
            <w:shd w:val="clear" w:color="auto" w:fill="auto"/>
            <w:vAlign w:val="bottom"/>
          </w:tcPr>
          <w:p w14:paraId="56A8681F" w14:textId="7AF62F32" w:rsidR="00260DED" w:rsidRPr="00E449EA" w:rsidRDefault="00260DED" w:rsidP="00260DED">
            <w:pPr>
              <w:jc w:val="center"/>
            </w:pPr>
            <w:r>
              <w:rPr>
                <w:rFonts w:ascii="Calibri" w:hAnsi="Calibri" w:cs="Calibri"/>
                <w:color w:val="000000"/>
              </w:rPr>
              <w:t>0</w:t>
            </w:r>
          </w:p>
        </w:tc>
        <w:tc>
          <w:tcPr>
            <w:tcW w:w="906" w:type="dxa"/>
            <w:tcBorders>
              <w:top w:val="single" w:sz="8" w:space="0" w:color="auto"/>
              <w:left w:val="nil"/>
              <w:bottom w:val="single" w:sz="4" w:space="0" w:color="auto"/>
              <w:right w:val="single" w:sz="8" w:space="0" w:color="auto"/>
            </w:tcBorders>
            <w:shd w:val="clear" w:color="auto" w:fill="auto"/>
            <w:vAlign w:val="bottom"/>
          </w:tcPr>
          <w:p w14:paraId="15AF647A" w14:textId="5575E08D" w:rsidR="00260DED" w:rsidRPr="00E449EA" w:rsidRDefault="00260DED" w:rsidP="00260DED">
            <w:pPr>
              <w:jc w:val="center"/>
            </w:pPr>
            <w:r>
              <w:rPr>
                <w:rFonts w:ascii="Calibri" w:hAnsi="Calibri" w:cs="Calibri"/>
                <w:color w:val="000000"/>
              </w:rPr>
              <w:t>0</w:t>
            </w:r>
          </w:p>
        </w:tc>
        <w:tc>
          <w:tcPr>
            <w:tcW w:w="295" w:type="dxa"/>
            <w:tcBorders>
              <w:top w:val="nil"/>
              <w:left w:val="nil"/>
              <w:bottom w:val="nil"/>
              <w:right w:val="nil"/>
            </w:tcBorders>
            <w:vAlign w:val="center"/>
          </w:tcPr>
          <w:p w14:paraId="04AE4F6D" w14:textId="77777777" w:rsidR="00260DED" w:rsidRPr="00E449EA" w:rsidRDefault="00260DED" w:rsidP="00260DED">
            <w:pPr>
              <w:jc w:val="center"/>
            </w:pPr>
          </w:p>
        </w:tc>
        <w:tc>
          <w:tcPr>
            <w:tcW w:w="932" w:type="dxa"/>
            <w:tcBorders>
              <w:top w:val="single" w:sz="12" w:space="0" w:color="auto"/>
              <w:left w:val="single" w:sz="4" w:space="0" w:color="auto"/>
              <w:bottom w:val="single" w:sz="4" w:space="0" w:color="auto"/>
              <w:right w:val="single" w:sz="12" w:space="0" w:color="auto"/>
            </w:tcBorders>
            <w:vAlign w:val="center"/>
          </w:tcPr>
          <w:p w14:paraId="2E29B76E" w14:textId="77777777" w:rsidR="00260DED" w:rsidRPr="00E449EA" w:rsidRDefault="00260DED" w:rsidP="00260DED">
            <w:pPr>
              <w:jc w:val="center"/>
            </w:pPr>
            <w:r w:rsidRPr="00E449EA">
              <w:rPr>
                <w:sz w:val="14"/>
                <w:szCs w:val="14"/>
              </w:rPr>
              <w:t>Expected</w:t>
            </w:r>
          </w:p>
        </w:tc>
        <w:tc>
          <w:tcPr>
            <w:tcW w:w="630" w:type="dxa"/>
            <w:tcBorders>
              <w:top w:val="single" w:sz="8" w:space="0" w:color="auto"/>
              <w:left w:val="single" w:sz="8" w:space="0" w:color="auto"/>
              <w:bottom w:val="single" w:sz="4" w:space="0" w:color="auto"/>
              <w:right w:val="single" w:sz="4" w:space="0" w:color="auto"/>
            </w:tcBorders>
            <w:shd w:val="clear" w:color="auto" w:fill="auto"/>
            <w:vAlign w:val="bottom"/>
          </w:tcPr>
          <w:p w14:paraId="116EBE98" w14:textId="24956929" w:rsidR="00260DED" w:rsidRPr="00E449EA" w:rsidRDefault="00260DED" w:rsidP="00260DED">
            <w:pPr>
              <w:jc w:val="center"/>
            </w:pPr>
            <w:r>
              <w:rPr>
                <w:rFonts w:ascii="Calibri" w:hAnsi="Calibri" w:cs="Calibri"/>
                <w:color w:val="000000"/>
              </w:rPr>
              <w:t>0</w:t>
            </w:r>
          </w:p>
        </w:tc>
        <w:tc>
          <w:tcPr>
            <w:tcW w:w="540" w:type="dxa"/>
            <w:tcBorders>
              <w:top w:val="single" w:sz="8" w:space="0" w:color="auto"/>
              <w:left w:val="nil"/>
              <w:bottom w:val="single" w:sz="4" w:space="0" w:color="auto"/>
              <w:right w:val="single" w:sz="4" w:space="0" w:color="auto"/>
            </w:tcBorders>
            <w:shd w:val="clear" w:color="auto" w:fill="auto"/>
            <w:vAlign w:val="bottom"/>
          </w:tcPr>
          <w:p w14:paraId="60929992" w14:textId="1EB21656" w:rsidR="00260DED" w:rsidRPr="009262D1" w:rsidRDefault="00260DED" w:rsidP="00260DED">
            <w:pPr>
              <w:jc w:val="center"/>
              <w:rPr>
                <w:highlight w:val="yellow"/>
              </w:rPr>
            </w:pPr>
            <w:r>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69F6BD9D" w14:textId="310FAFB1" w:rsidR="00260DED" w:rsidRDefault="00260DED" w:rsidP="00260DED">
            <w:pPr>
              <w:jc w:val="center"/>
              <w:rPr>
                <w:rFonts w:ascii="Calibri" w:hAnsi="Calibri" w:cs="Calibri"/>
                <w:color w:val="000000"/>
              </w:rPr>
            </w:pPr>
            <w:r>
              <w:rPr>
                <w:rFonts w:ascii="Calibri" w:hAnsi="Calibri" w:cs="Calibri"/>
                <w:color w:val="000000"/>
              </w:rPr>
              <w:t>0</w:t>
            </w:r>
          </w:p>
        </w:tc>
        <w:tc>
          <w:tcPr>
            <w:tcW w:w="690" w:type="dxa"/>
            <w:tcBorders>
              <w:top w:val="single" w:sz="8" w:space="0" w:color="auto"/>
              <w:left w:val="nil"/>
              <w:bottom w:val="single" w:sz="4" w:space="0" w:color="auto"/>
              <w:right w:val="single" w:sz="4" w:space="0" w:color="auto"/>
            </w:tcBorders>
            <w:shd w:val="clear" w:color="auto" w:fill="auto"/>
            <w:vAlign w:val="bottom"/>
          </w:tcPr>
          <w:p w14:paraId="731A5366" w14:textId="7C2911FA" w:rsidR="00260DED" w:rsidRPr="009262D1" w:rsidRDefault="00260DED" w:rsidP="00260DED">
            <w:pPr>
              <w:jc w:val="center"/>
              <w:rPr>
                <w:highlight w:val="yellow"/>
              </w:rPr>
            </w:pPr>
            <w:r>
              <w:rPr>
                <w:rFonts w:ascii="Calibri" w:hAnsi="Calibri" w:cs="Calibri"/>
                <w:color w:val="000000"/>
              </w:rPr>
              <w:t>0</w:t>
            </w:r>
          </w:p>
        </w:tc>
        <w:tc>
          <w:tcPr>
            <w:tcW w:w="595" w:type="dxa"/>
            <w:tcBorders>
              <w:top w:val="single" w:sz="8" w:space="0" w:color="auto"/>
              <w:left w:val="nil"/>
              <w:bottom w:val="single" w:sz="4" w:space="0" w:color="auto"/>
              <w:right w:val="single" w:sz="8" w:space="0" w:color="auto"/>
            </w:tcBorders>
            <w:shd w:val="clear" w:color="auto" w:fill="auto"/>
            <w:vAlign w:val="bottom"/>
          </w:tcPr>
          <w:p w14:paraId="53FE5655" w14:textId="78119DC0"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12" w:space="0" w:color="auto"/>
              <w:left w:val="single" w:sz="4" w:space="0" w:color="auto"/>
              <w:bottom w:val="single" w:sz="4" w:space="0" w:color="auto"/>
              <w:right w:val="single" w:sz="4" w:space="0" w:color="auto"/>
            </w:tcBorders>
            <w:shd w:val="clear" w:color="auto" w:fill="auto"/>
            <w:vAlign w:val="bottom"/>
          </w:tcPr>
          <w:p w14:paraId="5F42D278" w14:textId="26F079FA" w:rsidR="00260DED" w:rsidRPr="009262D1" w:rsidRDefault="00260DED" w:rsidP="00260DED">
            <w:pPr>
              <w:jc w:val="center"/>
              <w:rPr>
                <w:highlight w:val="yellow"/>
              </w:rPr>
            </w:pPr>
            <w:r>
              <w:rPr>
                <w:rFonts w:ascii="Calibri" w:hAnsi="Calibri" w:cs="Calibri"/>
                <w:color w:val="000000"/>
              </w:rPr>
              <w:t>0</w:t>
            </w:r>
          </w:p>
        </w:tc>
      </w:tr>
      <w:tr w:rsidR="00260DED" w:rsidRPr="00F60A9B" w14:paraId="2AA5DCCC" w14:textId="77777777" w:rsidTr="00913A33">
        <w:trPr>
          <w:cantSplit/>
          <w:jc w:val="center"/>
        </w:trPr>
        <w:tc>
          <w:tcPr>
            <w:tcW w:w="900" w:type="dxa"/>
            <w:tcBorders>
              <w:right w:val="single" w:sz="12" w:space="0" w:color="auto"/>
            </w:tcBorders>
            <w:vAlign w:val="center"/>
          </w:tcPr>
          <w:p w14:paraId="5961009F" w14:textId="77777777" w:rsidR="00260DED" w:rsidRPr="005B7BEE" w:rsidRDefault="00260DED" w:rsidP="00260DED">
            <w:pPr>
              <w:rPr>
                <w:sz w:val="14"/>
                <w:szCs w:val="14"/>
              </w:rPr>
            </w:pPr>
            <w:r>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7961BD1C" w14:textId="53DED96B" w:rsidR="00260DED" w:rsidRPr="009262D1" w:rsidRDefault="00260DED" w:rsidP="00260DED">
            <w:pPr>
              <w:jc w:val="center"/>
              <w:rPr>
                <w:highlight w:val="yellow"/>
              </w:rP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35A0C3D9" w14:textId="0631695A" w:rsidR="00260DED" w:rsidRPr="009262D1" w:rsidRDefault="00260DED" w:rsidP="00260DED">
            <w:pPr>
              <w:jc w:val="center"/>
              <w:rPr>
                <w:highlight w:val="yellow"/>
              </w:rP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73862C3A" w14:textId="05DEE0F6"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D5BA973" w14:textId="1E87C4AB" w:rsidR="00260DED" w:rsidRPr="009262D1" w:rsidRDefault="00260DED" w:rsidP="00260DED">
            <w:pPr>
              <w:jc w:val="center"/>
              <w:rPr>
                <w:highlight w:val="yellow"/>
              </w:rP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0808EB3" w14:textId="1CFBB8B9"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vAlign w:val="center"/>
          </w:tcPr>
          <w:p w14:paraId="1EEF2E7D" w14:textId="77777777" w:rsidR="00260DED" w:rsidRPr="00E449EA" w:rsidRDefault="00260DED" w:rsidP="00260DED">
            <w:pPr>
              <w:jc w:val="center"/>
            </w:pPr>
          </w:p>
        </w:tc>
        <w:tc>
          <w:tcPr>
            <w:tcW w:w="930" w:type="dxa"/>
            <w:tcBorders>
              <w:left w:val="single" w:sz="4" w:space="0" w:color="auto"/>
            </w:tcBorders>
            <w:vAlign w:val="center"/>
          </w:tcPr>
          <w:p w14:paraId="58D7337F" w14:textId="77777777" w:rsidR="00260DED" w:rsidRPr="00E449EA" w:rsidRDefault="00260DED" w:rsidP="00260DED">
            <w:pPr>
              <w:jc w:val="center"/>
            </w:pPr>
            <w:r w:rsidRPr="00E449EA">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52DF70EB" w14:textId="44C3C1E3" w:rsidR="00260DED" w:rsidRPr="00E449EA" w:rsidRDefault="00260DED" w:rsidP="00260DED">
            <w:pPr>
              <w:jc w:val="center"/>
            </w:pPr>
            <w:r>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60FBC2C8" w14:textId="6FE42C4B" w:rsidR="00260DED" w:rsidRPr="00E449EA" w:rsidRDefault="00260DED" w:rsidP="00260DED">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356C6393" w14:textId="2C9FF97E" w:rsidR="00260DED" w:rsidRPr="00E449EA" w:rsidRDefault="00260DED" w:rsidP="00260DED">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1A34CDFB" w14:textId="133692BE" w:rsidR="00260DED" w:rsidRPr="00E449EA" w:rsidRDefault="00260DED" w:rsidP="00260DED">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76CEC5E9" w14:textId="62AD04C4" w:rsidR="00260DED" w:rsidRPr="00E449EA" w:rsidRDefault="00260DED" w:rsidP="00260DED">
            <w:pPr>
              <w:jc w:val="center"/>
            </w:pPr>
            <w:r>
              <w:rPr>
                <w:rFonts w:ascii="Calibri" w:hAnsi="Calibri" w:cs="Calibri"/>
                <w:color w:val="000000"/>
              </w:rPr>
              <w:t>0</w:t>
            </w:r>
          </w:p>
        </w:tc>
        <w:tc>
          <w:tcPr>
            <w:tcW w:w="295" w:type="dxa"/>
            <w:tcBorders>
              <w:top w:val="nil"/>
              <w:left w:val="nil"/>
              <w:bottom w:val="nil"/>
              <w:right w:val="nil"/>
            </w:tcBorders>
            <w:vAlign w:val="center"/>
          </w:tcPr>
          <w:p w14:paraId="758B7088" w14:textId="77777777" w:rsidR="00260DED" w:rsidRPr="00E449EA" w:rsidRDefault="00260DED" w:rsidP="00260DED">
            <w:pPr>
              <w:jc w:val="center"/>
            </w:pPr>
          </w:p>
        </w:tc>
        <w:tc>
          <w:tcPr>
            <w:tcW w:w="932" w:type="dxa"/>
            <w:tcBorders>
              <w:left w:val="single" w:sz="4" w:space="0" w:color="auto"/>
              <w:right w:val="single" w:sz="12" w:space="0" w:color="auto"/>
            </w:tcBorders>
            <w:vAlign w:val="center"/>
          </w:tcPr>
          <w:p w14:paraId="0168F909" w14:textId="77777777" w:rsidR="00260DED" w:rsidRPr="00E449EA" w:rsidRDefault="00260DED" w:rsidP="00260DED">
            <w:pPr>
              <w:jc w:val="center"/>
            </w:pPr>
            <w:r w:rsidRPr="00E449EA">
              <w:rPr>
                <w:sz w:val="14"/>
                <w:szCs w:val="14"/>
              </w:rPr>
              <w:t>Often</w:t>
            </w:r>
          </w:p>
        </w:tc>
        <w:tc>
          <w:tcPr>
            <w:tcW w:w="630" w:type="dxa"/>
            <w:tcBorders>
              <w:top w:val="nil"/>
              <w:left w:val="single" w:sz="8" w:space="0" w:color="auto"/>
              <w:bottom w:val="single" w:sz="4" w:space="0" w:color="auto"/>
              <w:right w:val="single" w:sz="4" w:space="0" w:color="auto"/>
            </w:tcBorders>
            <w:shd w:val="clear" w:color="auto" w:fill="auto"/>
            <w:vAlign w:val="bottom"/>
          </w:tcPr>
          <w:p w14:paraId="332689D7" w14:textId="17F445F9" w:rsidR="00260DED" w:rsidRPr="00E449EA" w:rsidRDefault="00260DED" w:rsidP="00260DED">
            <w:pPr>
              <w:jc w:val="center"/>
            </w:pPr>
            <w:r>
              <w:rPr>
                <w:rFonts w:ascii="Calibri" w:hAnsi="Calibri" w:cs="Calibri"/>
                <w:color w:val="000000"/>
              </w:rPr>
              <w:t>1</w:t>
            </w:r>
          </w:p>
        </w:tc>
        <w:tc>
          <w:tcPr>
            <w:tcW w:w="540" w:type="dxa"/>
            <w:tcBorders>
              <w:top w:val="nil"/>
              <w:left w:val="nil"/>
              <w:bottom w:val="single" w:sz="4" w:space="0" w:color="auto"/>
              <w:right w:val="single" w:sz="4" w:space="0" w:color="auto"/>
            </w:tcBorders>
            <w:shd w:val="clear" w:color="auto" w:fill="auto"/>
            <w:vAlign w:val="bottom"/>
          </w:tcPr>
          <w:p w14:paraId="6882C017" w14:textId="097A8725" w:rsidR="00260DED" w:rsidRPr="009262D1" w:rsidRDefault="00260DED" w:rsidP="00260DED">
            <w:pPr>
              <w:jc w:val="center"/>
              <w:rPr>
                <w:highlight w:val="yellow"/>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FABC83C" w14:textId="3C9F5E13" w:rsidR="00260DED" w:rsidRDefault="00260DED" w:rsidP="00260DED">
            <w:pPr>
              <w:jc w:val="center"/>
              <w:rPr>
                <w:rFonts w:ascii="Calibri" w:hAnsi="Calibri" w:cs="Calibri"/>
                <w:color w:val="000000"/>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7B102687" w14:textId="25CA59FA"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35A30E6B" w14:textId="66FF82D0"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4B6CDEA2" w14:textId="1068E0A8" w:rsidR="00260DED" w:rsidRPr="009262D1" w:rsidRDefault="00260DED" w:rsidP="00260DED">
            <w:pPr>
              <w:jc w:val="center"/>
              <w:rPr>
                <w:highlight w:val="yellow"/>
              </w:rPr>
            </w:pPr>
            <w:r>
              <w:rPr>
                <w:rFonts w:ascii="Calibri" w:hAnsi="Calibri" w:cs="Calibri"/>
                <w:color w:val="000000"/>
              </w:rPr>
              <w:t>1</w:t>
            </w:r>
          </w:p>
        </w:tc>
      </w:tr>
      <w:tr w:rsidR="00260DED" w:rsidRPr="00F60A9B" w14:paraId="39089C62" w14:textId="77777777" w:rsidTr="00913A33">
        <w:trPr>
          <w:cantSplit/>
          <w:jc w:val="center"/>
        </w:trPr>
        <w:tc>
          <w:tcPr>
            <w:tcW w:w="900" w:type="dxa"/>
            <w:tcBorders>
              <w:top w:val="single" w:sz="4" w:space="0" w:color="auto"/>
              <w:right w:val="single" w:sz="12" w:space="0" w:color="auto"/>
            </w:tcBorders>
            <w:vAlign w:val="center"/>
          </w:tcPr>
          <w:p w14:paraId="38143FD3" w14:textId="77777777" w:rsidR="00260DED" w:rsidRPr="005B7BEE" w:rsidRDefault="00260DED" w:rsidP="00260DED">
            <w:pPr>
              <w:rPr>
                <w:sz w:val="14"/>
                <w:szCs w:val="14"/>
              </w:rPr>
            </w:pPr>
            <w:r w:rsidRPr="005B7BEE">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7BE14097" w14:textId="5E36673F" w:rsidR="00260DED" w:rsidRPr="009262D1" w:rsidRDefault="00260DED" w:rsidP="00260DED">
            <w:pPr>
              <w:jc w:val="center"/>
              <w:rPr>
                <w:highlight w:val="yellow"/>
              </w:rP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B77D0E0" w14:textId="3FBCD2B0" w:rsidR="00260DED" w:rsidRPr="009262D1" w:rsidRDefault="00260DED" w:rsidP="00260DED">
            <w:pPr>
              <w:jc w:val="center"/>
              <w:rPr>
                <w:highlight w:val="yellow"/>
              </w:rP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0E94EA22" w14:textId="69E389B5"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01E6DC25" w14:textId="3FC38F5F" w:rsidR="00260DED" w:rsidRPr="009262D1" w:rsidRDefault="00260DED" w:rsidP="00260DED">
            <w:pPr>
              <w:jc w:val="center"/>
              <w:rPr>
                <w:highlight w:val="yellow"/>
              </w:rP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09816FD" w14:textId="1BE34CE7"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tcMar>
              <w:left w:w="72" w:type="dxa"/>
              <w:right w:w="115" w:type="dxa"/>
            </w:tcMar>
            <w:vAlign w:val="center"/>
          </w:tcPr>
          <w:p w14:paraId="35B6AD72" w14:textId="77777777" w:rsidR="00260DED" w:rsidRPr="00E449EA" w:rsidRDefault="00260DED" w:rsidP="00260DED">
            <w:r w:rsidRPr="00E449EA">
              <w:rPr>
                <w:rFonts w:ascii="Cambria Math" w:hAnsi="Cambria Math"/>
              </w:rPr>
              <w:t xml:space="preserve">⋃    </w:t>
            </w:r>
          </w:p>
        </w:tc>
        <w:tc>
          <w:tcPr>
            <w:tcW w:w="930" w:type="dxa"/>
            <w:tcBorders>
              <w:top w:val="single" w:sz="4" w:space="0" w:color="auto"/>
              <w:left w:val="single" w:sz="4" w:space="0" w:color="auto"/>
            </w:tcBorders>
            <w:vAlign w:val="center"/>
          </w:tcPr>
          <w:p w14:paraId="3C28CE79" w14:textId="77777777" w:rsidR="00260DED" w:rsidRPr="00E449EA" w:rsidRDefault="00260DED" w:rsidP="00260DED">
            <w:pPr>
              <w:jc w:val="center"/>
            </w:pPr>
            <w:r w:rsidRPr="00E449EA">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0485CC8E" w14:textId="725651C2"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C0519D6" w14:textId="22BD1547" w:rsidR="00260DED" w:rsidRPr="00E449EA" w:rsidRDefault="00260DED" w:rsidP="00260DED">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0ABCEDB4" w14:textId="777192B2" w:rsidR="00260DED" w:rsidRPr="00E449EA" w:rsidRDefault="00260DED" w:rsidP="00260DED">
            <w:pPr>
              <w:jc w:val="center"/>
            </w:pPr>
            <w:r>
              <w:rPr>
                <w:rFonts w:ascii="Calibri" w:hAnsi="Calibri" w:cs="Calibri"/>
                <w:color w:val="000000"/>
              </w:rPr>
              <w:t>1</w:t>
            </w:r>
          </w:p>
        </w:tc>
        <w:tc>
          <w:tcPr>
            <w:tcW w:w="595" w:type="dxa"/>
            <w:tcBorders>
              <w:top w:val="nil"/>
              <w:left w:val="nil"/>
              <w:bottom w:val="single" w:sz="4" w:space="0" w:color="auto"/>
              <w:right w:val="single" w:sz="4" w:space="0" w:color="auto"/>
            </w:tcBorders>
            <w:shd w:val="clear" w:color="auto" w:fill="auto"/>
            <w:vAlign w:val="bottom"/>
          </w:tcPr>
          <w:p w14:paraId="0CF7C665" w14:textId="699F8535" w:rsidR="00260DED" w:rsidRPr="00E449EA" w:rsidRDefault="00260DED" w:rsidP="00260DED">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1882C66B" w14:textId="76F6ED77" w:rsidR="00260DED" w:rsidRPr="00E449EA" w:rsidRDefault="00260DED" w:rsidP="00260DED">
            <w:pPr>
              <w:jc w:val="center"/>
            </w:pPr>
            <w:r>
              <w:rPr>
                <w:rFonts w:ascii="Calibri" w:hAnsi="Calibri" w:cs="Calibri"/>
                <w:color w:val="000000"/>
              </w:rPr>
              <w:t>0</w:t>
            </w:r>
          </w:p>
        </w:tc>
        <w:tc>
          <w:tcPr>
            <w:tcW w:w="295" w:type="dxa"/>
            <w:tcBorders>
              <w:top w:val="nil"/>
              <w:left w:val="nil"/>
              <w:bottom w:val="nil"/>
              <w:right w:val="nil"/>
            </w:tcBorders>
            <w:tcMar>
              <w:left w:w="72" w:type="dxa"/>
              <w:right w:w="115" w:type="dxa"/>
            </w:tcMar>
            <w:vAlign w:val="center"/>
          </w:tcPr>
          <w:p w14:paraId="6C02B369" w14:textId="77777777" w:rsidR="00260DED" w:rsidRPr="00E449EA" w:rsidRDefault="00260DED" w:rsidP="00260DED">
            <w:pPr>
              <w:jc w:val="center"/>
            </w:pPr>
            <w:r w:rsidRPr="00E449EA">
              <w:t>=</w:t>
            </w:r>
          </w:p>
        </w:tc>
        <w:tc>
          <w:tcPr>
            <w:tcW w:w="932" w:type="dxa"/>
            <w:tcBorders>
              <w:top w:val="single" w:sz="4" w:space="0" w:color="auto"/>
              <w:left w:val="single" w:sz="4" w:space="0" w:color="auto"/>
              <w:right w:val="single" w:sz="12" w:space="0" w:color="auto"/>
            </w:tcBorders>
            <w:vAlign w:val="center"/>
          </w:tcPr>
          <w:p w14:paraId="3EA9BA5B" w14:textId="77777777" w:rsidR="00260DED" w:rsidRPr="00E449EA" w:rsidRDefault="00260DED" w:rsidP="00260DED">
            <w:pPr>
              <w:jc w:val="center"/>
            </w:pPr>
            <w:r w:rsidRPr="00E449EA">
              <w:rPr>
                <w:sz w:val="14"/>
                <w:szCs w:val="14"/>
              </w:rPr>
              <w:t>Frequent</w:t>
            </w:r>
          </w:p>
        </w:tc>
        <w:tc>
          <w:tcPr>
            <w:tcW w:w="630" w:type="dxa"/>
            <w:tcBorders>
              <w:top w:val="nil"/>
              <w:left w:val="single" w:sz="8" w:space="0" w:color="auto"/>
              <w:bottom w:val="single" w:sz="4" w:space="0" w:color="auto"/>
              <w:right w:val="single" w:sz="4" w:space="0" w:color="auto"/>
            </w:tcBorders>
            <w:shd w:val="clear" w:color="auto" w:fill="auto"/>
            <w:vAlign w:val="bottom"/>
          </w:tcPr>
          <w:p w14:paraId="105F0E9A" w14:textId="035519BF"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9BFDFBF" w14:textId="35ECC094" w:rsidR="00260DED" w:rsidRPr="009262D1" w:rsidRDefault="00260DED" w:rsidP="00260DED">
            <w:pPr>
              <w:jc w:val="center"/>
              <w:rPr>
                <w:highlight w:val="yellow"/>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36027EDB" w14:textId="56A4BB2A" w:rsidR="00260DED" w:rsidRDefault="00260DED" w:rsidP="00260DED">
            <w:pPr>
              <w:jc w:val="center"/>
              <w:rPr>
                <w:rFonts w:ascii="Calibri" w:hAnsi="Calibri" w:cs="Calibri"/>
                <w:color w:val="000000"/>
              </w:rPr>
            </w:pPr>
            <w:r>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40F765E6" w14:textId="768F0AB8"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6E0CF547" w14:textId="25BEFA24"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022AA500" w14:textId="1DBDDA5E" w:rsidR="00260DED" w:rsidRPr="009262D1" w:rsidRDefault="00260DED" w:rsidP="00260DED">
            <w:pPr>
              <w:jc w:val="center"/>
              <w:rPr>
                <w:highlight w:val="yellow"/>
              </w:rPr>
            </w:pPr>
            <w:r>
              <w:rPr>
                <w:rFonts w:ascii="Calibri" w:hAnsi="Calibri" w:cs="Calibri"/>
                <w:color w:val="000000"/>
              </w:rPr>
              <w:t>0</w:t>
            </w:r>
          </w:p>
        </w:tc>
      </w:tr>
      <w:tr w:rsidR="00260DED" w:rsidRPr="00F60A9B" w14:paraId="4DDF0BB1" w14:textId="77777777" w:rsidTr="00913A33">
        <w:trPr>
          <w:cantSplit/>
          <w:jc w:val="center"/>
        </w:trPr>
        <w:tc>
          <w:tcPr>
            <w:tcW w:w="900" w:type="dxa"/>
            <w:tcBorders>
              <w:right w:val="single" w:sz="12" w:space="0" w:color="auto"/>
            </w:tcBorders>
            <w:vAlign w:val="center"/>
          </w:tcPr>
          <w:p w14:paraId="1A643BF7" w14:textId="77777777" w:rsidR="00260DED" w:rsidRPr="005B7BEE" w:rsidRDefault="00260DED" w:rsidP="00260DED">
            <w:pPr>
              <w:rPr>
                <w:sz w:val="14"/>
                <w:szCs w:val="14"/>
              </w:rPr>
            </w:pPr>
            <w:r w:rsidRPr="005B7BEE">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125D2D7A" w14:textId="6D71647E" w:rsidR="00260DED" w:rsidRPr="009262D1" w:rsidRDefault="00260DED" w:rsidP="00260DED">
            <w:pPr>
              <w:jc w:val="center"/>
              <w:rPr>
                <w:highlight w:val="yellow"/>
              </w:rP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BA66462" w14:textId="724D8676" w:rsidR="00260DED" w:rsidRPr="009262D1" w:rsidRDefault="00260DED" w:rsidP="00260DED">
            <w:pPr>
              <w:jc w:val="center"/>
              <w:rPr>
                <w:highlight w:val="yellow"/>
              </w:rP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5965CCE1" w14:textId="75A28863"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3171C64E" w14:textId="67D67681" w:rsidR="00260DED" w:rsidRPr="009262D1" w:rsidRDefault="00260DED" w:rsidP="00260DED">
            <w:pPr>
              <w:jc w:val="center"/>
              <w:rPr>
                <w:highlight w:val="yellow"/>
              </w:rP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74D16DC2" w14:textId="2458199D"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vAlign w:val="center"/>
          </w:tcPr>
          <w:p w14:paraId="216C99FF" w14:textId="77777777" w:rsidR="00260DED" w:rsidRPr="00E449EA" w:rsidRDefault="00260DED" w:rsidP="00260DED">
            <w:pPr>
              <w:jc w:val="center"/>
            </w:pPr>
          </w:p>
        </w:tc>
        <w:tc>
          <w:tcPr>
            <w:tcW w:w="930" w:type="dxa"/>
            <w:tcBorders>
              <w:left w:val="single" w:sz="4" w:space="0" w:color="auto"/>
            </w:tcBorders>
            <w:vAlign w:val="center"/>
          </w:tcPr>
          <w:p w14:paraId="5E5CA27A" w14:textId="77777777" w:rsidR="00260DED" w:rsidRPr="00E449EA" w:rsidRDefault="00260DED" w:rsidP="00260DED">
            <w:pPr>
              <w:jc w:val="center"/>
            </w:pPr>
            <w:r w:rsidRPr="00E449EA">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22D2102B" w14:textId="0E582637"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6FC30009" w14:textId="3CD5536C" w:rsidR="00260DED" w:rsidRPr="00E449EA" w:rsidRDefault="00260DED" w:rsidP="00260DED">
            <w:pPr>
              <w:jc w:val="center"/>
            </w:pPr>
            <w:r>
              <w:rPr>
                <w:rFonts w:ascii="Calibri" w:hAnsi="Calibri" w:cs="Calibri"/>
                <w:color w:val="000000"/>
              </w:rPr>
              <w:t>1</w:t>
            </w:r>
          </w:p>
        </w:tc>
        <w:tc>
          <w:tcPr>
            <w:tcW w:w="692" w:type="dxa"/>
            <w:tcBorders>
              <w:top w:val="nil"/>
              <w:left w:val="nil"/>
              <w:bottom w:val="single" w:sz="4" w:space="0" w:color="auto"/>
              <w:right w:val="single" w:sz="4" w:space="0" w:color="auto"/>
            </w:tcBorders>
            <w:shd w:val="clear" w:color="auto" w:fill="auto"/>
            <w:vAlign w:val="bottom"/>
          </w:tcPr>
          <w:p w14:paraId="26E53EE0" w14:textId="6FA37E02" w:rsidR="00260DED" w:rsidRPr="00E449EA" w:rsidRDefault="00260DED" w:rsidP="00260DED">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43A9D68A" w14:textId="425E2C7D" w:rsidR="00260DED" w:rsidRPr="00E449EA" w:rsidRDefault="00260DED" w:rsidP="00260DED">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65984AB1" w14:textId="1BEC17FE" w:rsidR="00260DED" w:rsidRPr="00E449EA" w:rsidRDefault="00260DED" w:rsidP="00260DED">
            <w:pPr>
              <w:jc w:val="center"/>
            </w:pPr>
            <w:r>
              <w:rPr>
                <w:rFonts w:ascii="Calibri" w:hAnsi="Calibri" w:cs="Calibri"/>
                <w:color w:val="000000"/>
              </w:rPr>
              <w:t>1</w:t>
            </w:r>
          </w:p>
        </w:tc>
        <w:tc>
          <w:tcPr>
            <w:tcW w:w="295" w:type="dxa"/>
            <w:tcBorders>
              <w:top w:val="nil"/>
              <w:left w:val="nil"/>
              <w:bottom w:val="nil"/>
              <w:right w:val="nil"/>
            </w:tcBorders>
            <w:vAlign w:val="center"/>
          </w:tcPr>
          <w:p w14:paraId="1E764AFC" w14:textId="77777777" w:rsidR="00260DED" w:rsidRPr="00E449EA" w:rsidRDefault="00260DED" w:rsidP="00260DED">
            <w:pPr>
              <w:jc w:val="center"/>
            </w:pPr>
          </w:p>
        </w:tc>
        <w:tc>
          <w:tcPr>
            <w:tcW w:w="932" w:type="dxa"/>
            <w:tcBorders>
              <w:left w:val="single" w:sz="4" w:space="0" w:color="auto"/>
              <w:right w:val="single" w:sz="12" w:space="0" w:color="auto"/>
            </w:tcBorders>
            <w:vAlign w:val="center"/>
          </w:tcPr>
          <w:p w14:paraId="3B27617D" w14:textId="77777777" w:rsidR="00260DED" w:rsidRPr="00E449EA" w:rsidRDefault="00260DED" w:rsidP="00260DED">
            <w:pPr>
              <w:jc w:val="center"/>
            </w:pPr>
            <w:r w:rsidRPr="00E449EA">
              <w:rPr>
                <w:sz w:val="14"/>
                <w:szCs w:val="14"/>
              </w:rPr>
              <w:t>Probable</w:t>
            </w:r>
          </w:p>
        </w:tc>
        <w:tc>
          <w:tcPr>
            <w:tcW w:w="630" w:type="dxa"/>
            <w:tcBorders>
              <w:top w:val="nil"/>
              <w:left w:val="single" w:sz="8" w:space="0" w:color="auto"/>
              <w:bottom w:val="single" w:sz="4" w:space="0" w:color="auto"/>
              <w:right w:val="single" w:sz="4" w:space="0" w:color="auto"/>
            </w:tcBorders>
            <w:shd w:val="clear" w:color="auto" w:fill="auto"/>
            <w:vAlign w:val="bottom"/>
          </w:tcPr>
          <w:p w14:paraId="70D3DE3C" w14:textId="48B7B086"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0B019E3C" w14:textId="5EFEC134" w:rsidR="00260DED" w:rsidRPr="009262D1" w:rsidRDefault="00260DED" w:rsidP="00260DED">
            <w:pPr>
              <w:jc w:val="center"/>
              <w:rPr>
                <w:highlight w:val="yellow"/>
              </w:rPr>
            </w:pPr>
            <w:r>
              <w:rPr>
                <w:rFonts w:ascii="Calibri" w:hAnsi="Calibri" w:cs="Calibri"/>
                <w:color w:val="000000"/>
              </w:rPr>
              <w:t>1</w:t>
            </w:r>
          </w:p>
        </w:tc>
        <w:tc>
          <w:tcPr>
            <w:tcW w:w="690" w:type="dxa"/>
            <w:tcBorders>
              <w:top w:val="nil"/>
              <w:left w:val="nil"/>
              <w:bottom w:val="single" w:sz="4" w:space="0" w:color="auto"/>
              <w:right w:val="single" w:sz="4" w:space="0" w:color="auto"/>
            </w:tcBorders>
            <w:shd w:val="clear" w:color="auto" w:fill="auto"/>
            <w:vAlign w:val="bottom"/>
          </w:tcPr>
          <w:p w14:paraId="035AE45E" w14:textId="6E46C240" w:rsidR="00260DED" w:rsidRDefault="00260DED" w:rsidP="00260DED">
            <w:pPr>
              <w:jc w:val="center"/>
              <w:rPr>
                <w:rFonts w:ascii="Calibri" w:hAnsi="Calibri" w:cs="Calibri"/>
                <w:color w:val="000000"/>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58200FC7" w14:textId="5DDB9D02"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610A3708" w14:textId="599702D7" w:rsidR="00260DED" w:rsidRPr="009262D1" w:rsidRDefault="00260DED" w:rsidP="00260DED">
            <w:pPr>
              <w:jc w:val="center"/>
              <w:rPr>
                <w:highlight w:val="yellow"/>
              </w:rPr>
            </w:pPr>
            <w:r>
              <w:rPr>
                <w:rFonts w:ascii="Calibri" w:hAnsi="Calibri" w:cs="Calibri"/>
                <w:color w:val="000000"/>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FEE23C4" w14:textId="1848D54C" w:rsidR="00260DED" w:rsidRPr="009262D1" w:rsidRDefault="00260DED" w:rsidP="00260DED">
            <w:pPr>
              <w:jc w:val="center"/>
              <w:rPr>
                <w:highlight w:val="yellow"/>
              </w:rPr>
            </w:pPr>
            <w:r>
              <w:rPr>
                <w:rFonts w:ascii="Calibri" w:hAnsi="Calibri" w:cs="Calibri"/>
                <w:color w:val="000000"/>
              </w:rPr>
              <w:t>0</w:t>
            </w:r>
          </w:p>
        </w:tc>
      </w:tr>
      <w:tr w:rsidR="00260DED" w:rsidRPr="00F60A9B" w14:paraId="0476EF19" w14:textId="77777777" w:rsidTr="00913A33">
        <w:trPr>
          <w:cantSplit/>
          <w:jc w:val="center"/>
        </w:trPr>
        <w:tc>
          <w:tcPr>
            <w:tcW w:w="900" w:type="dxa"/>
            <w:tcBorders>
              <w:right w:val="single" w:sz="12" w:space="0" w:color="auto"/>
            </w:tcBorders>
            <w:vAlign w:val="center"/>
          </w:tcPr>
          <w:p w14:paraId="00D057F3" w14:textId="77777777" w:rsidR="00260DED" w:rsidRPr="005B7BEE" w:rsidRDefault="00260DED" w:rsidP="00260DED">
            <w:pPr>
              <w:rPr>
                <w:sz w:val="14"/>
                <w:szCs w:val="14"/>
              </w:rPr>
            </w:pPr>
            <w:r w:rsidRPr="005B7BEE">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53CAC62A" w14:textId="1737B035" w:rsidR="00260DED" w:rsidRPr="009262D1" w:rsidRDefault="00260DED" w:rsidP="00260DED">
            <w:pPr>
              <w:jc w:val="center"/>
              <w:rPr>
                <w:highlight w:val="yellow"/>
              </w:rP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25211EA4" w14:textId="2A2815EB" w:rsidR="00260DED" w:rsidRPr="009262D1" w:rsidRDefault="00260DED" w:rsidP="00260DED">
            <w:pPr>
              <w:jc w:val="center"/>
              <w:rPr>
                <w:highlight w:val="yellow"/>
              </w:rP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02A12F4E" w14:textId="75CC042C"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A07FE0" w14:textId="6F8F7A15" w:rsidR="00260DED" w:rsidRPr="009262D1" w:rsidRDefault="00260DED" w:rsidP="00260DED">
            <w:pPr>
              <w:jc w:val="center"/>
              <w:rPr>
                <w:highlight w:val="yellow"/>
              </w:rP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3456AB97" w14:textId="5D753867"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vAlign w:val="center"/>
          </w:tcPr>
          <w:p w14:paraId="7C0189F5" w14:textId="77777777" w:rsidR="00260DED" w:rsidRPr="00E449EA" w:rsidRDefault="00260DED" w:rsidP="00260DED">
            <w:pPr>
              <w:jc w:val="center"/>
            </w:pPr>
          </w:p>
        </w:tc>
        <w:tc>
          <w:tcPr>
            <w:tcW w:w="930" w:type="dxa"/>
            <w:tcBorders>
              <w:left w:val="single" w:sz="4" w:space="0" w:color="auto"/>
            </w:tcBorders>
            <w:vAlign w:val="center"/>
          </w:tcPr>
          <w:p w14:paraId="62166E7E" w14:textId="77777777" w:rsidR="00260DED" w:rsidRPr="00E449EA" w:rsidRDefault="00260DED" w:rsidP="00260DED">
            <w:pPr>
              <w:jc w:val="center"/>
            </w:pPr>
            <w:r w:rsidRPr="00E449EA">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1199C698" w14:textId="6BF60E9B"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364817F" w14:textId="31423ED4" w:rsidR="00260DED" w:rsidRPr="00E449EA" w:rsidRDefault="00260DED" w:rsidP="00260DED">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51C8BB87" w14:textId="6E3B72C6" w:rsidR="00260DED" w:rsidRPr="00E449EA" w:rsidRDefault="00260DED" w:rsidP="00260DED">
            <w:pPr>
              <w:jc w:val="center"/>
            </w:pPr>
            <w:r>
              <w:rPr>
                <w:rFonts w:ascii="Calibri" w:hAnsi="Calibri" w:cs="Calibri"/>
                <w:color w:val="000000"/>
              </w:rPr>
              <w:t>2</w:t>
            </w:r>
          </w:p>
        </w:tc>
        <w:tc>
          <w:tcPr>
            <w:tcW w:w="595" w:type="dxa"/>
            <w:tcBorders>
              <w:top w:val="nil"/>
              <w:left w:val="nil"/>
              <w:bottom w:val="single" w:sz="4" w:space="0" w:color="auto"/>
              <w:right w:val="single" w:sz="4" w:space="0" w:color="auto"/>
            </w:tcBorders>
            <w:shd w:val="clear" w:color="auto" w:fill="auto"/>
            <w:vAlign w:val="bottom"/>
          </w:tcPr>
          <w:p w14:paraId="1CCF1472" w14:textId="4C3050B0" w:rsidR="00260DED" w:rsidRPr="00E449EA" w:rsidRDefault="00260DED" w:rsidP="00260DED">
            <w:pPr>
              <w:jc w:val="cente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4F500A31" w14:textId="78F31C8C" w:rsidR="00260DED" w:rsidRPr="00E449EA" w:rsidRDefault="00260DED" w:rsidP="00260DED">
            <w:pPr>
              <w:jc w:val="center"/>
            </w:pPr>
            <w:r>
              <w:rPr>
                <w:rFonts w:ascii="Calibri" w:hAnsi="Calibri" w:cs="Calibri"/>
                <w:color w:val="000000"/>
              </w:rPr>
              <w:t>0</w:t>
            </w:r>
          </w:p>
        </w:tc>
        <w:tc>
          <w:tcPr>
            <w:tcW w:w="295" w:type="dxa"/>
            <w:tcBorders>
              <w:top w:val="nil"/>
              <w:left w:val="nil"/>
              <w:bottom w:val="nil"/>
              <w:right w:val="nil"/>
            </w:tcBorders>
            <w:vAlign w:val="center"/>
          </w:tcPr>
          <w:p w14:paraId="4CA3DD28" w14:textId="77777777" w:rsidR="00260DED" w:rsidRPr="00E449EA" w:rsidRDefault="00260DED" w:rsidP="00260DED">
            <w:pPr>
              <w:jc w:val="center"/>
            </w:pPr>
          </w:p>
        </w:tc>
        <w:tc>
          <w:tcPr>
            <w:tcW w:w="932" w:type="dxa"/>
            <w:tcBorders>
              <w:left w:val="single" w:sz="4" w:space="0" w:color="auto"/>
              <w:right w:val="single" w:sz="12" w:space="0" w:color="auto"/>
            </w:tcBorders>
            <w:vAlign w:val="center"/>
          </w:tcPr>
          <w:p w14:paraId="45681BD3" w14:textId="77777777" w:rsidR="00260DED" w:rsidRPr="00E449EA" w:rsidRDefault="00260DED" w:rsidP="00260DED">
            <w:pPr>
              <w:jc w:val="center"/>
            </w:pPr>
            <w:r w:rsidRPr="00E449EA">
              <w:rPr>
                <w:sz w:val="14"/>
                <w:szCs w:val="14"/>
              </w:rPr>
              <w:t>Occasional</w:t>
            </w:r>
          </w:p>
        </w:tc>
        <w:tc>
          <w:tcPr>
            <w:tcW w:w="630" w:type="dxa"/>
            <w:tcBorders>
              <w:top w:val="nil"/>
              <w:left w:val="single" w:sz="8" w:space="0" w:color="auto"/>
              <w:bottom w:val="single" w:sz="4" w:space="0" w:color="auto"/>
              <w:right w:val="single" w:sz="4" w:space="0" w:color="auto"/>
            </w:tcBorders>
            <w:shd w:val="clear" w:color="auto" w:fill="auto"/>
            <w:vAlign w:val="bottom"/>
          </w:tcPr>
          <w:p w14:paraId="460054C1" w14:textId="7C7CFBF4"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5C0478F" w14:textId="20A26BC5" w:rsidR="00260DED" w:rsidRPr="009262D1" w:rsidRDefault="00260DED" w:rsidP="00260DED">
            <w:pPr>
              <w:jc w:val="center"/>
              <w:rPr>
                <w:highlight w:val="yellow"/>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478647DD" w14:textId="120D393D" w:rsidR="00260DED" w:rsidRDefault="00260DED" w:rsidP="00260DED">
            <w:pPr>
              <w:jc w:val="center"/>
              <w:rPr>
                <w:rFonts w:ascii="Calibri" w:hAnsi="Calibri" w:cs="Calibri"/>
                <w:color w:val="000000"/>
              </w:rPr>
            </w:pPr>
            <w:r>
              <w:rPr>
                <w:rFonts w:ascii="Calibri" w:hAnsi="Calibri" w:cs="Calibri"/>
                <w:color w:val="000000"/>
              </w:rPr>
              <w:t>2</w:t>
            </w:r>
          </w:p>
        </w:tc>
        <w:tc>
          <w:tcPr>
            <w:tcW w:w="690" w:type="dxa"/>
            <w:tcBorders>
              <w:top w:val="nil"/>
              <w:left w:val="nil"/>
              <w:bottom w:val="single" w:sz="4" w:space="0" w:color="auto"/>
              <w:right w:val="single" w:sz="4" w:space="0" w:color="auto"/>
            </w:tcBorders>
            <w:shd w:val="clear" w:color="auto" w:fill="auto"/>
            <w:vAlign w:val="bottom"/>
          </w:tcPr>
          <w:p w14:paraId="0C85EB74" w14:textId="27EACA13"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8" w:space="0" w:color="auto"/>
            </w:tcBorders>
            <w:shd w:val="clear" w:color="auto" w:fill="auto"/>
            <w:vAlign w:val="bottom"/>
          </w:tcPr>
          <w:p w14:paraId="08A684F4" w14:textId="28E60D25"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774746E0" w14:textId="7AA00F88" w:rsidR="00260DED" w:rsidRPr="009262D1" w:rsidRDefault="00260DED" w:rsidP="00260DED">
            <w:pPr>
              <w:jc w:val="center"/>
              <w:rPr>
                <w:highlight w:val="yellow"/>
              </w:rPr>
            </w:pPr>
            <w:r>
              <w:rPr>
                <w:rFonts w:ascii="Calibri" w:hAnsi="Calibri" w:cs="Calibri"/>
                <w:color w:val="000000"/>
              </w:rPr>
              <w:t>0</w:t>
            </w:r>
          </w:p>
        </w:tc>
      </w:tr>
      <w:tr w:rsidR="00260DED" w:rsidRPr="00F60A9B" w14:paraId="3752705E" w14:textId="77777777" w:rsidTr="00913A33">
        <w:trPr>
          <w:cantSplit/>
          <w:jc w:val="center"/>
        </w:trPr>
        <w:tc>
          <w:tcPr>
            <w:tcW w:w="900" w:type="dxa"/>
            <w:tcBorders>
              <w:right w:val="single" w:sz="12" w:space="0" w:color="auto"/>
            </w:tcBorders>
            <w:vAlign w:val="center"/>
          </w:tcPr>
          <w:p w14:paraId="61BF3EF6" w14:textId="77777777" w:rsidR="00260DED" w:rsidRPr="005B7BEE" w:rsidRDefault="00260DED" w:rsidP="00260DED">
            <w:pPr>
              <w:rPr>
                <w:sz w:val="14"/>
                <w:szCs w:val="14"/>
              </w:rPr>
            </w:pPr>
            <w:r w:rsidRPr="005B7BEE">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00DF5C02" w14:textId="5B29ABEC" w:rsidR="00260DED" w:rsidRPr="009262D1" w:rsidRDefault="00260DED" w:rsidP="00260DED">
            <w:pPr>
              <w:jc w:val="center"/>
              <w:rPr>
                <w:highlight w:val="yellow"/>
              </w:rP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3D956C7" w14:textId="121CFC2D" w:rsidR="00260DED" w:rsidRPr="009262D1" w:rsidRDefault="00260DED" w:rsidP="00260DED">
            <w:pPr>
              <w:jc w:val="center"/>
              <w:rPr>
                <w:highlight w:val="yellow"/>
              </w:rPr>
            </w:pPr>
            <w:r>
              <w:rPr>
                <w:rFonts w:ascii="Calibri" w:hAnsi="Calibri" w:cs="Calibri"/>
                <w:color w:val="000000"/>
              </w:rPr>
              <w:t>0</w:t>
            </w:r>
          </w:p>
        </w:tc>
        <w:tc>
          <w:tcPr>
            <w:tcW w:w="726" w:type="dxa"/>
            <w:tcBorders>
              <w:top w:val="nil"/>
              <w:left w:val="nil"/>
              <w:bottom w:val="single" w:sz="4" w:space="0" w:color="auto"/>
              <w:right w:val="single" w:sz="4" w:space="0" w:color="auto"/>
            </w:tcBorders>
            <w:shd w:val="clear" w:color="auto" w:fill="auto"/>
            <w:vAlign w:val="bottom"/>
          </w:tcPr>
          <w:p w14:paraId="13E2BD8E" w14:textId="7A84EEA5" w:rsidR="00260DED" w:rsidRPr="009262D1" w:rsidRDefault="00260DED" w:rsidP="00260DED">
            <w:pPr>
              <w:jc w:val="center"/>
              <w:rPr>
                <w:highlight w:val="yellow"/>
              </w:rP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7C8EA478" w14:textId="76D16BB5" w:rsidR="00260DED" w:rsidRPr="009262D1" w:rsidRDefault="00260DED" w:rsidP="00260DED">
            <w:pPr>
              <w:jc w:val="center"/>
              <w:rPr>
                <w:highlight w:val="yellow"/>
              </w:rPr>
            </w:pPr>
            <w:r>
              <w:rPr>
                <w:rFonts w:ascii="Calibri" w:hAnsi="Calibri" w:cs="Calibri"/>
                <w:color w:val="000000"/>
              </w:rPr>
              <w:t>0</w:t>
            </w:r>
          </w:p>
        </w:tc>
        <w:tc>
          <w:tcPr>
            <w:tcW w:w="906" w:type="dxa"/>
            <w:tcBorders>
              <w:top w:val="nil"/>
              <w:left w:val="nil"/>
              <w:bottom w:val="single" w:sz="4" w:space="0" w:color="auto"/>
              <w:right w:val="single" w:sz="8" w:space="0" w:color="auto"/>
            </w:tcBorders>
            <w:shd w:val="clear" w:color="auto" w:fill="auto"/>
            <w:vAlign w:val="bottom"/>
          </w:tcPr>
          <w:p w14:paraId="07489AC7" w14:textId="260A8E83" w:rsidR="00260DED" w:rsidRPr="00E449EA" w:rsidRDefault="00260DED" w:rsidP="00260DED">
            <w:pPr>
              <w:jc w:val="center"/>
            </w:pPr>
            <w:r>
              <w:rPr>
                <w:rFonts w:ascii="Calibri" w:hAnsi="Calibri" w:cs="Calibri"/>
                <w:color w:val="000000"/>
              </w:rPr>
              <w:t>0</w:t>
            </w:r>
          </w:p>
        </w:tc>
        <w:tc>
          <w:tcPr>
            <w:tcW w:w="353" w:type="dxa"/>
            <w:tcBorders>
              <w:top w:val="nil"/>
              <w:left w:val="nil"/>
              <w:bottom w:val="nil"/>
              <w:right w:val="nil"/>
            </w:tcBorders>
            <w:vAlign w:val="center"/>
          </w:tcPr>
          <w:p w14:paraId="076673E0" w14:textId="77777777" w:rsidR="00260DED" w:rsidRPr="00E449EA" w:rsidRDefault="00260DED" w:rsidP="00260DED">
            <w:pPr>
              <w:jc w:val="center"/>
            </w:pPr>
          </w:p>
        </w:tc>
        <w:tc>
          <w:tcPr>
            <w:tcW w:w="930" w:type="dxa"/>
            <w:tcBorders>
              <w:left w:val="single" w:sz="4" w:space="0" w:color="auto"/>
            </w:tcBorders>
            <w:vAlign w:val="center"/>
          </w:tcPr>
          <w:p w14:paraId="007818F8" w14:textId="77777777" w:rsidR="00260DED" w:rsidRPr="00E449EA" w:rsidRDefault="00260DED" w:rsidP="00260DED">
            <w:pPr>
              <w:jc w:val="center"/>
            </w:pPr>
            <w:r w:rsidRPr="00E449EA">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1A62853D" w14:textId="565EF7C5"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509E2FE8" w14:textId="784C878C" w:rsidR="00260DED" w:rsidRPr="00E449EA" w:rsidRDefault="00260DED" w:rsidP="00260DED">
            <w:pPr>
              <w:jc w:val="center"/>
            </w:pPr>
            <w:r>
              <w:rPr>
                <w:rFonts w:ascii="Calibri" w:hAnsi="Calibri" w:cs="Calibri"/>
                <w:color w:val="000000"/>
              </w:rPr>
              <w:t>0</w:t>
            </w:r>
          </w:p>
        </w:tc>
        <w:tc>
          <w:tcPr>
            <w:tcW w:w="692" w:type="dxa"/>
            <w:tcBorders>
              <w:top w:val="nil"/>
              <w:left w:val="nil"/>
              <w:bottom w:val="single" w:sz="4" w:space="0" w:color="auto"/>
              <w:right w:val="single" w:sz="4" w:space="0" w:color="auto"/>
            </w:tcBorders>
            <w:shd w:val="clear" w:color="auto" w:fill="auto"/>
            <w:vAlign w:val="bottom"/>
          </w:tcPr>
          <w:p w14:paraId="5FA0A5D8" w14:textId="2CACD988" w:rsidR="00260DED" w:rsidRPr="00E449EA" w:rsidRDefault="00260DED" w:rsidP="00260DED">
            <w:pPr>
              <w:jc w:val="center"/>
            </w:pPr>
            <w:r>
              <w:rPr>
                <w:rFonts w:ascii="Calibri" w:hAnsi="Calibri" w:cs="Calibri"/>
                <w:color w:val="000000"/>
              </w:rPr>
              <w:t>0</w:t>
            </w:r>
          </w:p>
        </w:tc>
        <w:tc>
          <w:tcPr>
            <w:tcW w:w="595" w:type="dxa"/>
            <w:tcBorders>
              <w:top w:val="nil"/>
              <w:left w:val="nil"/>
              <w:bottom w:val="single" w:sz="4" w:space="0" w:color="auto"/>
              <w:right w:val="single" w:sz="4" w:space="0" w:color="auto"/>
            </w:tcBorders>
            <w:shd w:val="clear" w:color="auto" w:fill="auto"/>
            <w:vAlign w:val="bottom"/>
          </w:tcPr>
          <w:p w14:paraId="31072770" w14:textId="79C24A7B" w:rsidR="00260DED" w:rsidRPr="00E449EA" w:rsidRDefault="00260DED" w:rsidP="00260DED">
            <w:pPr>
              <w:jc w:val="center"/>
            </w:pPr>
            <w:r>
              <w:rPr>
                <w:rFonts w:ascii="Calibri" w:hAnsi="Calibri" w:cs="Calibri"/>
                <w:color w:val="000000"/>
              </w:rPr>
              <w:t>1</w:t>
            </w:r>
          </w:p>
        </w:tc>
        <w:tc>
          <w:tcPr>
            <w:tcW w:w="906" w:type="dxa"/>
            <w:tcBorders>
              <w:top w:val="nil"/>
              <w:left w:val="nil"/>
              <w:bottom w:val="single" w:sz="4" w:space="0" w:color="auto"/>
              <w:right w:val="single" w:sz="8" w:space="0" w:color="auto"/>
            </w:tcBorders>
            <w:shd w:val="clear" w:color="auto" w:fill="auto"/>
            <w:vAlign w:val="bottom"/>
          </w:tcPr>
          <w:p w14:paraId="7A80B09A" w14:textId="5F52AF43" w:rsidR="00260DED" w:rsidRPr="00E449EA" w:rsidRDefault="00260DED" w:rsidP="00260DED">
            <w:pPr>
              <w:jc w:val="center"/>
            </w:pPr>
            <w:r>
              <w:rPr>
                <w:rFonts w:ascii="Calibri" w:hAnsi="Calibri" w:cs="Calibri"/>
                <w:color w:val="000000"/>
              </w:rPr>
              <w:t>0</w:t>
            </w:r>
          </w:p>
        </w:tc>
        <w:tc>
          <w:tcPr>
            <w:tcW w:w="295" w:type="dxa"/>
            <w:tcBorders>
              <w:top w:val="nil"/>
              <w:left w:val="nil"/>
              <w:bottom w:val="nil"/>
              <w:right w:val="nil"/>
            </w:tcBorders>
            <w:vAlign w:val="center"/>
          </w:tcPr>
          <w:p w14:paraId="3603F7A3" w14:textId="77777777" w:rsidR="00260DED" w:rsidRPr="00E449EA" w:rsidRDefault="00260DED" w:rsidP="00260DED">
            <w:pPr>
              <w:jc w:val="center"/>
            </w:pPr>
          </w:p>
        </w:tc>
        <w:tc>
          <w:tcPr>
            <w:tcW w:w="932" w:type="dxa"/>
            <w:tcBorders>
              <w:left w:val="single" w:sz="4" w:space="0" w:color="auto"/>
              <w:right w:val="single" w:sz="12" w:space="0" w:color="auto"/>
            </w:tcBorders>
            <w:vAlign w:val="center"/>
          </w:tcPr>
          <w:p w14:paraId="513FED13" w14:textId="77777777" w:rsidR="00260DED" w:rsidRPr="00E449EA" w:rsidRDefault="00260DED" w:rsidP="00260DED">
            <w:pPr>
              <w:jc w:val="center"/>
            </w:pPr>
            <w:r w:rsidRPr="00E449EA">
              <w:rPr>
                <w:sz w:val="14"/>
                <w:szCs w:val="14"/>
              </w:rPr>
              <w:t>Remote</w:t>
            </w:r>
          </w:p>
        </w:tc>
        <w:tc>
          <w:tcPr>
            <w:tcW w:w="630" w:type="dxa"/>
            <w:tcBorders>
              <w:top w:val="nil"/>
              <w:left w:val="single" w:sz="8" w:space="0" w:color="auto"/>
              <w:bottom w:val="single" w:sz="4" w:space="0" w:color="auto"/>
              <w:right w:val="single" w:sz="4" w:space="0" w:color="auto"/>
            </w:tcBorders>
            <w:shd w:val="clear" w:color="auto" w:fill="auto"/>
            <w:vAlign w:val="bottom"/>
          </w:tcPr>
          <w:p w14:paraId="1C76C8F9" w14:textId="5148957C" w:rsidR="00260DED" w:rsidRPr="00E449EA" w:rsidRDefault="00260DED" w:rsidP="00260DED">
            <w:pPr>
              <w:jc w:val="center"/>
            </w:pPr>
            <w:r>
              <w:rPr>
                <w:rFonts w:ascii="Calibri" w:hAnsi="Calibri" w:cs="Calibri"/>
                <w:color w:val="000000"/>
              </w:rPr>
              <w:t>0</w:t>
            </w:r>
          </w:p>
        </w:tc>
        <w:tc>
          <w:tcPr>
            <w:tcW w:w="540" w:type="dxa"/>
            <w:tcBorders>
              <w:top w:val="nil"/>
              <w:left w:val="nil"/>
              <w:bottom w:val="single" w:sz="4" w:space="0" w:color="auto"/>
              <w:right w:val="single" w:sz="4" w:space="0" w:color="auto"/>
            </w:tcBorders>
            <w:shd w:val="clear" w:color="auto" w:fill="auto"/>
            <w:vAlign w:val="bottom"/>
          </w:tcPr>
          <w:p w14:paraId="1408AE7C" w14:textId="34BD7430" w:rsidR="00260DED" w:rsidRPr="009262D1" w:rsidRDefault="00260DED" w:rsidP="00260DED">
            <w:pPr>
              <w:jc w:val="center"/>
              <w:rPr>
                <w:highlight w:val="yellow"/>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12D7A401" w14:textId="631F1F64" w:rsidR="00260DED" w:rsidRDefault="00260DED" w:rsidP="00260DED">
            <w:pPr>
              <w:jc w:val="center"/>
              <w:rPr>
                <w:rFonts w:ascii="Calibri" w:hAnsi="Calibri" w:cs="Calibri"/>
                <w:color w:val="000000"/>
              </w:rPr>
            </w:pPr>
            <w:r>
              <w:rPr>
                <w:rFonts w:ascii="Calibri" w:hAnsi="Calibri" w:cs="Calibri"/>
                <w:color w:val="000000"/>
              </w:rPr>
              <w:t>0</w:t>
            </w:r>
          </w:p>
        </w:tc>
        <w:tc>
          <w:tcPr>
            <w:tcW w:w="690" w:type="dxa"/>
            <w:tcBorders>
              <w:top w:val="nil"/>
              <w:left w:val="nil"/>
              <w:bottom w:val="single" w:sz="4" w:space="0" w:color="auto"/>
              <w:right w:val="single" w:sz="4" w:space="0" w:color="auto"/>
            </w:tcBorders>
            <w:shd w:val="clear" w:color="auto" w:fill="auto"/>
            <w:vAlign w:val="bottom"/>
          </w:tcPr>
          <w:p w14:paraId="2C1A7D1A" w14:textId="05E165CE" w:rsidR="00260DED" w:rsidRPr="009262D1" w:rsidRDefault="00260DED" w:rsidP="00260DED">
            <w:pPr>
              <w:jc w:val="center"/>
              <w:rPr>
                <w:highlight w:val="yellow"/>
              </w:rPr>
            </w:pPr>
            <w:r>
              <w:rPr>
                <w:rFonts w:ascii="Calibri" w:hAnsi="Calibri" w:cs="Calibri"/>
                <w:color w:val="000000"/>
              </w:rPr>
              <w:t>1</w:t>
            </w:r>
          </w:p>
        </w:tc>
        <w:tc>
          <w:tcPr>
            <w:tcW w:w="595" w:type="dxa"/>
            <w:tcBorders>
              <w:top w:val="nil"/>
              <w:left w:val="nil"/>
              <w:bottom w:val="single" w:sz="4" w:space="0" w:color="auto"/>
              <w:right w:val="single" w:sz="8" w:space="0" w:color="auto"/>
            </w:tcBorders>
            <w:shd w:val="clear" w:color="auto" w:fill="auto"/>
            <w:vAlign w:val="bottom"/>
          </w:tcPr>
          <w:p w14:paraId="0F3E0ED0" w14:textId="4FFD1E6F" w:rsidR="00260DED" w:rsidRPr="009262D1" w:rsidRDefault="00260DED" w:rsidP="00260DED">
            <w:pPr>
              <w:jc w:val="center"/>
              <w:rPr>
                <w:highlight w:val="yellow"/>
              </w:rPr>
            </w:pPr>
            <w:r>
              <w:rPr>
                <w:rFonts w:ascii="Calibri" w:hAnsi="Calibri" w:cs="Calibri"/>
                <w:color w:val="000000"/>
              </w:rPr>
              <w:t>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ACAF629" w14:textId="5512F931" w:rsidR="00260DED" w:rsidRPr="009262D1" w:rsidRDefault="00260DED" w:rsidP="00260DED">
            <w:pPr>
              <w:jc w:val="center"/>
              <w:rPr>
                <w:highlight w:val="yellow"/>
              </w:rPr>
            </w:pPr>
            <w:r>
              <w:rPr>
                <w:rFonts w:ascii="Calibri" w:hAnsi="Calibri" w:cs="Calibri"/>
                <w:color w:val="000000"/>
              </w:rPr>
              <w:t>0</w:t>
            </w:r>
          </w:p>
        </w:tc>
      </w:tr>
      <w:tr w:rsidR="00260DED" w:rsidRPr="00F60A9B" w14:paraId="25022153" w14:textId="77777777" w:rsidTr="00913A33">
        <w:trPr>
          <w:cantSplit/>
          <w:jc w:val="center"/>
        </w:trPr>
        <w:tc>
          <w:tcPr>
            <w:tcW w:w="900" w:type="dxa"/>
            <w:tcBorders>
              <w:right w:val="single" w:sz="12" w:space="0" w:color="auto"/>
            </w:tcBorders>
            <w:vAlign w:val="center"/>
          </w:tcPr>
          <w:p w14:paraId="70AD8815" w14:textId="77777777" w:rsidR="00260DED" w:rsidRPr="005B7BEE" w:rsidRDefault="00260DED" w:rsidP="00260DED">
            <w:pPr>
              <w:rPr>
                <w:sz w:val="14"/>
                <w:szCs w:val="14"/>
              </w:rPr>
            </w:pPr>
            <w:r w:rsidRPr="005B7BEE">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4C4A87D6" w14:textId="6165B07D" w:rsidR="00260DED" w:rsidRPr="009262D1" w:rsidRDefault="00260DED" w:rsidP="00260DED">
            <w:pPr>
              <w:jc w:val="center"/>
              <w:rPr>
                <w:highlight w:val="yellow"/>
              </w:rPr>
            </w:pPr>
            <w:r>
              <w:rPr>
                <w:rFonts w:ascii="Calibri" w:hAnsi="Calibri" w:cs="Calibri"/>
                <w:color w:val="000000"/>
              </w:rPr>
              <w:t>1</w:t>
            </w:r>
          </w:p>
        </w:tc>
        <w:tc>
          <w:tcPr>
            <w:tcW w:w="540" w:type="dxa"/>
            <w:tcBorders>
              <w:top w:val="nil"/>
              <w:left w:val="nil"/>
              <w:bottom w:val="single" w:sz="8" w:space="0" w:color="auto"/>
              <w:right w:val="single" w:sz="4" w:space="0" w:color="auto"/>
            </w:tcBorders>
            <w:shd w:val="clear" w:color="auto" w:fill="auto"/>
            <w:vAlign w:val="bottom"/>
          </w:tcPr>
          <w:p w14:paraId="624A0078" w14:textId="0249705B" w:rsidR="00260DED" w:rsidRPr="009262D1" w:rsidRDefault="00260DED" w:rsidP="00260DED">
            <w:pPr>
              <w:jc w:val="center"/>
              <w:rPr>
                <w:highlight w:val="yellow"/>
              </w:rPr>
            </w:pPr>
            <w:r>
              <w:rPr>
                <w:rFonts w:ascii="Calibri" w:hAnsi="Calibri" w:cs="Calibri"/>
                <w:color w:val="000000"/>
              </w:rPr>
              <w:t>1</w:t>
            </w:r>
          </w:p>
        </w:tc>
        <w:tc>
          <w:tcPr>
            <w:tcW w:w="726" w:type="dxa"/>
            <w:tcBorders>
              <w:top w:val="nil"/>
              <w:left w:val="nil"/>
              <w:bottom w:val="single" w:sz="8" w:space="0" w:color="auto"/>
              <w:right w:val="single" w:sz="4" w:space="0" w:color="auto"/>
            </w:tcBorders>
            <w:shd w:val="clear" w:color="auto" w:fill="auto"/>
            <w:vAlign w:val="bottom"/>
          </w:tcPr>
          <w:p w14:paraId="4C00F2BB" w14:textId="700904DB" w:rsidR="00260DED" w:rsidRPr="009262D1" w:rsidRDefault="00260DED" w:rsidP="00260DED">
            <w:pPr>
              <w:jc w:val="center"/>
              <w:rPr>
                <w:highlight w:val="yellow"/>
              </w:rPr>
            </w:pPr>
            <w:r>
              <w:rPr>
                <w:rFonts w:ascii="Calibri" w:hAnsi="Calibri" w:cs="Calibri"/>
                <w:color w:val="000000"/>
              </w:rPr>
              <w:t>2</w:t>
            </w:r>
          </w:p>
        </w:tc>
        <w:tc>
          <w:tcPr>
            <w:tcW w:w="595" w:type="dxa"/>
            <w:tcBorders>
              <w:top w:val="nil"/>
              <w:left w:val="nil"/>
              <w:bottom w:val="single" w:sz="8" w:space="0" w:color="auto"/>
              <w:right w:val="single" w:sz="4" w:space="0" w:color="auto"/>
            </w:tcBorders>
            <w:shd w:val="clear" w:color="auto" w:fill="auto"/>
            <w:vAlign w:val="bottom"/>
          </w:tcPr>
          <w:p w14:paraId="5B6CC26E" w14:textId="5FA420A0" w:rsidR="00260DED" w:rsidRPr="009262D1" w:rsidRDefault="00260DED" w:rsidP="00260DED">
            <w:pPr>
              <w:jc w:val="center"/>
              <w:rPr>
                <w:highlight w:val="yellow"/>
              </w:rPr>
            </w:pPr>
            <w:r>
              <w:rPr>
                <w:rFonts w:ascii="Calibri" w:hAnsi="Calibri" w:cs="Calibri"/>
                <w:color w:val="000000"/>
              </w:rPr>
              <w:t>1</w:t>
            </w:r>
          </w:p>
        </w:tc>
        <w:tc>
          <w:tcPr>
            <w:tcW w:w="906" w:type="dxa"/>
            <w:tcBorders>
              <w:top w:val="nil"/>
              <w:left w:val="nil"/>
              <w:bottom w:val="single" w:sz="8" w:space="0" w:color="auto"/>
              <w:right w:val="single" w:sz="8" w:space="0" w:color="auto"/>
            </w:tcBorders>
            <w:shd w:val="clear" w:color="auto" w:fill="auto"/>
            <w:vAlign w:val="bottom"/>
          </w:tcPr>
          <w:p w14:paraId="766BCF46" w14:textId="17160638" w:rsidR="00260DED" w:rsidRPr="00E449EA" w:rsidRDefault="00260DED" w:rsidP="00260DED">
            <w:pPr>
              <w:keepNext/>
              <w:jc w:val="center"/>
            </w:pPr>
            <w:r>
              <w:rPr>
                <w:rFonts w:ascii="Calibri" w:hAnsi="Calibri" w:cs="Calibri"/>
                <w:color w:val="000000"/>
              </w:rPr>
              <w:t>2</w:t>
            </w:r>
          </w:p>
        </w:tc>
        <w:tc>
          <w:tcPr>
            <w:tcW w:w="353" w:type="dxa"/>
            <w:tcBorders>
              <w:top w:val="nil"/>
              <w:left w:val="nil"/>
              <w:bottom w:val="nil"/>
              <w:right w:val="nil"/>
            </w:tcBorders>
            <w:vAlign w:val="center"/>
          </w:tcPr>
          <w:p w14:paraId="20FB9E0D" w14:textId="77777777" w:rsidR="00260DED" w:rsidRPr="00E449EA" w:rsidRDefault="00260DED" w:rsidP="00260DED">
            <w:pPr>
              <w:keepNext/>
              <w:jc w:val="center"/>
            </w:pPr>
          </w:p>
        </w:tc>
        <w:tc>
          <w:tcPr>
            <w:tcW w:w="930" w:type="dxa"/>
            <w:tcBorders>
              <w:left w:val="single" w:sz="4" w:space="0" w:color="auto"/>
            </w:tcBorders>
            <w:vAlign w:val="center"/>
          </w:tcPr>
          <w:p w14:paraId="6FEB28AB" w14:textId="77777777" w:rsidR="00260DED" w:rsidRPr="00E449EA" w:rsidRDefault="00260DED" w:rsidP="00260DED">
            <w:pPr>
              <w:keepNext/>
              <w:jc w:val="center"/>
            </w:pPr>
            <w:r w:rsidRPr="00E449EA">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2B84210F" w14:textId="5051A3BB" w:rsidR="00260DED" w:rsidRPr="00E449EA" w:rsidRDefault="00260DED" w:rsidP="00260DED">
            <w:pPr>
              <w:keepNext/>
              <w:jc w:val="center"/>
            </w:pPr>
            <w:r>
              <w:rPr>
                <w:rFonts w:ascii="Calibri" w:hAnsi="Calibri" w:cs="Calibri"/>
                <w:color w:val="000000"/>
              </w:rPr>
              <w:t>0</w:t>
            </w:r>
          </w:p>
        </w:tc>
        <w:tc>
          <w:tcPr>
            <w:tcW w:w="540" w:type="dxa"/>
            <w:tcBorders>
              <w:top w:val="nil"/>
              <w:left w:val="nil"/>
              <w:bottom w:val="single" w:sz="8" w:space="0" w:color="auto"/>
              <w:right w:val="single" w:sz="4" w:space="0" w:color="auto"/>
            </w:tcBorders>
            <w:shd w:val="clear" w:color="auto" w:fill="auto"/>
            <w:vAlign w:val="bottom"/>
          </w:tcPr>
          <w:p w14:paraId="06F4F686" w14:textId="7CF22E13" w:rsidR="00260DED" w:rsidRPr="00E449EA" w:rsidRDefault="00260DED" w:rsidP="00260DED">
            <w:pPr>
              <w:keepNext/>
              <w:jc w:val="center"/>
            </w:pPr>
            <w:r>
              <w:rPr>
                <w:rFonts w:ascii="Calibri" w:hAnsi="Calibri" w:cs="Calibri"/>
                <w:color w:val="000000"/>
              </w:rPr>
              <w:t>0</w:t>
            </w:r>
          </w:p>
        </w:tc>
        <w:tc>
          <w:tcPr>
            <w:tcW w:w="692" w:type="dxa"/>
            <w:tcBorders>
              <w:top w:val="nil"/>
              <w:left w:val="nil"/>
              <w:bottom w:val="single" w:sz="8" w:space="0" w:color="auto"/>
              <w:right w:val="single" w:sz="4" w:space="0" w:color="auto"/>
            </w:tcBorders>
            <w:shd w:val="clear" w:color="auto" w:fill="auto"/>
            <w:vAlign w:val="bottom"/>
          </w:tcPr>
          <w:p w14:paraId="7EA21D63" w14:textId="02195114" w:rsidR="00260DED" w:rsidRPr="00E449EA" w:rsidRDefault="00260DED" w:rsidP="00260DED">
            <w:pPr>
              <w:keepNext/>
              <w:jc w:val="center"/>
            </w:pPr>
            <w:r>
              <w:rPr>
                <w:rFonts w:ascii="Calibri" w:hAnsi="Calibri" w:cs="Calibri"/>
                <w:color w:val="000000"/>
              </w:rPr>
              <w:t>3</w:t>
            </w:r>
          </w:p>
        </w:tc>
        <w:tc>
          <w:tcPr>
            <w:tcW w:w="595" w:type="dxa"/>
            <w:tcBorders>
              <w:top w:val="nil"/>
              <w:left w:val="nil"/>
              <w:bottom w:val="single" w:sz="8" w:space="0" w:color="auto"/>
              <w:right w:val="single" w:sz="4" w:space="0" w:color="auto"/>
            </w:tcBorders>
            <w:shd w:val="clear" w:color="auto" w:fill="auto"/>
            <w:vAlign w:val="bottom"/>
          </w:tcPr>
          <w:p w14:paraId="2C4E4D56" w14:textId="07AC2815" w:rsidR="00260DED" w:rsidRPr="00E449EA" w:rsidRDefault="00260DED" w:rsidP="00260DED">
            <w:pPr>
              <w:keepNext/>
              <w:jc w:val="center"/>
            </w:pPr>
            <w:r>
              <w:rPr>
                <w:rFonts w:ascii="Calibri" w:hAnsi="Calibri" w:cs="Calibri"/>
                <w:color w:val="000000"/>
              </w:rPr>
              <w:t>6</w:t>
            </w:r>
          </w:p>
        </w:tc>
        <w:tc>
          <w:tcPr>
            <w:tcW w:w="906" w:type="dxa"/>
            <w:tcBorders>
              <w:top w:val="nil"/>
              <w:left w:val="nil"/>
              <w:bottom w:val="single" w:sz="8" w:space="0" w:color="auto"/>
              <w:right w:val="single" w:sz="8" w:space="0" w:color="auto"/>
            </w:tcBorders>
            <w:shd w:val="clear" w:color="auto" w:fill="auto"/>
            <w:vAlign w:val="bottom"/>
          </w:tcPr>
          <w:p w14:paraId="52F9A526" w14:textId="449ED93E" w:rsidR="00260DED" w:rsidRPr="00E449EA" w:rsidRDefault="00260DED" w:rsidP="00260DED">
            <w:pPr>
              <w:keepNext/>
              <w:jc w:val="center"/>
            </w:pPr>
            <w:r>
              <w:rPr>
                <w:rFonts w:ascii="Calibri" w:hAnsi="Calibri" w:cs="Calibri"/>
                <w:color w:val="000000"/>
              </w:rPr>
              <w:t>3</w:t>
            </w:r>
          </w:p>
        </w:tc>
        <w:tc>
          <w:tcPr>
            <w:tcW w:w="295" w:type="dxa"/>
            <w:tcBorders>
              <w:top w:val="nil"/>
              <w:left w:val="nil"/>
              <w:bottom w:val="nil"/>
              <w:right w:val="nil"/>
            </w:tcBorders>
            <w:vAlign w:val="center"/>
          </w:tcPr>
          <w:p w14:paraId="4E417287" w14:textId="77777777" w:rsidR="00260DED" w:rsidRPr="00E449EA" w:rsidRDefault="00260DED" w:rsidP="00260DED">
            <w:pPr>
              <w:keepNext/>
              <w:jc w:val="center"/>
            </w:pPr>
          </w:p>
        </w:tc>
        <w:tc>
          <w:tcPr>
            <w:tcW w:w="932" w:type="dxa"/>
            <w:tcBorders>
              <w:left w:val="single" w:sz="4" w:space="0" w:color="auto"/>
              <w:right w:val="single" w:sz="12" w:space="0" w:color="auto"/>
            </w:tcBorders>
            <w:vAlign w:val="center"/>
          </w:tcPr>
          <w:p w14:paraId="3FD38913" w14:textId="77777777" w:rsidR="00260DED" w:rsidRPr="00E449EA" w:rsidRDefault="00260DED" w:rsidP="00260DED">
            <w:pPr>
              <w:keepNext/>
              <w:jc w:val="center"/>
            </w:pPr>
            <w:r w:rsidRPr="00E449EA">
              <w:rPr>
                <w:sz w:val="14"/>
                <w:szCs w:val="14"/>
              </w:rPr>
              <w:t>Improbable</w:t>
            </w:r>
          </w:p>
        </w:tc>
        <w:tc>
          <w:tcPr>
            <w:tcW w:w="630" w:type="dxa"/>
            <w:tcBorders>
              <w:top w:val="nil"/>
              <w:left w:val="single" w:sz="8" w:space="0" w:color="auto"/>
              <w:bottom w:val="single" w:sz="8" w:space="0" w:color="auto"/>
              <w:right w:val="single" w:sz="4" w:space="0" w:color="auto"/>
            </w:tcBorders>
            <w:shd w:val="clear" w:color="auto" w:fill="auto"/>
            <w:vAlign w:val="bottom"/>
          </w:tcPr>
          <w:p w14:paraId="313E6430" w14:textId="66FC356F" w:rsidR="00260DED" w:rsidRPr="00E449EA" w:rsidRDefault="00260DED" w:rsidP="00260DED">
            <w:pPr>
              <w:keepNext/>
              <w:jc w:val="center"/>
            </w:pPr>
            <w:r>
              <w:rPr>
                <w:rFonts w:ascii="Calibri" w:hAnsi="Calibri" w:cs="Calibri"/>
                <w:color w:val="000000"/>
              </w:rPr>
              <w:t>1</w:t>
            </w:r>
          </w:p>
        </w:tc>
        <w:tc>
          <w:tcPr>
            <w:tcW w:w="540" w:type="dxa"/>
            <w:tcBorders>
              <w:top w:val="nil"/>
              <w:left w:val="nil"/>
              <w:bottom w:val="single" w:sz="8" w:space="0" w:color="auto"/>
              <w:right w:val="single" w:sz="4" w:space="0" w:color="auto"/>
            </w:tcBorders>
            <w:shd w:val="clear" w:color="auto" w:fill="auto"/>
            <w:vAlign w:val="bottom"/>
          </w:tcPr>
          <w:p w14:paraId="41964773" w14:textId="704C1AEF" w:rsidR="00260DED" w:rsidRPr="009262D1" w:rsidRDefault="00260DED" w:rsidP="00260DED">
            <w:pPr>
              <w:keepNext/>
              <w:jc w:val="center"/>
              <w:rPr>
                <w:highlight w:val="yellow"/>
              </w:rPr>
            </w:pPr>
            <w:r>
              <w:rPr>
                <w:rFonts w:ascii="Calibri" w:hAnsi="Calibri" w:cs="Calibri"/>
                <w:color w:val="000000"/>
              </w:rPr>
              <w:t>1</w:t>
            </w:r>
          </w:p>
        </w:tc>
        <w:tc>
          <w:tcPr>
            <w:tcW w:w="690" w:type="dxa"/>
            <w:tcBorders>
              <w:top w:val="nil"/>
              <w:left w:val="nil"/>
              <w:bottom w:val="single" w:sz="8" w:space="0" w:color="auto"/>
              <w:right w:val="single" w:sz="4" w:space="0" w:color="auto"/>
            </w:tcBorders>
            <w:shd w:val="clear" w:color="auto" w:fill="auto"/>
            <w:vAlign w:val="bottom"/>
          </w:tcPr>
          <w:p w14:paraId="350C84C6" w14:textId="32B23DA2" w:rsidR="00260DED" w:rsidRDefault="00260DED" w:rsidP="00260DED">
            <w:pPr>
              <w:keepNext/>
              <w:jc w:val="center"/>
              <w:rPr>
                <w:rFonts w:ascii="Calibri" w:hAnsi="Calibri" w:cs="Calibri"/>
                <w:color w:val="000000"/>
              </w:rPr>
            </w:pPr>
            <w:r>
              <w:rPr>
                <w:rFonts w:ascii="Calibri" w:hAnsi="Calibri" w:cs="Calibri"/>
                <w:color w:val="000000"/>
              </w:rPr>
              <w:t>5</w:t>
            </w:r>
          </w:p>
        </w:tc>
        <w:tc>
          <w:tcPr>
            <w:tcW w:w="690" w:type="dxa"/>
            <w:tcBorders>
              <w:top w:val="nil"/>
              <w:left w:val="nil"/>
              <w:bottom w:val="single" w:sz="8" w:space="0" w:color="auto"/>
              <w:right w:val="single" w:sz="4" w:space="0" w:color="auto"/>
            </w:tcBorders>
            <w:shd w:val="clear" w:color="auto" w:fill="auto"/>
            <w:vAlign w:val="bottom"/>
          </w:tcPr>
          <w:p w14:paraId="3D3FE197" w14:textId="60B5701C" w:rsidR="00260DED" w:rsidRPr="009262D1" w:rsidRDefault="00260DED" w:rsidP="00260DED">
            <w:pPr>
              <w:keepNext/>
              <w:jc w:val="center"/>
              <w:rPr>
                <w:highlight w:val="yellow"/>
              </w:rPr>
            </w:pPr>
            <w:r>
              <w:rPr>
                <w:rFonts w:ascii="Calibri" w:hAnsi="Calibri" w:cs="Calibri"/>
                <w:color w:val="000000"/>
              </w:rPr>
              <w:t>7</w:t>
            </w:r>
          </w:p>
        </w:tc>
        <w:tc>
          <w:tcPr>
            <w:tcW w:w="595" w:type="dxa"/>
            <w:tcBorders>
              <w:top w:val="nil"/>
              <w:left w:val="nil"/>
              <w:bottom w:val="single" w:sz="8" w:space="0" w:color="auto"/>
              <w:right w:val="single" w:sz="8" w:space="0" w:color="auto"/>
            </w:tcBorders>
            <w:shd w:val="clear" w:color="auto" w:fill="auto"/>
            <w:vAlign w:val="bottom"/>
          </w:tcPr>
          <w:p w14:paraId="56BE3D63" w14:textId="6F4A55C9" w:rsidR="00260DED" w:rsidRPr="009262D1" w:rsidRDefault="00260DED" w:rsidP="00260DED">
            <w:pPr>
              <w:keepNext/>
              <w:jc w:val="center"/>
              <w:rPr>
                <w:highlight w:val="yellow"/>
              </w:rPr>
            </w:pPr>
            <w:r>
              <w:rPr>
                <w:rFonts w:ascii="Calibri" w:hAnsi="Calibri" w:cs="Calibri"/>
                <w:color w:val="000000"/>
              </w:rPr>
              <w:t>5</w:t>
            </w:r>
          </w:p>
        </w:tc>
        <w:tc>
          <w:tcPr>
            <w:tcW w:w="906" w:type="dxa"/>
            <w:tcBorders>
              <w:top w:val="single" w:sz="4" w:space="0" w:color="auto"/>
              <w:left w:val="single" w:sz="4" w:space="0" w:color="auto"/>
              <w:bottom w:val="single" w:sz="4" w:space="0" w:color="auto"/>
              <w:right w:val="single" w:sz="4" w:space="0" w:color="auto"/>
            </w:tcBorders>
            <w:shd w:val="clear" w:color="auto" w:fill="auto"/>
            <w:vAlign w:val="bottom"/>
          </w:tcPr>
          <w:p w14:paraId="5B45EF81" w14:textId="2E6A37AC" w:rsidR="00260DED" w:rsidRPr="009262D1" w:rsidRDefault="00260DED" w:rsidP="00260DED">
            <w:pPr>
              <w:keepNext/>
              <w:jc w:val="center"/>
              <w:rPr>
                <w:highlight w:val="yellow"/>
              </w:rPr>
            </w:pPr>
            <w:r>
              <w:rPr>
                <w:rFonts w:ascii="Calibri" w:hAnsi="Calibri" w:cs="Calibri"/>
                <w:color w:val="000000"/>
              </w:rPr>
              <w:t>5</w:t>
            </w:r>
          </w:p>
        </w:tc>
      </w:tr>
    </w:tbl>
    <w:p w14:paraId="5DC5317C" w14:textId="58F05E45" w:rsidR="009262D1" w:rsidRDefault="009262D1" w:rsidP="009262D1">
      <w:pPr>
        <w:pStyle w:val="Caption"/>
        <w:keepNext/>
        <w:spacing w:before="120"/>
        <w:jc w:val="center"/>
        <w:rPr>
          <w:rFonts w:eastAsiaTheme="minorEastAsia"/>
        </w:rPr>
      </w:pPr>
      <w:r>
        <w:t xml:space="preserve">Equation </w:t>
      </w:r>
      <w:r>
        <w:fldChar w:fldCharType="begin"/>
      </w:r>
      <w:r>
        <w:instrText xml:space="preserve"> SEQ Equation \* ARABIC </w:instrText>
      </w:r>
      <w:r>
        <w:fldChar w:fldCharType="separate"/>
      </w:r>
      <w:r w:rsidR="003468AE">
        <w:rPr>
          <w:noProof/>
        </w:rPr>
        <w:t>28</w:t>
      </w:r>
      <w:r>
        <w:rPr>
          <w:noProof/>
        </w:rPr>
        <w:fldChar w:fldCharType="end"/>
      </w:r>
    </w:p>
    <w:p w14:paraId="7108550F" w14:textId="77777777" w:rsidR="009262D1" w:rsidRDefault="009262D1" w:rsidP="009262D1">
      <w:pPr>
        <w:pStyle w:val="ListParagraph"/>
        <w:rPr>
          <w:rFonts w:eastAsiaTheme="minorEastAsia"/>
        </w:rPr>
      </w:pPr>
    </w:p>
    <w:p w14:paraId="67B419AE" w14:textId="457DA4FA" w:rsidR="009262D1" w:rsidRDefault="009262D1">
      <w:pPr>
        <w:pStyle w:val="ListParagraph"/>
        <w:numPr>
          <w:ilvl w:val="1"/>
          <w:numId w:val="31"/>
        </w:numPr>
      </w:pPr>
      <w:r>
        <w:t xml:space="preserve">Use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B</m:t>
            </m:r>
          </m:sub>
        </m:sSub>
      </m:oMath>
      <w:r>
        <w:rPr>
          <w:rFonts w:eastAsiaTheme="minorEastAsia"/>
        </w:rPr>
        <w:t xml:space="preserve"> (</w:t>
      </w:r>
      <w:r w:rsidR="007A5917">
        <w:rPr>
          <w:rFonts w:eastAsiaTheme="minorEastAsia"/>
        </w:rPr>
        <w:t xml:space="preserve">per </w:t>
      </w:r>
      <w:r w:rsidR="007A5917">
        <w:rPr>
          <w:rFonts w:eastAsiaTheme="minorEastAsia"/>
        </w:rPr>
        <w:fldChar w:fldCharType="begin"/>
      </w:r>
      <w:r w:rsidR="007A5917">
        <w:rPr>
          <w:rFonts w:eastAsiaTheme="minorEastAsia"/>
        </w:rPr>
        <w:instrText xml:space="preserve"> REF _Ref146702767 \h </w:instrText>
      </w:r>
      <w:r w:rsidR="007A5917">
        <w:rPr>
          <w:rFonts w:eastAsiaTheme="minorEastAsia"/>
        </w:rPr>
      </w:r>
      <w:r w:rsidR="007A5917">
        <w:rPr>
          <w:rFonts w:eastAsiaTheme="minorEastAsia"/>
        </w:rPr>
        <w:fldChar w:fldCharType="separate"/>
      </w:r>
      <w:r w:rsidR="007A5917" w:rsidRPr="00F60A9B">
        <w:t xml:space="preserve">Table </w:t>
      </w:r>
      <w:r w:rsidR="007A5917">
        <w:rPr>
          <w:noProof/>
        </w:rPr>
        <w:t>6</w:t>
      </w:r>
      <w:r w:rsidR="007A5917">
        <w:rPr>
          <w:rFonts w:eastAsiaTheme="minorEastAsia"/>
        </w:rPr>
        <w:fldChar w:fldCharType="end"/>
      </w:r>
      <w:r w:rsidR="007A5917">
        <w:rPr>
          <w:rFonts w:eastAsiaTheme="minorEastAsia"/>
        </w:rPr>
        <w:t xml:space="preserve"> and footnote </w:t>
      </w:r>
      <w:r w:rsidR="007A5917">
        <w:rPr>
          <w:rFonts w:eastAsiaTheme="minorEastAsia"/>
        </w:rPr>
        <w:fldChar w:fldCharType="begin"/>
      </w:r>
      <w:r w:rsidR="007A5917">
        <w:rPr>
          <w:rFonts w:eastAsiaTheme="minorEastAsia"/>
        </w:rPr>
        <w:instrText xml:space="preserve"> NOTEREF _Ref147412363 \h </w:instrText>
      </w:r>
      <w:r w:rsidR="007A5917">
        <w:rPr>
          <w:rFonts w:eastAsiaTheme="minorEastAsia"/>
        </w:rPr>
      </w:r>
      <w:r w:rsidR="007A5917">
        <w:rPr>
          <w:rFonts w:eastAsiaTheme="minorEastAsia"/>
        </w:rPr>
        <w:fldChar w:fldCharType="separate"/>
      </w:r>
      <w:r w:rsidR="007A5917">
        <w:rPr>
          <w:rFonts w:eastAsiaTheme="minorEastAsia"/>
        </w:rPr>
        <w:t>20</w:t>
      </w:r>
      <w:r w:rsidR="007A5917">
        <w:rPr>
          <w:rFonts w:eastAsiaTheme="minorEastAsia"/>
        </w:rPr>
        <w:fldChar w:fldCharType="end"/>
      </w:r>
      <w:r>
        <w:rPr>
          <w:rFonts w:eastAsiaTheme="minorEastAsia"/>
        </w:rPr>
        <w:t>)</w:t>
      </w:r>
      <w:r w:rsidRPr="00FF1816">
        <w:rPr>
          <w:rFonts w:eastAsiaTheme="minorEastAsia"/>
        </w:rPr>
        <w:t xml:space="preserve"> and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A</m:t>
            </m:r>
          </m:sub>
        </m:sSub>
        <m:r>
          <w:rPr>
            <w:rFonts w:ascii="Cambria Math" w:hAnsi="Cambria Math" w:cstheme="minorHAnsi"/>
          </w:rPr>
          <m:t xml:space="preserve"> ⋃ R</m:t>
        </m:r>
      </m:oMath>
      <w:r>
        <w:rPr>
          <w:rFonts w:eastAsiaTheme="minorEastAsia"/>
        </w:rPr>
        <w:t xml:space="preserve"> (the result of </w:t>
      </w:r>
      <w:r>
        <w:rPr>
          <w:rFonts w:eastAsiaTheme="minorEastAsia"/>
        </w:rPr>
        <w:fldChar w:fldCharType="begin"/>
      </w:r>
      <w:r>
        <w:rPr>
          <w:rFonts w:eastAsiaTheme="minorEastAsia"/>
        </w:rPr>
        <w:instrText xml:space="preserve"> REF _Ref147478681 \h </w:instrText>
      </w:r>
      <w:r>
        <w:rPr>
          <w:rFonts w:eastAsiaTheme="minorEastAsia"/>
        </w:rPr>
      </w:r>
      <w:r>
        <w:rPr>
          <w:rFonts w:eastAsiaTheme="minorEastAsia"/>
        </w:rPr>
        <w:fldChar w:fldCharType="separate"/>
      </w:r>
      <w:r w:rsidR="001E41EA">
        <w:t xml:space="preserve">Equation </w:t>
      </w:r>
      <w:r w:rsidR="001E41EA">
        <w:rPr>
          <w:noProof/>
        </w:rPr>
        <w:t>22</w:t>
      </w:r>
      <w:r>
        <w:rPr>
          <w:rFonts w:eastAsiaTheme="minorEastAsia"/>
        </w:rPr>
        <w:fldChar w:fldCharType="end"/>
      </w:r>
      <w:r>
        <w:rPr>
          <w:rFonts w:eastAsiaTheme="minorEastAsia"/>
        </w:rPr>
        <w:t>) to populate</w:t>
      </w:r>
      <w:r>
        <w:t xml:space="preserve"> </w:t>
      </w:r>
      <w:r>
        <w:fldChar w:fldCharType="begin"/>
      </w:r>
      <w:r>
        <w:instrText xml:space="preserve"> REF _Ref147639186 \h </w:instrText>
      </w:r>
      <w:r>
        <w:fldChar w:fldCharType="separate"/>
      </w:r>
      <w:r w:rsidR="001E41EA">
        <w:t xml:space="preserve">Equation </w:t>
      </w:r>
      <w:r w:rsidR="001E41EA">
        <w:rPr>
          <w:noProof/>
        </w:rPr>
        <w:t>9</w:t>
      </w:r>
      <w:r>
        <w:fldChar w:fldCharType="end"/>
      </w:r>
      <w:r>
        <w:t xml:space="preserve">: </w:t>
      </w: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9262D1" w:rsidRPr="00F60A9B" w14:paraId="7E7927D9" w14:textId="77777777" w:rsidTr="001E6AA3">
        <w:trPr>
          <w:tblHeader/>
          <w:jc w:val="center"/>
        </w:trPr>
        <w:tc>
          <w:tcPr>
            <w:tcW w:w="0" w:type="auto"/>
            <w:tcBorders>
              <w:top w:val="nil"/>
              <w:left w:val="nil"/>
              <w:bottom w:val="single" w:sz="4" w:space="0" w:color="auto"/>
            </w:tcBorders>
            <w:vAlign w:val="center"/>
          </w:tcPr>
          <w:p w14:paraId="034A2485" w14:textId="77777777" w:rsidR="009262D1" w:rsidRPr="00F60A9B"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E67C2E7" w14:textId="77777777" w:rsidR="009262D1" w:rsidRPr="005B7BEE" w:rsidRDefault="009262D1"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7DAD07C9" w14:textId="77777777" w:rsidR="009262D1" w:rsidRPr="005B7BEE" w:rsidRDefault="009262D1"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210A220" w14:textId="77777777" w:rsidR="009262D1" w:rsidRPr="005B7BEE" w:rsidRDefault="009262D1"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0328AC6D" w14:textId="77777777" w:rsidR="009262D1" w:rsidRPr="005B7BEE" w:rsidRDefault="009262D1"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4A6B7C62" w14:textId="77777777" w:rsidR="009262D1" w:rsidRPr="005B7BEE" w:rsidRDefault="009262D1" w:rsidP="00024DD9">
            <w:pPr>
              <w:keepNext/>
              <w:jc w:val="center"/>
              <w:rPr>
                <w:sz w:val="14"/>
                <w:szCs w:val="14"/>
              </w:rPr>
            </w:pPr>
            <w:r w:rsidRPr="005B7BEE">
              <w:rPr>
                <w:sz w:val="14"/>
                <w:szCs w:val="14"/>
              </w:rPr>
              <w:t xml:space="preserve">Catastrophic </w:t>
            </w:r>
          </w:p>
          <w:p w14:paraId="188F8A95" w14:textId="77777777" w:rsidR="009262D1" w:rsidRPr="005B7BEE" w:rsidRDefault="009262D1" w:rsidP="00024DD9">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55C42B7A" w14:textId="77777777" w:rsidR="009262D1" w:rsidRPr="005B7BEE" w:rsidRDefault="009262D1" w:rsidP="00024DD9">
            <w:pPr>
              <w:keepNext/>
              <w:jc w:val="center"/>
              <w:rPr>
                <w:sz w:val="14"/>
                <w:szCs w:val="14"/>
              </w:rPr>
            </w:pPr>
          </w:p>
        </w:tc>
        <w:tc>
          <w:tcPr>
            <w:tcW w:w="0" w:type="auto"/>
            <w:tcBorders>
              <w:top w:val="nil"/>
              <w:left w:val="nil"/>
              <w:bottom w:val="single" w:sz="12" w:space="0" w:color="auto"/>
            </w:tcBorders>
            <w:vAlign w:val="center"/>
          </w:tcPr>
          <w:p w14:paraId="61C4CDBF" w14:textId="77777777" w:rsidR="009262D1" w:rsidRPr="005B7BEE"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615FDD7" w14:textId="77777777" w:rsidR="009262D1" w:rsidRPr="005B7BEE" w:rsidRDefault="009262D1"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24B7F8B3" w14:textId="77777777" w:rsidR="009262D1" w:rsidRPr="005B7BEE" w:rsidRDefault="009262D1"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40CCAB77" w14:textId="77777777" w:rsidR="009262D1" w:rsidRPr="005B7BEE" w:rsidRDefault="009262D1"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06DAD62A" w14:textId="77777777" w:rsidR="009262D1" w:rsidRPr="005B7BEE" w:rsidRDefault="009262D1"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1456CC3F" w14:textId="77777777" w:rsidR="009262D1" w:rsidRPr="005B7BEE" w:rsidRDefault="009262D1" w:rsidP="00024DD9">
            <w:pPr>
              <w:keepNext/>
              <w:jc w:val="center"/>
              <w:rPr>
                <w:sz w:val="14"/>
                <w:szCs w:val="14"/>
              </w:rPr>
            </w:pPr>
            <w:r w:rsidRPr="005B7BEE">
              <w:rPr>
                <w:sz w:val="14"/>
                <w:szCs w:val="14"/>
              </w:rPr>
              <w:t xml:space="preserve">Catastrophic </w:t>
            </w:r>
          </w:p>
          <w:p w14:paraId="60E64F32" w14:textId="77777777" w:rsidR="009262D1" w:rsidRDefault="009262D1" w:rsidP="00024DD9">
            <w:pPr>
              <w:keepNext/>
              <w:jc w:val="center"/>
              <w:rPr>
                <w:rFonts w:ascii="Calibri" w:eastAsia="Calibri" w:hAnsi="Calibri" w:cs="Times New Roman"/>
              </w:rPr>
            </w:pPr>
            <w:r w:rsidRPr="005B7BEE">
              <w:rPr>
                <w:sz w:val="14"/>
                <w:szCs w:val="14"/>
              </w:rPr>
              <w:t>/ Fatal</w:t>
            </w:r>
          </w:p>
        </w:tc>
      </w:tr>
      <w:tr w:rsidR="00A124D6" w:rsidRPr="00F60A9B" w14:paraId="27BAA9CD" w14:textId="77777777" w:rsidTr="000B4EF4">
        <w:trPr>
          <w:jc w:val="center"/>
        </w:trPr>
        <w:tc>
          <w:tcPr>
            <w:tcW w:w="0" w:type="auto"/>
            <w:tcBorders>
              <w:top w:val="single" w:sz="4" w:space="0" w:color="auto"/>
              <w:right w:val="single" w:sz="12" w:space="0" w:color="auto"/>
            </w:tcBorders>
            <w:vAlign w:val="center"/>
          </w:tcPr>
          <w:p w14:paraId="08FAA540" w14:textId="77777777" w:rsidR="00A124D6" w:rsidRPr="005B7BEE" w:rsidRDefault="00A124D6" w:rsidP="00A124D6">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12A22DA4" w14:textId="2E5EB510" w:rsidR="00A124D6" w:rsidRPr="00F60A9B"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2BDB88D" w14:textId="128552A7" w:rsidR="00A124D6" w:rsidRPr="00210DD1"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35E0077" w14:textId="391B96CA" w:rsidR="00A124D6" w:rsidRPr="00210DD1"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844D02F" w14:textId="7B0EAFEC" w:rsidR="00A124D6" w:rsidRPr="00210DD1"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2F39E21" w14:textId="3233A2F3" w:rsidR="00A124D6" w:rsidRPr="00F60A9B" w:rsidRDefault="00A124D6" w:rsidP="00A124D6">
            <w:pPr>
              <w:keepNext/>
              <w:jc w:val="center"/>
            </w:pPr>
            <w:r>
              <w:rPr>
                <w:rFonts w:ascii="Calibri" w:hAnsi="Calibri" w:cs="Calibri"/>
                <w:color w:val="000000"/>
              </w:rPr>
              <w:t>0</w:t>
            </w:r>
          </w:p>
        </w:tc>
        <w:tc>
          <w:tcPr>
            <w:tcW w:w="0" w:type="auto"/>
            <w:tcBorders>
              <w:top w:val="nil"/>
              <w:left w:val="nil"/>
              <w:bottom w:val="nil"/>
              <w:right w:val="nil"/>
            </w:tcBorders>
          </w:tcPr>
          <w:p w14:paraId="5705FFA0" w14:textId="77777777" w:rsidR="00A124D6" w:rsidRDefault="00A124D6" w:rsidP="00A124D6">
            <w:pPr>
              <w:keepNext/>
              <w:jc w:val="center"/>
            </w:pPr>
          </w:p>
        </w:tc>
        <w:tc>
          <w:tcPr>
            <w:tcW w:w="0" w:type="auto"/>
            <w:tcBorders>
              <w:top w:val="single" w:sz="12" w:space="0" w:color="auto"/>
            </w:tcBorders>
          </w:tcPr>
          <w:p w14:paraId="1C2C7A57" w14:textId="7CDEBFE4" w:rsidR="00A124D6" w:rsidRDefault="00A124D6" w:rsidP="00A124D6">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15E2495" w14:textId="3D131D3E" w:rsidR="00A124D6"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3AE652F" w14:textId="6E3C2237" w:rsidR="00A124D6"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46C9C0F" w14:textId="660E7A53" w:rsidR="00A124D6"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5ABB914" w14:textId="0D827B9C" w:rsidR="00A124D6" w:rsidRDefault="00A124D6" w:rsidP="00A124D6">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47E7EEA2" w14:textId="08EB6905" w:rsidR="00A124D6" w:rsidRDefault="00A124D6" w:rsidP="00A124D6">
            <w:pPr>
              <w:keepNext/>
              <w:jc w:val="center"/>
            </w:pPr>
            <w:r>
              <w:rPr>
                <w:rFonts w:ascii="Calibri" w:hAnsi="Calibri" w:cs="Calibri"/>
                <w:color w:val="000000"/>
              </w:rPr>
              <w:t>0</w:t>
            </w:r>
          </w:p>
        </w:tc>
      </w:tr>
      <w:tr w:rsidR="00A124D6" w:rsidRPr="00F60A9B" w14:paraId="5B81314D" w14:textId="77777777" w:rsidTr="000B4EF4">
        <w:trPr>
          <w:jc w:val="center"/>
        </w:trPr>
        <w:tc>
          <w:tcPr>
            <w:tcW w:w="0" w:type="auto"/>
            <w:tcBorders>
              <w:right w:val="single" w:sz="12" w:space="0" w:color="auto"/>
            </w:tcBorders>
            <w:vAlign w:val="center"/>
          </w:tcPr>
          <w:p w14:paraId="3F10D4FF" w14:textId="77777777" w:rsidR="00A124D6" w:rsidRPr="005B7BEE" w:rsidRDefault="00A124D6" w:rsidP="00A124D6">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03C804F8" w14:textId="32AEFC85"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7358C4" w14:textId="52B3EFDC"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21134D" w14:textId="6320B562"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6EE1803" w14:textId="14866BE4"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71BF6EC" w14:textId="222B8D86" w:rsidR="00A124D6" w:rsidRDefault="00A124D6" w:rsidP="00A124D6">
            <w:pPr>
              <w:keepNext/>
              <w:jc w:val="center"/>
            </w:pPr>
            <w:r>
              <w:rPr>
                <w:rFonts w:ascii="Calibri" w:hAnsi="Calibri" w:cs="Calibri"/>
                <w:color w:val="000000"/>
              </w:rPr>
              <w:t>0</w:t>
            </w:r>
          </w:p>
        </w:tc>
        <w:tc>
          <w:tcPr>
            <w:tcW w:w="0" w:type="auto"/>
            <w:tcBorders>
              <w:top w:val="nil"/>
              <w:left w:val="nil"/>
              <w:bottom w:val="nil"/>
              <w:right w:val="nil"/>
            </w:tcBorders>
          </w:tcPr>
          <w:p w14:paraId="26DC7F52" w14:textId="77777777" w:rsidR="00A124D6" w:rsidRDefault="00A124D6" w:rsidP="00A124D6">
            <w:pPr>
              <w:keepNext/>
              <w:jc w:val="center"/>
            </w:pPr>
          </w:p>
        </w:tc>
        <w:tc>
          <w:tcPr>
            <w:tcW w:w="0" w:type="auto"/>
          </w:tcPr>
          <w:p w14:paraId="740D407B" w14:textId="5FCA3A46" w:rsidR="00A124D6" w:rsidRPr="005B7BEE" w:rsidRDefault="00A124D6" w:rsidP="00A124D6">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3B6FAAC4" w14:textId="153306B8" w:rsidR="00A124D6"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5F6F340" w14:textId="3EFDCF8E"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DEB41F" w14:textId="4E391A24"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B0C2E1" w14:textId="2103026A"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F3125BA" w14:textId="55A2FB8B" w:rsidR="00A124D6" w:rsidRDefault="00A124D6" w:rsidP="00A124D6">
            <w:pPr>
              <w:keepNext/>
              <w:jc w:val="center"/>
            </w:pPr>
            <w:r>
              <w:rPr>
                <w:rFonts w:ascii="Calibri" w:hAnsi="Calibri" w:cs="Calibri"/>
                <w:color w:val="000000"/>
              </w:rPr>
              <w:t>0</w:t>
            </w:r>
          </w:p>
        </w:tc>
      </w:tr>
      <w:tr w:rsidR="00A124D6" w:rsidRPr="00F60A9B" w14:paraId="24592DE9" w14:textId="77777777" w:rsidTr="000B4EF4">
        <w:trPr>
          <w:jc w:val="center"/>
        </w:trPr>
        <w:tc>
          <w:tcPr>
            <w:tcW w:w="0" w:type="auto"/>
            <w:tcBorders>
              <w:right w:val="single" w:sz="12" w:space="0" w:color="auto"/>
            </w:tcBorders>
            <w:vAlign w:val="center"/>
          </w:tcPr>
          <w:p w14:paraId="064D43EC" w14:textId="77777777" w:rsidR="00A124D6" w:rsidRPr="005B7BEE" w:rsidRDefault="00A124D6" w:rsidP="00A124D6">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5D336C41" w14:textId="04D04C5C"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CCEA4F" w14:textId="242914E3"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845935F" w14:textId="1029C946"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335F9A" w14:textId="684E3027"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DE78AB5" w14:textId="2A7885F7" w:rsidR="00A124D6" w:rsidRDefault="00A124D6" w:rsidP="00A124D6">
            <w:pPr>
              <w:keepNext/>
              <w:jc w:val="center"/>
            </w:pPr>
            <w:r>
              <w:rPr>
                <w:rFonts w:ascii="Calibri" w:hAnsi="Calibri" w:cs="Calibri"/>
                <w:color w:val="000000"/>
              </w:rPr>
              <w:t>0</w:t>
            </w:r>
          </w:p>
        </w:tc>
        <w:tc>
          <w:tcPr>
            <w:tcW w:w="0" w:type="auto"/>
            <w:tcBorders>
              <w:top w:val="nil"/>
              <w:left w:val="nil"/>
              <w:bottom w:val="nil"/>
              <w:right w:val="nil"/>
            </w:tcBorders>
          </w:tcPr>
          <w:p w14:paraId="36C13405" w14:textId="77777777" w:rsidR="00A124D6" w:rsidRDefault="00A124D6" w:rsidP="00A124D6">
            <w:pPr>
              <w:keepNext/>
              <w:jc w:val="center"/>
            </w:pPr>
          </w:p>
        </w:tc>
        <w:tc>
          <w:tcPr>
            <w:tcW w:w="0" w:type="auto"/>
          </w:tcPr>
          <w:p w14:paraId="2CF57DCF" w14:textId="60C969E6" w:rsidR="00A124D6" w:rsidRPr="005B7BEE" w:rsidRDefault="00A124D6" w:rsidP="00A124D6">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60E82771" w14:textId="4E165F65"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53E1190" w14:textId="4E50AE22"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9349049" w14:textId="7A25B38A" w:rsidR="00A124D6" w:rsidRPr="00210DD1"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0902B97" w14:textId="3E3B4963"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5E52F6C" w14:textId="2A4661C2" w:rsidR="00A124D6" w:rsidRDefault="00A124D6" w:rsidP="00A124D6">
            <w:pPr>
              <w:keepNext/>
              <w:jc w:val="center"/>
            </w:pPr>
            <w:r>
              <w:rPr>
                <w:rFonts w:ascii="Calibri" w:hAnsi="Calibri" w:cs="Calibri"/>
                <w:color w:val="000000"/>
              </w:rPr>
              <w:t>0</w:t>
            </w:r>
          </w:p>
        </w:tc>
      </w:tr>
      <w:tr w:rsidR="00A124D6" w:rsidRPr="00F60A9B" w14:paraId="42A77F27" w14:textId="77777777" w:rsidTr="000B4EF4">
        <w:trPr>
          <w:jc w:val="center"/>
        </w:trPr>
        <w:tc>
          <w:tcPr>
            <w:tcW w:w="0" w:type="auto"/>
            <w:tcBorders>
              <w:right w:val="single" w:sz="12" w:space="0" w:color="auto"/>
            </w:tcBorders>
            <w:vAlign w:val="center"/>
          </w:tcPr>
          <w:p w14:paraId="0C42F7CC" w14:textId="77777777" w:rsidR="00A124D6" w:rsidRPr="005B7BEE" w:rsidRDefault="00A124D6" w:rsidP="00A124D6">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02910C6" w14:textId="6BA9A4B7" w:rsidR="00A124D6" w:rsidRPr="00F60A9B"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275303B" w14:textId="1A329630"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4C81909" w14:textId="3AD40FE1"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7528B7" w14:textId="516EFE3E"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8A7C208" w14:textId="224E1F3F" w:rsidR="00A124D6" w:rsidRPr="00F60A9B" w:rsidRDefault="00A124D6" w:rsidP="00A124D6">
            <w:pPr>
              <w:keepNext/>
              <w:jc w:val="center"/>
            </w:pPr>
            <w:r>
              <w:rPr>
                <w:rFonts w:ascii="Calibri" w:hAnsi="Calibri" w:cs="Calibri"/>
                <w:color w:val="000000"/>
              </w:rPr>
              <w:t>0</w:t>
            </w:r>
          </w:p>
        </w:tc>
        <w:tc>
          <w:tcPr>
            <w:tcW w:w="0" w:type="auto"/>
            <w:tcBorders>
              <w:top w:val="nil"/>
              <w:left w:val="nil"/>
              <w:bottom w:val="nil"/>
              <w:right w:val="nil"/>
            </w:tcBorders>
            <w:tcMar>
              <w:left w:w="115" w:type="dxa"/>
              <w:right w:w="144" w:type="dxa"/>
            </w:tcMar>
          </w:tcPr>
          <w:p w14:paraId="66CB86AB" w14:textId="0ED76F51" w:rsidR="00A124D6" w:rsidRDefault="00A124D6" w:rsidP="00A124D6">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28FA3F31" w14:textId="26F001A7" w:rsidR="00A124D6" w:rsidRDefault="00A124D6" w:rsidP="00A124D6">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356F1F3" w14:textId="34D9A107"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8CC520" w14:textId="45230526" w:rsidR="00A124D6"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8735244" w14:textId="11380628"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27B4EC" w14:textId="157D1E12"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D54A0BE" w14:textId="59EF7E54" w:rsidR="00A124D6" w:rsidRDefault="00A124D6" w:rsidP="00A124D6">
            <w:pPr>
              <w:keepNext/>
              <w:jc w:val="center"/>
            </w:pPr>
            <w:r>
              <w:rPr>
                <w:rFonts w:ascii="Calibri" w:hAnsi="Calibri" w:cs="Calibri"/>
                <w:color w:val="000000"/>
              </w:rPr>
              <w:t>1</w:t>
            </w:r>
          </w:p>
        </w:tc>
      </w:tr>
      <w:tr w:rsidR="00A124D6" w:rsidRPr="00F60A9B" w14:paraId="3A44A713" w14:textId="77777777" w:rsidTr="000B4EF4">
        <w:trPr>
          <w:jc w:val="center"/>
        </w:trPr>
        <w:tc>
          <w:tcPr>
            <w:tcW w:w="0" w:type="auto"/>
            <w:tcBorders>
              <w:right w:val="single" w:sz="12" w:space="0" w:color="auto"/>
            </w:tcBorders>
            <w:vAlign w:val="center"/>
          </w:tcPr>
          <w:p w14:paraId="2EC5C4C0" w14:textId="77777777" w:rsidR="00A124D6" w:rsidRPr="005B7BEE" w:rsidRDefault="00A124D6" w:rsidP="00A124D6">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419BB76" w14:textId="7DF2B030" w:rsidR="00A124D6" w:rsidRPr="00F60A9B"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A39832C" w14:textId="4FD5E6FB" w:rsidR="00A124D6" w:rsidRPr="00210DD1"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2B69F8A4" w14:textId="2E032665" w:rsidR="00A124D6" w:rsidRPr="00210DD1"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747443" w14:textId="68ECF891"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D9CE928" w14:textId="7AEAFAC7" w:rsidR="00A124D6" w:rsidRPr="00F60A9B" w:rsidRDefault="00A124D6" w:rsidP="00A124D6">
            <w:pPr>
              <w:keepNext/>
              <w:jc w:val="center"/>
            </w:pPr>
            <w:r>
              <w:rPr>
                <w:rFonts w:ascii="Calibri" w:hAnsi="Calibri" w:cs="Calibri"/>
                <w:color w:val="000000"/>
              </w:rPr>
              <w:t>0</w:t>
            </w:r>
          </w:p>
        </w:tc>
        <w:tc>
          <w:tcPr>
            <w:tcW w:w="0" w:type="auto"/>
            <w:tcBorders>
              <w:top w:val="nil"/>
              <w:left w:val="nil"/>
              <w:bottom w:val="nil"/>
              <w:right w:val="nil"/>
            </w:tcBorders>
          </w:tcPr>
          <w:p w14:paraId="67A993EC" w14:textId="77777777" w:rsidR="00A124D6" w:rsidRDefault="00A124D6" w:rsidP="00A124D6">
            <w:pPr>
              <w:keepNext/>
              <w:jc w:val="center"/>
            </w:pPr>
          </w:p>
        </w:tc>
        <w:tc>
          <w:tcPr>
            <w:tcW w:w="0" w:type="auto"/>
          </w:tcPr>
          <w:p w14:paraId="6F9CB041" w14:textId="0689466F" w:rsidR="00A124D6" w:rsidRDefault="00A124D6" w:rsidP="00A124D6">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922A08D" w14:textId="2CFBE536"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07633A3" w14:textId="2D9AAAC1"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1A7DC12" w14:textId="7CA51A51" w:rsidR="00A124D6" w:rsidRDefault="00A124D6" w:rsidP="00A124D6">
            <w:pPr>
              <w:keepNext/>
              <w:jc w:val="cente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vAlign w:val="bottom"/>
          </w:tcPr>
          <w:p w14:paraId="1FB248BA" w14:textId="52AE7CE1"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159CC52A" w14:textId="23BD7859" w:rsidR="00A124D6" w:rsidRDefault="00A124D6" w:rsidP="00A124D6">
            <w:pPr>
              <w:keepNext/>
              <w:jc w:val="center"/>
            </w:pPr>
            <w:r>
              <w:rPr>
                <w:rFonts w:ascii="Calibri" w:hAnsi="Calibri" w:cs="Calibri"/>
                <w:color w:val="000000"/>
              </w:rPr>
              <w:t>0</w:t>
            </w:r>
          </w:p>
        </w:tc>
      </w:tr>
      <w:tr w:rsidR="00A124D6" w:rsidRPr="00F60A9B" w14:paraId="3ED9D5FA" w14:textId="77777777" w:rsidTr="000B4EF4">
        <w:trPr>
          <w:jc w:val="center"/>
        </w:trPr>
        <w:tc>
          <w:tcPr>
            <w:tcW w:w="0" w:type="auto"/>
            <w:tcBorders>
              <w:right w:val="single" w:sz="12" w:space="0" w:color="auto"/>
            </w:tcBorders>
            <w:vAlign w:val="center"/>
          </w:tcPr>
          <w:p w14:paraId="76CA58AE" w14:textId="77777777" w:rsidR="00A124D6" w:rsidRPr="005B7BEE" w:rsidRDefault="00A124D6" w:rsidP="00A124D6">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BB90C63" w14:textId="588E4670" w:rsidR="00A124D6" w:rsidRPr="00F60A9B"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1D1180" w14:textId="258D85A4"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3525AF" w14:textId="34BF683F"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CF3574E" w14:textId="131D5D72"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E693609" w14:textId="725695C8" w:rsidR="00A124D6" w:rsidRPr="00F60A9B" w:rsidRDefault="00A124D6" w:rsidP="00A124D6">
            <w:pPr>
              <w:keepNext/>
              <w:jc w:val="center"/>
            </w:pPr>
            <w:r>
              <w:rPr>
                <w:rFonts w:ascii="Calibri" w:hAnsi="Calibri" w:cs="Calibri"/>
                <w:color w:val="000000"/>
              </w:rPr>
              <w:t>0</w:t>
            </w:r>
          </w:p>
        </w:tc>
        <w:tc>
          <w:tcPr>
            <w:tcW w:w="0" w:type="auto"/>
            <w:tcBorders>
              <w:top w:val="nil"/>
              <w:left w:val="nil"/>
              <w:bottom w:val="nil"/>
              <w:right w:val="nil"/>
            </w:tcBorders>
          </w:tcPr>
          <w:p w14:paraId="354AC3EC" w14:textId="77777777" w:rsidR="00A124D6" w:rsidRDefault="00A124D6" w:rsidP="00A124D6">
            <w:pPr>
              <w:keepNext/>
              <w:jc w:val="center"/>
            </w:pPr>
          </w:p>
        </w:tc>
        <w:tc>
          <w:tcPr>
            <w:tcW w:w="0" w:type="auto"/>
          </w:tcPr>
          <w:p w14:paraId="104B079C" w14:textId="1EEF2610" w:rsidR="00A124D6" w:rsidRDefault="00A124D6" w:rsidP="00A124D6">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296F9B1A" w14:textId="4B7A668D"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99E0D76" w14:textId="3BA16187"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F77399C" w14:textId="3582B101" w:rsidR="00A124D6" w:rsidRDefault="00A124D6" w:rsidP="00A124D6">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EA1C65" w14:textId="6D50E777" w:rsidR="00A124D6" w:rsidRDefault="00A124D6" w:rsidP="00A124D6">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F5018F1" w14:textId="6CDD63A9" w:rsidR="00A124D6" w:rsidRDefault="00A124D6" w:rsidP="00A124D6">
            <w:pPr>
              <w:keepNext/>
              <w:jc w:val="center"/>
            </w:pPr>
            <w:r>
              <w:rPr>
                <w:rFonts w:ascii="Calibri" w:hAnsi="Calibri" w:cs="Calibri"/>
                <w:color w:val="000000"/>
              </w:rPr>
              <w:t>0</w:t>
            </w:r>
          </w:p>
        </w:tc>
      </w:tr>
      <w:tr w:rsidR="00A124D6" w:rsidRPr="00F60A9B" w14:paraId="6CC8793E" w14:textId="77777777" w:rsidTr="000B4EF4">
        <w:trPr>
          <w:jc w:val="center"/>
        </w:trPr>
        <w:tc>
          <w:tcPr>
            <w:tcW w:w="0" w:type="auto"/>
            <w:tcBorders>
              <w:right w:val="single" w:sz="12" w:space="0" w:color="auto"/>
            </w:tcBorders>
            <w:vAlign w:val="center"/>
          </w:tcPr>
          <w:p w14:paraId="45F2BE8C" w14:textId="77777777" w:rsidR="00A124D6" w:rsidRPr="005B7BEE" w:rsidRDefault="00A124D6" w:rsidP="00A124D6">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0C84DBD3" w14:textId="38B271F1" w:rsidR="00A124D6" w:rsidRPr="00F60A9B" w:rsidRDefault="00A124D6" w:rsidP="00A124D6">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5FF1F4C2" w14:textId="4F79549F" w:rsidR="00A124D6" w:rsidRPr="00210DD1" w:rsidRDefault="00A124D6" w:rsidP="00A124D6">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60479EC6" w14:textId="110C545C" w:rsidR="00A124D6" w:rsidRPr="00210DD1" w:rsidRDefault="00A124D6" w:rsidP="00A124D6">
            <w:pPr>
              <w:keepNext/>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36A30C23" w14:textId="0A0DD30F" w:rsidR="00A124D6" w:rsidRPr="00210DD1" w:rsidRDefault="00A124D6" w:rsidP="00A124D6">
            <w:pPr>
              <w:keepNext/>
              <w:jc w:val="center"/>
            </w:pPr>
            <w:r>
              <w:rPr>
                <w:rFonts w:ascii="Calibri" w:hAnsi="Calibri" w:cs="Calibri"/>
                <w:color w:val="000000"/>
              </w:rPr>
              <w:t>1</w:t>
            </w:r>
          </w:p>
        </w:tc>
        <w:tc>
          <w:tcPr>
            <w:tcW w:w="0" w:type="auto"/>
            <w:tcBorders>
              <w:top w:val="nil"/>
              <w:left w:val="nil"/>
              <w:bottom w:val="single" w:sz="8" w:space="0" w:color="auto"/>
              <w:right w:val="single" w:sz="8" w:space="0" w:color="auto"/>
            </w:tcBorders>
            <w:shd w:val="clear" w:color="auto" w:fill="auto"/>
            <w:vAlign w:val="bottom"/>
          </w:tcPr>
          <w:p w14:paraId="28157E5F" w14:textId="2F0C20AF" w:rsidR="00A124D6" w:rsidRPr="00F60A9B" w:rsidRDefault="00A124D6" w:rsidP="00A124D6">
            <w:pPr>
              <w:keepNext/>
              <w:jc w:val="center"/>
            </w:pPr>
            <w:r>
              <w:rPr>
                <w:rFonts w:ascii="Calibri" w:hAnsi="Calibri" w:cs="Calibri"/>
                <w:color w:val="000000"/>
              </w:rPr>
              <w:t>2</w:t>
            </w:r>
          </w:p>
        </w:tc>
        <w:tc>
          <w:tcPr>
            <w:tcW w:w="0" w:type="auto"/>
            <w:tcBorders>
              <w:top w:val="nil"/>
              <w:left w:val="nil"/>
              <w:bottom w:val="nil"/>
              <w:right w:val="nil"/>
            </w:tcBorders>
          </w:tcPr>
          <w:p w14:paraId="5B9DCC51" w14:textId="77777777" w:rsidR="00A124D6" w:rsidRDefault="00A124D6" w:rsidP="00A124D6">
            <w:pPr>
              <w:keepNext/>
              <w:jc w:val="center"/>
            </w:pPr>
          </w:p>
        </w:tc>
        <w:tc>
          <w:tcPr>
            <w:tcW w:w="0" w:type="auto"/>
          </w:tcPr>
          <w:p w14:paraId="4FB4160B" w14:textId="4EE1656B" w:rsidR="00A124D6" w:rsidRDefault="00A124D6" w:rsidP="00A124D6">
            <w:pPr>
              <w:keepNext/>
              <w:jc w:val="cente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4ABE7CF0" w14:textId="6F93D530" w:rsidR="00A124D6" w:rsidRDefault="00A124D6" w:rsidP="00A124D6">
            <w:pPr>
              <w:keepNext/>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8CBCDF8" w14:textId="19DB1D80" w:rsidR="00A124D6" w:rsidRDefault="00A124D6" w:rsidP="00A124D6">
            <w:pPr>
              <w:keepNext/>
              <w:jc w:val="center"/>
            </w:pPr>
            <w:r>
              <w:rPr>
                <w:rFonts w:ascii="Calibri" w:hAnsi="Calibri" w:cs="Calibri"/>
                <w:color w:val="000000"/>
              </w:rPr>
              <w:t>1</w:t>
            </w:r>
          </w:p>
        </w:tc>
        <w:tc>
          <w:tcPr>
            <w:tcW w:w="0" w:type="auto"/>
            <w:tcBorders>
              <w:top w:val="nil"/>
              <w:left w:val="nil"/>
              <w:bottom w:val="single" w:sz="8" w:space="0" w:color="auto"/>
              <w:right w:val="single" w:sz="4" w:space="0" w:color="auto"/>
            </w:tcBorders>
            <w:shd w:val="clear" w:color="auto" w:fill="auto"/>
            <w:vAlign w:val="bottom"/>
          </w:tcPr>
          <w:p w14:paraId="0DA96136" w14:textId="65F8E67B" w:rsidR="00A124D6" w:rsidRDefault="00A124D6" w:rsidP="00A124D6">
            <w:pPr>
              <w:keepNext/>
              <w:jc w:val="center"/>
            </w:pPr>
            <w:r>
              <w:rPr>
                <w:rFonts w:ascii="Calibri" w:hAnsi="Calibri" w:cs="Calibri"/>
                <w:color w:val="000000"/>
              </w:rPr>
              <w:t>5</w:t>
            </w:r>
          </w:p>
        </w:tc>
        <w:tc>
          <w:tcPr>
            <w:tcW w:w="0" w:type="auto"/>
            <w:tcBorders>
              <w:top w:val="nil"/>
              <w:left w:val="nil"/>
              <w:bottom w:val="single" w:sz="8" w:space="0" w:color="auto"/>
              <w:right w:val="single" w:sz="4" w:space="0" w:color="auto"/>
            </w:tcBorders>
            <w:shd w:val="clear" w:color="auto" w:fill="auto"/>
            <w:vAlign w:val="bottom"/>
          </w:tcPr>
          <w:p w14:paraId="36031E59" w14:textId="0A3158C6" w:rsidR="00A124D6" w:rsidRDefault="00A124D6" w:rsidP="00A124D6">
            <w:pPr>
              <w:keepNext/>
              <w:jc w:val="center"/>
            </w:pPr>
            <w:r>
              <w:rPr>
                <w:rFonts w:ascii="Calibri" w:hAnsi="Calibri" w:cs="Calibri"/>
                <w:color w:val="000000"/>
              </w:rPr>
              <w:t>7</w:t>
            </w:r>
          </w:p>
        </w:tc>
        <w:tc>
          <w:tcPr>
            <w:tcW w:w="0" w:type="auto"/>
            <w:tcBorders>
              <w:top w:val="nil"/>
              <w:left w:val="nil"/>
              <w:bottom w:val="single" w:sz="8" w:space="0" w:color="auto"/>
              <w:right w:val="single" w:sz="8" w:space="0" w:color="auto"/>
            </w:tcBorders>
            <w:shd w:val="clear" w:color="auto" w:fill="auto"/>
            <w:vAlign w:val="bottom"/>
          </w:tcPr>
          <w:p w14:paraId="30B00BFB" w14:textId="5917B08C" w:rsidR="00A124D6" w:rsidRDefault="00A124D6" w:rsidP="00A124D6">
            <w:pPr>
              <w:keepNext/>
              <w:jc w:val="center"/>
            </w:pPr>
            <w:r>
              <w:rPr>
                <w:rFonts w:ascii="Calibri" w:hAnsi="Calibri" w:cs="Calibri"/>
                <w:color w:val="000000"/>
              </w:rPr>
              <w:t>5</w:t>
            </w:r>
          </w:p>
        </w:tc>
      </w:tr>
    </w:tbl>
    <w:p w14:paraId="61E0304A" w14:textId="4EDB2EF6" w:rsidR="009262D1" w:rsidRDefault="009262D1" w:rsidP="009262D1">
      <w:pPr>
        <w:pStyle w:val="Caption"/>
        <w:keepNext/>
        <w:spacing w:before="120"/>
        <w:jc w:val="center"/>
      </w:pPr>
      <w:r>
        <w:t xml:space="preserve">Equation </w:t>
      </w:r>
      <w:r>
        <w:fldChar w:fldCharType="begin"/>
      </w:r>
      <w:r>
        <w:instrText xml:space="preserve"> SEQ Equation \* ARABIC </w:instrText>
      </w:r>
      <w:r>
        <w:fldChar w:fldCharType="separate"/>
      </w:r>
      <w:r w:rsidR="003468AE">
        <w:rPr>
          <w:noProof/>
        </w:rPr>
        <w:t>29</w:t>
      </w:r>
      <w:r>
        <w:rPr>
          <w:noProof/>
        </w:rPr>
        <w:fldChar w:fldCharType="end"/>
      </w:r>
    </w:p>
    <w:p w14:paraId="70A96EF5" w14:textId="77777777" w:rsidR="009262D1" w:rsidRPr="00B1343F" w:rsidRDefault="009262D1" w:rsidP="00806685">
      <w:pPr>
        <w:spacing w:after="0" w:line="240" w:lineRule="auto"/>
        <w:rPr>
          <w:rFonts w:eastAsiaTheme="minorEastAsia"/>
        </w:rPr>
      </w:pPr>
    </w:p>
    <w:p w14:paraId="2F12924F" w14:textId="3E7331F4" w:rsidR="009262D1" w:rsidRPr="0020191B" w:rsidRDefault="009262D1">
      <w:pPr>
        <w:pStyle w:val="ListParagraph"/>
        <w:numPr>
          <w:ilvl w:val="0"/>
          <w:numId w:val="31"/>
        </w:numPr>
        <w:outlineLvl w:val="2"/>
        <w:rPr>
          <w:rFonts w:eastAsiaTheme="minorEastAsia"/>
        </w:rPr>
      </w:pPr>
      <w:bookmarkStart w:id="112" w:name="_Toc156728671"/>
      <w:r>
        <w:t xml:space="preserve">Simplify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rsidR="001E41EA">
        <w:t xml:space="preserve">Equation </w:t>
      </w:r>
      <w:r w:rsidR="001E41EA">
        <w:rPr>
          <w:noProof/>
        </w:rPr>
        <w:t>9</w:t>
      </w:r>
      <w:r>
        <w:rPr>
          <w:rFonts w:cstheme="minorHAnsi"/>
        </w:rPr>
        <w:fldChar w:fldCharType="end"/>
      </w:r>
      <w:r>
        <w:rPr>
          <w:rFonts w:cstheme="minorHAnsi"/>
        </w:rPr>
        <w:t xml:space="preserve"> until it is clear whether benefit exceeds risk</w:t>
      </w:r>
      <w:bookmarkEnd w:id="112"/>
    </w:p>
    <w:p w14:paraId="7683AA5A" w14:textId="77777777" w:rsidR="009262D1" w:rsidRPr="0020191B" w:rsidRDefault="009262D1" w:rsidP="009262D1">
      <w:pPr>
        <w:pStyle w:val="ListParagraph"/>
        <w:rPr>
          <w:rFonts w:eastAsiaTheme="minorEastAsia"/>
        </w:rPr>
      </w:pPr>
    </w:p>
    <w:p w14:paraId="622B67CB" w14:textId="4E7878A2" w:rsidR="00B66C73" w:rsidRDefault="009262D1">
      <w:pPr>
        <w:pStyle w:val="ListParagraph"/>
        <w:numPr>
          <w:ilvl w:val="1"/>
          <w:numId w:val="31"/>
        </w:numPr>
        <w:rPr>
          <w:rFonts w:eastAsiaTheme="minorEastAsia"/>
        </w:rPr>
      </w:pPr>
      <w:r>
        <w:rPr>
          <w:rFonts w:eastAsiaTheme="minorEastAsia"/>
        </w:rPr>
        <w:t xml:space="preserve">Use “Removing Identical Risks” to simplify </w:t>
      </w:r>
      <w:r>
        <w:rPr>
          <w:rFonts w:eastAsiaTheme="minorEastAsia"/>
        </w:rPr>
        <w:fldChar w:fldCharType="begin"/>
      </w:r>
      <w:r>
        <w:rPr>
          <w:rFonts w:eastAsiaTheme="minorEastAsia"/>
        </w:rPr>
        <w:instrText xml:space="preserve"> REF _Ref147478729 \h </w:instrText>
      </w:r>
      <w:r>
        <w:rPr>
          <w:rFonts w:eastAsiaTheme="minorEastAsia"/>
        </w:rPr>
      </w:r>
      <w:r>
        <w:rPr>
          <w:rFonts w:eastAsiaTheme="minorEastAsia"/>
        </w:rPr>
        <w:fldChar w:fldCharType="separate"/>
      </w:r>
      <w:r w:rsidR="001E41EA">
        <w:t xml:space="preserve">Equation </w:t>
      </w:r>
      <w:r w:rsidR="001E41EA">
        <w:rPr>
          <w:noProof/>
        </w:rPr>
        <w:t>23</w:t>
      </w:r>
      <w:r>
        <w:rPr>
          <w:rFonts w:eastAsiaTheme="minorEastAsia"/>
        </w:rPr>
        <w:fldChar w:fldCharType="end"/>
      </w:r>
      <w:r>
        <w:rPr>
          <w:rFonts w:eastAsiaTheme="minorEastAsia"/>
        </w:rPr>
        <w:t>:</w:t>
      </w:r>
      <w:r w:rsidR="00E94EAF">
        <w:rPr>
          <w:rFonts w:eastAsiaTheme="minorEastAsia"/>
        </w:rPr>
        <w:t xml:space="preserve">  </w:t>
      </w:r>
    </w:p>
    <w:p w14:paraId="1F042BC7" w14:textId="77777777" w:rsidR="00E94EAF" w:rsidRDefault="00E94EAF" w:rsidP="00E94EAF">
      <w:pPr>
        <w:pStyle w:val="ListParagraph"/>
        <w:ind w:left="864"/>
        <w:rPr>
          <w:rFonts w:eastAsiaTheme="minorEastAsia"/>
        </w:rPr>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E94EAF" w:rsidRPr="00F60A9B" w14:paraId="5B920CB3" w14:textId="77777777" w:rsidTr="00024DD9">
        <w:trPr>
          <w:tblHeader/>
          <w:jc w:val="center"/>
        </w:trPr>
        <w:tc>
          <w:tcPr>
            <w:tcW w:w="0" w:type="auto"/>
            <w:tcBorders>
              <w:top w:val="nil"/>
              <w:left w:val="nil"/>
              <w:bottom w:val="single" w:sz="4" w:space="0" w:color="auto"/>
            </w:tcBorders>
            <w:vAlign w:val="center"/>
          </w:tcPr>
          <w:p w14:paraId="23E93732" w14:textId="77777777" w:rsidR="00E94EAF" w:rsidRPr="00F60A9B"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4F73EFF" w14:textId="77777777" w:rsidR="00E94EAF" w:rsidRPr="005B7BEE" w:rsidRDefault="00E94EAF"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5C38A190" w14:textId="77777777" w:rsidR="00E94EAF" w:rsidRPr="005B7BEE" w:rsidRDefault="00E94EAF"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039B04DB" w14:textId="77777777" w:rsidR="00E94EAF" w:rsidRPr="005B7BEE" w:rsidRDefault="00E94EAF"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D15FC7B" w14:textId="77777777" w:rsidR="00E94EAF" w:rsidRPr="005B7BEE" w:rsidRDefault="00E94EAF"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F83D9FD" w14:textId="77777777" w:rsidR="00E94EAF" w:rsidRPr="005B7BEE" w:rsidRDefault="00E94EAF" w:rsidP="00024DD9">
            <w:pPr>
              <w:keepNext/>
              <w:jc w:val="center"/>
              <w:rPr>
                <w:sz w:val="14"/>
                <w:szCs w:val="14"/>
              </w:rPr>
            </w:pPr>
            <w:r w:rsidRPr="005B7BEE">
              <w:rPr>
                <w:sz w:val="14"/>
                <w:szCs w:val="14"/>
              </w:rPr>
              <w:t xml:space="preserve">Catastrophic </w:t>
            </w:r>
          </w:p>
          <w:p w14:paraId="004EC0EA" w14:textId="77777777" w:rsidR="00E94EAF" w:rsidRPr="005B7BEE" w:rsidRDefault="00E94EAF" w:rsidP="00024DD9">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684B8A2D" w14:textId="77777777" w:rsidR="00E94EAF" w:rsidRPr="005B7BEE" w:rsidRDefault="00E94EAF" w:rsidP="00024DD9">
            <w:pPr>
              <w:keepNext/>
              <w:jc w:val="center"/>
              <w:rPr>
                <w:sz w:val="14"/>
                <w:szCs w:val="14"/>
              </w:rPr>
            </w:pPr>
          </w:p>
        </w:tc>
        <w:tc>
          <w:tcPr>
            <w:tcW w:w="0" w:type="auto"/>
            <w:tcBorders>
              <w:top w:val="nil"/>
              <w:left w:val="nil"/>
              <w:bottom w:val="single" w:sz="12" w:space="0" w:color="auto"/>
            </w:tcBorders>
            <w:vAlign w:val="center"/>
          </w:tcPr>
          <w:p w14:paraId="3500D0E4" w14:textId="77777777" w:rsidR="00E94EAF" w:rsidRPr="005B7BEE"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7B5A9C4E" w14:textId="77777777" w:rsidR="00E94EAF" w:rsidRPr="005B7BEE" w:rsidRDefault="00E94EAF"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5E2B689A" w14:textId="77777777" w:rsidR="00E94EAF" w:rsidRPr="005B7BEE" w:rsidRDefault="00E94EAF"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4258B6FC" w14:textId="77777777" w:rsidR="00E94EAF" w:rsidRPr="005B7BEE" w:rsidRDefault="00E94EAF"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070AF9F" w14:textId="77777777" w:rsidR="00E94EAF" w:rsidRPr="005B7BEE" w:rsidRDefault="00E94EAF"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E0E4AF0" w14:textId="77777777" w:rsidR="00E94EAF" w:rsidRPr="005B7BEE" w:rsidRDefault="00E94EAF" w:rsidP="00024DD9">
            <w:pPr>
              <w:keepNext/>
              <w:jc w:val="center"/>
              <w:rPr>
                <w:sz w:val="14"/>
                <w:szCs w:val="14"/>
              </w:rPr>
            </w:pPr>
            <w:r w:rsidRPr="005B7BEE">
              <w:rPr>
                <w:sz w:val="14"/>
                <w:szCs w:val="14"/>
              </w:rPr>
              <w:t xml:space="preserve">Catastrophic </w:t>
            </w:r>
          </w:p>
          <w:p w14:paraId="655DD3C5" w14:textId="77777777" w:rsidR="00E94EAF" w:rsidRDefault="00E94EAF" w:rsidP="00024DD9">
            <w:pPr>
              <w:keepNext/>
              <w:jc w:val="center"/>
              <w:rPr>
                <w:rFonts w:ascii="Calibri" w:eastAsia="Calibri" w:hAnsi="Calibri" w:cs="Times New Roman"/>
              </w:rPr>
            </w:pPr>
            <w:r w:rsidRPr="005B7BEE">
              <w:rPr>
                <w:sz w:val="14"/>
                <w:szCs w:val="14"/>
              </w:rPr>
              <w:t>/ Fatal</w:t>
            </w:r>
          </w:p>
        </w:tc>
      </w:tr>
      <w:tr w:rsidR="005A3FE2" w:rsidRPr="00F60A9B" w14:paraId="517BCFD2" w14:textId="77777777" w:rsidTr="00544003">
        <w:trPr>
          <w:jc w:val="center"/>
        </w:trPr>
        <w:tc>
          <w:tcPr>
            <w:tcW w:w="0" w:type="auto"/>
            <w:tcBorders>
              <w:top w:val="single" w:sz="4" w:space="0" w:color="auto"/>
              <w:right w:val="single" w:sz="12" w:space="0" w:color="auto"/>
            </w:tcBorders>
            <w:vAlign w:val="center"/>
          </w:tcPr>
          <w:p w14:paraId="0CFE0A98" w14:textId="77777777" w:rsidR="005A3FE2" w:rsidRPr="005B7BEE" w:rsidRDefault="005A3FE2" w:rsidP="005A3FE2">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8E91B59" w14:textId="468AAFA4" w:rsidR="005A3FE2" w:rsidRPr="00F60A9B"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1CAECA9" w14:textId="518106EF" w:rsidR="005A3FE2" w:rsidRPr="00210DD1"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0E60C9A" w14:textId="5DF3EF4A" w:rsidR="005A3FE2" w:rsidRPr="00210DD1"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47E3780" w14:textId="722FDC5F" w:rsidR="005A3FE2" w:rsidRPr="00210DD1"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5924153F" w14:textId="31261755" w:rsidR="005A3FE2" w:rsidRPr="00F60A9B" w:rsidRDefault="005A3FE2" w:rsidP="005A3FE2">
            <w:pPr>
              <w:keepNext/>
              <w:jc w:val="center"/>
            </w:pPr>
            <w:r>
              <w:rPr>
                <w:rFonts w:ascii="Calibri" w:hAnsi="Calibri" w:cs="Calibri"/>
                <w:color w:val="000000"/>
              </w:rPr>
              <w:t>0</w:t>
            </w:r>
          </w:p>
        </w:tc>
        <w:tc>
          <w:tcPr>
            <w:tcW w:w="0" w:type="auto"/>
            <w:tcBorders>
              <w:top w:val="nil"/>
              <w:left w:val="nil"/>
              <w:bottom w:val="nil"/>
              <w:right w:val="nil"/>
            </w:tcBorders>
          </w:tcPr>
          <w:p w14:paraId="584FF35E" w14:textId="77777777" w:rsidR="005A3FE2" w:rsidRDefault="005A3FE2" w:rsidP="005A3FE2">
            <w:pPr>
              <w:keepNext/>
              <w:jc w:val="center"/>
            </w:pPr>
          </w:p>
        </w:tc>
        <w:tc>
          <w:tcPr>
            <w:tcW w:w="0" w:type="auto"/>
            <w:tcBorders>
              <w:top w:val="single" w:sz="12" w:space="0" w:color="auto"/>
            </w:tcBorders>
          </w:tcPr>
          <w:p w14:paraId="0E38430E" w14:textId="0974AC07" w:rsidR="005A3FE2" w:rsidRDefault="005A3FE2" w:rsidP="005A3FE2">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1F7124C3" w14:textId="74CC7C81" w:rsidR="005A3FE2"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529C1AEA" w14:textId="63D152E7" w:rsidR="005A3FE2"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49C16730" w14:textId="70665370" w:rsidR="005A3FE2"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1BA070A9" w14:textId="209BE2A1" w:rsidR="005A3FE2" w:rsidRDefault="005A3FE2" w:rsidP="005A3FE2">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750EBD29" w14:textId="1752068B" w:rsidR="005A3FE2" w:rsidRDefault="005A3FE2" w:rsidP="005A3FE2">
            <w:pPr>
              <w:keepNext/>
              <w:jc w:val="center"/>
            </w:pPr>
            <w:r>
              <w:rPr>
                <w:rFonts w:ascii="Calibri" w:hAnsi="Calibri" w:cs="Calibri"/>
                <w:color w:val="000000"/>
              </w:rPr>
              <w:t>0</w:t>
            </w:r>
          </w:p>
        </w:tc>
      </w:tr>
      <w:tr w:rsidR="005A3FE2" w:rsidRPr="00F60A9B" w14:paraId="7DE30D60" w14:textId="77777777" w:rsidTr="00544003">
        <w:trPr>
          <w:jc w:val="center"/>
        </w:trPr>
        <w:tc>
          <w:tcPr>
            <w:tcW w:w="0" w:type="auto"/>
            <w:tcBorders>
              <w:right w:val="single" w:sz="12" w:space="0" w:color="auto"/>
            </w:tcBorders>
            <w:shd w:val="clear" w:color="auto" w:fill="auto"/>
            <w:vAlign w:val="center"/>
          </w:tcPr>
          <w:p w14:paraId="15E083EF" w14:textId="77777777" w:rsidR="005A3FE2" w:rsidRPr="005B7BEE" w:rsidRDefault="005A3FE2" w:rsidP="005A3FE2">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13216BA" w14:textId="1D59E43C"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9ED288" w14:textId="1C9588CC"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CFF9A00" w14:textId="2FADBA06"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4C3CFBC" w14:textId="36C64FB2"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705420D" w14:textId="70EC3F7F" w:rsidR="005A3FE2" w:rsidRDefault="005A3FE2" w:rsidP="005A3FE2">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7FC3D5FE" w14:textId="77777777" w:rsidR="005A3FE2" w:rsidRDefault="005A3FE2" w:rsidP="005A3FE2">
            <w:pPr>
              <w:keepNext/>
              <w:jc w:val="center"/>
            </w:pPr>
          </w:p>
        </w:tc>
        <w:tc>
          <w:tcPr>
            <w:tcW w:w="0" w:type="auto"/>
            <w:shd w:val="clear" w:color="auto" w:fill="auto"/>
          </w:tcPr>
          <w:p w14:paraId="16F57959" w14:textId="751AE615" w:rsidR="005A3FE2" w:rsidRPr="005B7BEE" w:rsidRDefault="005A3FE2" w:rsidP="005A3FE2">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623CF969" w14:textId="40D1C3FC" w:rsidR="005A3FE2"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839262E" w14:textId="4A586AF2"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7AA847" w14:textId="3D0B9BEF"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3965F0C" w14:textId="0169E763"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AC90C21" w14:textId="56DE5FFC" w:rsidR="005A3FE2" w:rsidRDefault="005A3FE2" w:rsidP="005A3FE2">
            <w:pPr>
              <w:keepNext/>
              <w:jc w:val="center"/>
            </w:pPr>
            <w:r>
              <w:rPr>
                <w:rFonts w:ascii="Calibri" w:hAnsi="Calibri" w:cs="Calibri"/>
                <w:color w:val="000000"/>
              </w:rPr>
              <w:t>0</w:t>
            </w:r>
          </w:p>
        </w:tc>
      </w:tr>
      <w:tr w:rsidR="005A3FE2" w:rsidRPr="00F60A9B" w14:paraId="362AD4BB" w14:textId="77777777" w:rsidTr="00544003">
        <w:trPr>
          <w:jc w:val="center"/>
        </w:trPr>
        <w:tc>
          <w:tcPr>
            <w:tcW w:w="0" w:type="auto"/>
            <w:tcBorders>
              <w:right w:val="single" w:sz="12" w:space="0" w:color="auto"/>
            </w:tcBorders>
            <w:vAlign w:val="center"/>
          </w:tcPr>
          <w:p w14:paraId="0A850F58" w14:textId="77777777" w:rsidR="005A3FE2" w:rsidRPr="005B7BEE" w:rsidRDefault="005A3FE2" w:rsidP="005A3FE2">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DAA5300" w14:textId="324CD131"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3EEB08" w14:textId="48020790"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ACB8F69" w14:textId="10E8F316"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E499293" w14:textId="53C24950"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88ECA9" w14:textId="5F837659" w:rsidR="005A3FE2" w:rsidRDefault="005A3FE2" w:rsidP="005A3FE2">
            <w:pPr>
              <w:keepNext/>
              <w:jc w:val="center"/>
            </w:pPr>
            <w:r>
              <w:rPr>
                <w:rFonts w:ascii="Calibri" w:hAnsi="Calibri" w:cs="Calibri"/>
                <w:color w:val="000000"/>
              </w:rPr>
              <w:t>0</w:t>
            </w:r>
          </w:p>
        </w:tc>
        <w:tc>
          <w:tcPr>
            <w:tcW w:w="0" w:type="auto"/>
            <w:tcBorders>
              <w:top w:val="nil"/>
              <w:left w:val="nil"/>
              <w:bottom w:val="nil"/>
              <w:right w:val="nil"/>
            </w:tcBorders>
          </w:tcPr>
          <w:p w14:paraId="5AEC18BD" w14:textId="77777777" w:rsidR="005A3FE2" w:rsidRDefault="005A3FE2" w:rsidP="005A3FE2">
            <w:pPr>
              <w:keepNext/>
              <w:jc w:val="center"/>
            </w:pPr>
          </w:p>
        </w:tc>
        <w:tc>
          <w:tcPr>
            <w:tcW w:w="0" w:type="auto"/>
          </w:tcPr>
          <w:p w14:paraId="2E7DE28D" w14:textId="6D8DDB1F" w:rsidR="005A3FE2" w:rsidRPr="005B7BEE" w:rsidRDefault="005A3FE2" w:rsidP="005A3FE2">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2E691789" w14:textId="2C152808"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B8B438" w14:textId="42AD85E9"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8E68CD5" w14:textId="15F70EAB" w:rsidR="005A3FE2" w:rsidRPr="00210DD1"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FB57B9A" w14:textId="41FA737D"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053B3F0" w14:textId="402D532F" w:rsidR="005A3FE2" w:rsidRDefault="005A3FE2" w:rsidP="005A3FE2">
            <w:pPr>
              <w:keepNext/>
              <w:jc w:val="center"/>
            </w:pPr>
            <w:r>
              <w:rPr>
                <w:rFonts w:ascii="Calibri" w:hAnsi="Calibri" w:cs="Calibri"/>
                <w:color w:val="000000"/>
              </w:rPr>
              <w:t>0</w:t>
            </w:r>
          </w:p>
        </w:tc>
      </w:tr>
      <w:tr w:rsidR="005A3FE2" w:rsidRPr="00F60A9B" w14:paraId="7894CB58" w14:textId="77777777" w:rsidTr="005A3FE2">
        <w:trPr>
          <w:jc w:val="center"/>
        </w:trPr>
        <w:tc>
          <w:tcPr>
            <w:tcW w:w="0" w:type="auto"/>
            <w:tcBorders>
              <w:right w:val="single" w:sz="12" w:space="0" w:color="auto"/>
            </w:tcBorders>
            <w:vAlign w:val="center"/>
          </w:tcPr>
          <w:p w14:paraId="242FDBE8" w14:textId="77777777" w:rsidR="005A3FE2" w:rsidRPr="005B7BEE" w:rsidRDefault="005A3FE2" w:rsidP="005A3FE2">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5B14222E" w14:textId="516030F0" w:rsidR="005A3FE2" w:rsidRPr="00F60A9B"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E7022D1" w14:textId="724243A5"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EF4792E" w14:textId="732A16B0"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3D9979B" w14:textId="30B5409F"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D99CA21" w14:textId="347CCFC8" w:rsidR="005A3FE2" w:rsidRPr="00F60A9B" w:rsidRDefault="005A3FE2" w:rsidP="005A3FE2">
            <w:pPr>
              <w:keepNext/>
              <w:jc w:val="center"/>
            </w:pPr>
            <w:r>
              <w:rPr>
                <w:rFonts w:ascii="Calibri" w:hAnsi="Calibri" w:cs="Calibri"/>
                <w:color w:val="000000"/>
              </w:rPr>
              <w:t>0</w:t>
            </w:r>
          </w:p>
        </w:tc>
        <w:tc>
          <w:tcPr>
            <w:tcW w:w="0" w:type="auto"/>
            <w:tcBorders>
              <w:top w:val="nil"/>
              <w:left w:val="nil"/>
              <w:bottom w:val="nil"/>
              <w:right w:val="nil"/>
            </w:tcBorders>
            <w:shd w:val="clear" w:color="auto" w:fill="auto"/>
            <w:tcMar>
              <w:left w:w="115" w:type="dxa"/>
              <w:right w:w="144" w:type="dxa"/>
            </w:tcMar>
          </w:tcPr>
          <w:p w14:paraId="3FEC565D" w14:textId="1D862AC4" w:rsidR="005A3FE2" w:rsidRDefault="005A3FE2" w:rsidP="005A3FE2">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shd w:val="clear" w:color="auto" w:fill="auto"/>
          </w:tcPr>
          <w:p w14:paraId="68BA09B8" w14:textId="4AE17875" w:rsidR="005A3FE2" w:rsidRDefault="005A3FE2" w:rsidP="005A3FE2">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4413D32D" w14:textId="25DD0492" w:rsidR="005A3FE2" w:rsidRDefault="005A3FE2" w:rsidP="005A3FE2">
            <w:pPr>
              <w:keepNext/>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993E70" w14:textId="2B052E5B" w:rsidR="005A3FE2"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CFD2767" w14:textId="00D02052"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DD76A7" w14:textId="4B74934D"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91DD583" w14:textId="5243BC93" w:rsidR="005A3FE2" w:rsidRDefault="005A3FE2" w:rsidP="005A3FE2">
            <w:pPr>
              <w:keepNext/>
              <w:jc w:val="center"/>
            </w:pPr>
            <w:r>
              <w:rPr>
                <w:rFonts w:ascii="Calibri" w:hAnsi="Calibri" w:cs="Calibri"/>
                <w:color w:val="000000"/>
              </w:rPr>
              <w:t>1</w:t>
            </w:r>
          </w:p>
        </w:tc>
      </w:tr>
      <w:tr w:rsidR="005A3FE2" w:rsidRPr="00F60A9B" w14:paraId="7E011C4E" w14:textId="77777777" w:rsidTr="00544003">
        <w:trPr>
          <w:jc w:val="center"/>
        </w:trPr>
        <w:tc>
          <w:tcPr>
            <w:tcW w:w="0" w:type="auto"/>
            <w:tcBorders>
              <w:right w:val="single" w:sz="12" w:space="0" w:color="auto"/>
            </w:tcBorders>
            <w:vAlign w:val="center"/>
          </w:tcPr>
          <w:p w14:paraId="7F49D71E" w14:textId="77777777" w:rsidR="005A3FE2" w:rsidRPr="005B7BEE" w:rsidRDefault="005A3FE2" w:rsidP="005A3FE2">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4ECE8652" w14:textId="333BF217" w:rsidR="005A3FE2" w:rsidRPr="00F60A9B"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403CB55" w14:textId="1DC32C4E" w:rsidR="005A3FE2" w:rsidRPr="00210DD1"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9C6A07" w14:textId="63877EE8"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9C4279" w14:textId="601C6A90"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4AECAB8" w14:textId="3D30FFD0" w:rsidR="005A3FE2" w:rsidRPr="00F60A9B" w:rsidRDefault="005A3FE2" w:rsidP="005A3FE2">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40A39AA5" w14:textId="77777777" w:rsidR="005A3FE2" w:rsidRDefault="005A3FE2" w:rsidP="005A3FE2">
            <w:pPr>
              <w:keepNext/>
              <w:jc w:val="center"/>
            </w:pPr>
          </w:p>
        </w:tc>
        <w:tc>
          <w:tcPr>
            <w:tcW w:w="0" w:type="auto"/>
            <w:shd w:val="clear" w:color="auto" w:fill="auto"/>
          </w:tcPr>
          <w:p w14:paraId="5F708B10" w14:textId="373CF2A3" w:rsidR="005A3FE2" w:rsidRDefault="005A3FE2" w:rsidP="005A3FE2">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7B93C22B" w14:textId="0BA64346"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E8CF842" w14:textId="046F8F2D"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1CF9EF" w14:textId="46D47469" w:rsidR="005A3FE2"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FAD0656" w14:textId="5F82A96C"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BD8FA24" w14:textId="32AA86CD" w:rsidR="005A3FE2" w:rsidRDefault="005A3FE2" w:rsidP="005A3FE2">
            <w:pPr>
              <w:keepNext/>
              <w:jc w:val="center"/>
            </w:pPr>
            <w:r>
              <w:rPr>
                <w:rFonts w:ascii="Calibri" w:hAnsi="Calibri" w:cs="Calibri"/>
                <w:color w:val="000000"/>
              </w:rPr>
              <w:t>0</w:t>
            </w:r>
          </w:p>
        </w:tc>
      </w:tr>
      <w:tr w:rsidR="005A3FE2" w:rsidRPr="00F60A9B" w14:paraId="752BDCCC" w14:textId="77777777" w:rsidTr="00544003">
        <w:trPr>
          <w:jc w:val="center"/>
        </w:trPr>
        <w:tc>
          <w:tcPr>
            <w:tcW w:w="0" w:type="auto"/>
            <w:tcBorders>
              <w:right w:val="single" w:sz="12" w:space="0" w:color="auto"/>
            </w:tcBorders>
            <w:vAlign w:val="center"/>
          </w:tcPr>
          <w:p w14:paraId="0BA7C577" w14:textId="77777777" w:rsidR="005A3FE2" w:rsidRPr="005B7BEE" w:rsidRDefault="005A3FE2" w:rsidP="005A3FE2">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3E4F13B6" w14:textId="1BD29ED0" w:rsidR="005A3FE2" w:rsidRPr="00F60A9B"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AB410C5" w14:textId="7A2359A4"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F445BB" w14:textId="3932DEBE"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E2413FC" w14:textId="6F97E3BB"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91FB0D1" w14:textId="31086C6E" w:rsidR="005A3FE2" w:rsidRPr="00F60A9B" w:rsidRDefault="005A3FE2" w:rsidP="005A3FE2">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5FCF2EF2" w14:textId="77777777" w:rsidR="005A3FE2" w:rsidRDefault="005A3FE2" w:rsidP="005A3FE2">
            <w:pPr>
              <w:keepNext/>
              <w:jc w:val="center"/>
            </w:pPr>
          </w:p>
        </w:tc>
        <w:tc>
          <w:tcPr>
            <w:tcW w:w="0" w:type="auto"/>
            <w:shd w:val="clear" w:color="auto" w:fill="auto"/>
          </w:tcPr>
          <w:p w14:paraId="2A48DEC5" w14:textId="7B139F37" w:rsidR="005A3FE2" w:rsidRDefault="005A3FE2" w:rsidP="005A3FE2">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4896F1C6" w14:textId="530235E5"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1C61A56" w14:textId="16DA80B7"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ED342E" w14:textId="57889CE2" w:rsidR="005A3FE2" w:rsidRDefault="005A3FE2" w:rsidP="005A3FE2">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1F78182" w14:textId="2EF770FB" w:rsidR="005A3FE2" w:rsidRDefault="005A3FE2" w:rsidP="005A3FE2">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F3025EC" w14:textId="65B60FB8" w:rsidR="005A3FE2" w:rsidRDefault="005A3FE2" w:rsidP="005A3FE2">
            <w:pPr>
              <w:keepNext/>
              <w:jc w:val="center"/>
            </w:pPr>
            <w:r>
              <w:rPr>
                <w:rFonts w:ascii="Calibri" w:hAnsi="Calibri" w:cs="Calibri"/>
                <w:color w:val="000000"/>
              </w:rPr>
              <w:t>0</w:t>
            </w:r>
          </w:p>
        </w:tc>
      </w:tr>
      <w:tr w:rsidR="005A3FE2" w:rsidRPr="00F60A9B" w14:paraId="31C291CA" w14:textId="77777777" w:rsidTr="005A3FE2">
        <w:trPr>
          <w:jc w:val="center"/>
        </w:trPr>
        <w:tc>
          <w:tcPr>
            <w:tcW w:w="0" w:type="auto"/>
            <w:tcBorders>
              <w:right w:val="single" w:sz="12" w:space="0" w:color="auto"/>
            </w:tcBorders>
            <w:vAlign w:val="center"/>
          </w:tcPr>
          <w:p w14:paraId="2EC266EF" w14:textId="77777777" w:rsidR="005A3FE2" w:rsidRPr="005B7BEE" w:rsidRDefault="005A3FE2" w:rsidP="005A3FE2">
            <w:pPr>
              <w:keepNext/>
              <w:rPr>
                <w:sz w:val="14"/>
                <w:szCs w:val="14"/>
              </w:rPr>
            </w:pPr>
            <w:r w:rsidRPr="005B7BEE">
              <w:rPr>
                <w:sz w:val="14"/>
                <w:szCs w:val="14"/>
              </w:rPr>
              <w:t>Improbable</w:t>
            </w:r>
          </w:p>
        </w:tc>
        <w:tc>
          <w:tcPr>
            <w:tcW w:w="0" w:type="auto"/>
            <w:tcBorders>
              <w:top w:val="nil"/>
              <w:left w:val="single" w:sz="8" w:space="0" w:color="auto"/>
              <w:bottom w:val="single" w:sz="8" w:space="0" w:color="auto"/>
              <w:right w:val="single" w:sz="4" w:space="0" w:color="auto"/>
            </w:tcBorders>
            <w:shd w:val="clear" w:color="auto" w:fill="auto"/>
            <w:vAlign w:val="bottom"/>
          </w:tcPr>
          <w:p w14:paraId="72F3BD28" w14:textId="2B34763A" w:rsidR="005A3FE2" w:rsidRPr="00F60A9B" w:rsidRDefault="005A3FE2" w:rsidP="005A3FE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auto"/>
            <w:vAlign w:val="bottom"/>
          </w:tcPr>
          <w:p w14:paraId="0BAC9BAC" w14:textId="16A866BD" w:rsidR="005A3FE2" w:rsidRPr="00210DD1" w:rsidRDefault="005A3FE2" w:rsidP="005A3FE2">
            <w:pPr>
              <w:keepNext/>
              <w:jc w:val="center"/>
            </w:pP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D9D9D9" w:themeFill="background1" w:themeFillShade="D9"/>
            <w:vAlign w:val="bottom"/>
          </w:tcPr>
          <w:p w14:paraId="77DCDDF0" w14:textId="08A9FC5A" w:rsidR="005A3FE2" w:rsidRPr="00210DD1" w:rsidRDefault="005A3FE2" w:rsidP="005A3FE2">
            <w:pPr>
              <w:keepNext/>
              <w:jc w:val="center"/>
            </w:pPr>
            <w:r>
              <w:rPr>
                <w:rFonts w:ascii="Calibri" w:hAnsi="Calibri" w:cs="Calibri"/>
                <w:color w:val="000000"/>
              </w:rPr>
              <w:t xml:space="preserve">1-1 = </w:t>
            </w:r>
            <w:r>
              <w:rPr>
                <w:rFonts w:ascii="Calibri" w:hAnsi="Calibri" w:cs="Calibri"/>
                <w:color w:val="000000"/>
              </w:rPr>
              <w:t>0</w:t>
            </w:r>
          </w:p>
        </w:tc>
        <w:tc>
          <w:tcPr>
            <w:tcW w:w="0" w:type="auto"/>
            <w:tcBorders>
              <w:top w:val="nil"/>
              <w:left w:val="nil"/>
              <w:bottom w:val="single" w:sz="8" w:space="0" w:color="auto"/>
              <w:right w:val="single" w:sz="4" w:space="0" w:color="auto"/>
            </w:tcBorders>
            <w:shd w:val="clear" w:color="auto" w:fill="D9D9D9" w:themeFill="background1" w:themeFillShade="D9"/>
            <w:vAlign w:val="bottom"/>
          </w:tcPr>
          <w:p w14:paraId="6F3B32D3" w14:textId="1E52F2B7" w:rsidR="005A3FE2" w:rsidRPr="00210DD1" w:rsidRDefault="005A3FE2" w:rsidP="005A3FE2">
            <w:pPr>
              <w:keepNext/>
              <w:jc w:val="center"/>
            </w:pPr>
            <w:r>
              <w:rPr>
                <w:rFonts w:ascii="Calibri" w:hAnsi="Calibri" w:cs="Calibri"/>
                <w:color w:val="000000"/>
              </w:rPr>
              <w:t>1-1 = 0</w:t>
            </w:r>
          </w:p>
        </w:tc>
        <w:tc>
          <w:tcPr>
            <w:tcW w:w="0" w:type="auto"/>
            <w:tcBorders>
              <w:top w:val="nil"/>
              <w:left w:val="nil"/>
              <w:bottom w:val="single" w:sz="8" w:space="0" w:color="auto"/>
              <w:right w:val="single" w:sz="8" w:space="0" w:color="auto"/>
            </w:tcBorders>
            <w:shd w:val="clear" w:color="auto" w:fill="D9D9D9" w:themeFill="background1" w:themeFillShade="D9"/>
            <w:vAlign w:val="bottom"/>
          </w:tcPr>
          <w:p w14:paraId="4D19C58F" w14:textId="5553AC8B" w:rsidR="005A3FE2" w:rsidRPr="00F60A9B" w:rsidRDefault="005A3FE2" w:rsidP="005A3FE2">
            <w:pPr>
              <w:keepNext/>
              <w:jc w:val="center"/>
            </w:pPr>
            <w:r>
              <w:rPr>
                <w:rFonts w:ascii="Calibri" w:hAnsi="Calibri" w:cs="Calibri"/>
                <w:color w:val="000000"/>
              </w:rPr>
              <w:t>2-2 = 0</w:t>
            </w:r>
          </w:p>
        </w:tc>
        <w:tc>
          <w:tcPr>
            <w:tcW w:w="0" w:type="auto"/>
            <w:tcBorders>
              <w:top w:val="nil"/>
              <w:left w:val="nil"/>
              <w:bottom w:val="nil"/>
              <w:right w:val="nil"/>
            </w:tcBorders>
            <w:shd w:val="clear" w:color="auto" w:fill="auto"/>
          </w:tcPr>
          <w:p w14:paraId="70BCD0FE" w14:textId="77777777" w:rsidR="005A3FE2" w:rsidRDefault="005A3FE2" w:rsidP="005A3FE2">
            <w:pPr>
              <w:keepNext/>
              <w:jc w:val="center"/>
            </w:pPr>
          </w:p>
        </w:tc>
        <w:tc>
          <w:tcPr>
            <w:tcW w:w="0" w:type="auto"/>
            <w:shd w:val="clear" w:color="auto" w:fill="auto"/>
          </w:tcPr>
          <w:p w14:paraId="16AA9C82" w14:textId="13CC7542" w:rsidR="005A3FE2" w:rsidRDefault="005A3FE2" w:rsidP="005A3FE2">
            <w:pPr>
              <w:keepNext/>
              <w:jc w:val="center"/>
            </w:pPr>
            <w:r w:rsidRPr="005B7BEE">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2A42E0FF" w14:textId="1485EB13" w:rsidR="005A3FE2" w:rsidRDefault="005A3FE2" w:rsidP="005A3FE2">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2BE7233" w14:textId="7097FA96" w:rsidR="005A3FE2" w:rsidRDefault="005A3FE2" w:rsidP="005A3FE2">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D9D9D9" w:themeFill="background1" w:themeFillShade="D9"/>
            <w:vAlign w:val="bottom"/>
          </w:tcPr>
          <w:p w14:paraId="3F2FE705" w14:textId="2EBEBD9B" w:rsidR="005A3FE2" w:rsidRDefault="005A3FE2" w:rsidP="005A3FE2">
            <w:pPr>
              <w:keepNext/>
              <w:jc w:val="center"/>
            </w:pPr>
            <w:r>
              <w:rPr>
                <w:rFonts w:ascii="Calibri" w:hAnsi="Calibri" w:cs="Calibri"/>
                <w:color w:val="000000"/>
              </w:rPr>
              <w:t>5-1 = 4</w:t>
            </w:r>
          </w:p>
        </w:tc>
        <w:tc>
          <w:tcPr>
            <w:tcW w:w="0" w:type="auto"/>
            <w:tcBorders>
              <w:top w:val="single" w:sz="4" w:space="0" w:color="auto"/>
              <w:left w:val="single" w:sz="4" w:space="0" w:color="auto"/>
              <w:bottom w:val="single" w:sz="8" w:space="0" w:color="auto"/>
              <w:right w:val="single" w:sz="4" w:space="0" w:color="auto"/>
            </w:tcBorders>
            <w:shd w:val="clear" w:color="auto" w:fill="D9D9D9" w:themeFill="background1" w:themeFillShade="D9"/>
            <w:vAlign w:val="bottom"/>
          </w:tcPr>
          <w:p w14:paraId="2BBE7226" w14:textId="64585DBD" w:rsidR="005A3FE2" w:rsidRDefault="005A3FE2" w:rsidP="005A3FE2">
            <w:pPr>
              <w:keepNext/>
              <w:jc w:val="center"/>
            </w:pPr>
            <w:r>
              <w:rPr>
                <w:rFonts w:ascii="Calibri" w:hAnsi="Calibri" w:cs="Calibri"/>
                <w:color w:val="000000"/>
              </w:rPr>
              <w:t>7-1 = 6</w:t>
            </w:r>
          </w:p>
        </w:tc>
        <w:tc>
          <w:tcPr>
            <w:tcW w:w="0" w:type="auto"/>
            <w:tcBorders>
              <w:top w:val="nil"/>
              <w:left w:val="nil"/>
              <w:bottom w:val="single" w:sz="8" w:space="0" w:color="auto"/>
              <w:right w:val="single" w:sz="8" w:space="0" w:color="auto"/>
            </w:tcBorders>
            <w:shd w:val="clear" w:color="auto" w:fill="D9D9D9" w:themeFill="background1" w:themeFillShade="D9"/>
            <w:vAlign w:val="bottom"/>
          </w:tcPr>
          <w:p w14:paraId="442DF2A6" w14:textId="2D065EA0" w:rsidR="005A3FE2" w:rsidRDefault="005A3FE2" w:rsidP="005A3FE2">
            <w:pPr>
              <w:keepNext/>
              <w:jc w:val="center"/>
            </w:pPr>
            <w:r>
              <w:rPr>
                <w:rFonts w:ascii="Calibri" w:hAnsi="Calibri" w:cs="Calibri"/>
                <w:color w:val="000000"/>
              </w:rPr>
              <w:t>5-2 = 3</w:t>
            </w:r>
          </w:p>
        </w:tc>
      </w:tr>
    </w:tbl>
    <w:p w14:paraId="5144B2DA" w14:textId="77777777" w:rsidR="00E94EAF" w:rsidRDefault="00E94EAF" w:rsidP="00E94EAF">
      <w:pPr>
        <w:pStyle w:val="ListParagraph"/>
        <w:ind w:left="864"/>
        <w:rPr>
          <w:rFonts w:eastAsiaTheme="minorEastAsia"/>
        </w:rPr>
      </w:pPr>
    </w:p>
    <w:p w14:paraId="6152C92A" w14:textId="375B0216" w:rsidR="00C1307E" w:rsidRDefault="00C1307E">
      <w:pPr>
        <w:pStyle w:val="ListParagraph"/>
        <w:numPr>
          <w:ilvl w:val="1"/>
          <w:numId w:val="32"/>
        </w:numPr>
        <w:rPr>
          <w:rFonts w:eastAsiaTheme="minorEastAsia"/>
        </w:rPr>
      </w:pPr>
      <w:r>
        <w:rPr>
          <w:rFonts w:eastAsiaTheme="minorEastAsia"/>
        </w:rPr>
        <w:t xml:space="preserve">Use “Move Redundant Risks”:  </w:t>
      </w:r>
    </w:p>
    <w:p w14:paraId="3FFC2B99" w14:textId="77777777" w:rsidR="00C1307E" w:rsidRDefault="00C1307E" w:rsidP="00C1307E">
      <w:pPr>
        <w:pStyle w:val="ListParagraph"/>
        <w:ind w:left="864"/>
        <w:rPr>
          <w:rFonts w:eastAsiaTheme="minorEastAsia"/>
        </w:rPr>
      </w:pPr>
    </w:p>
    <w:tbl>
      <w:tblPr>
        <w:tblStyle w:val="TableGrid"/>
        <w:tblW w:w="9415" w:type="dxa"/>
        <w:jc w:val="center"/>
        <w:tblLook w:val="04A0" w:firstRow="1" w:lastRow="0" w:firstColumn="1" w:lastColumn="0" w:noHBand="0" w:noVBand="1"/>
      </w:tblPr>
      <w:tblGrid>
        <w:gridCol w:w="874"/>
        <w:gridCol w:w="780"/>
        <w:gridCol w:w="565"/>
        <w:gridCol w:w="671"/>
        <w:gridCol w:w="607"/>
        <w:gridCol w:w="928"/>
        <w:gridCol w:w="424"/>
        <w:gridCol w:w="874"/>
        <w:gridCol w:w="780"/>
        <w:gridCol w:w="705"/>
        <w:gridCol w:w="672"/>
        <w:gridCol w:w="607"/>
        <w:gridCol w:w="928"/>
      </w:tblGrid>
      <w:tr w:rsidR="00FB1163" w:rsidRPr="00F60A9B" w14:paraId="3A7453B8" w14:textId="77777777" w:rsidTr="00FB1163">
        <w:trPr>
          <w:tblHeader/>
          <w:jc w:val="center"/>
        </w:trPr>
        <w:tc>
          <w:tcPr>
            <w:tcW w:w="0" w:type="auto"/>
            <w:tcBorders>
              <w:top w:val="nil"/>
              <w:left w:val="nil"/>
              <w:bottom w:val="single" w:sz="4" w:space="0" w:color="auto"/>
            </w:tcBorders>
            <w:vAlign w:val="center"/>
          </w:tcPr>
          <w:p w14:paraId="763A26FB" w14:textId="77777777" w:rsidR="00C1307E" w:rsidRPr="00F60A9B"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2FF65A14" w14:textId="77777777" w:rsidR="00C1307E" w:rsidRPr="005B7BEE" w:rsidRDefault="00C1307E"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18EA8483" w14:textId="77777777" w:rsidR="00C1307E" w:rsidRPr="005B7BEE" w:rsidRDefault="00C1307E"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7EA67DC" w14:textId="77777777" w:rsidR="00C1307E" w:rsidRPr="005B7BEE" w:rsidRDefault="00C1307E"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69F4DB1" w14:textId="77777777" w:rsidR="00C1307E" w:rsidRPr="005B7BEE" w:rsidRDefault="00C1307E"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874795C" w14:textId="77777777" w:rsidR="00C1307E" w:rsidRPr="005B7BEE" w:rsidRDefault="00C1307E" w:rsidP="00024DD9">
            <w:pPr>
              <w:keepNext/>
              <w:jc w:val="center"/>
              <w:rPr>
                <w:sz w:val="14"/>
                <w:szCs w:val="14"/>
              </w:rPr>
            </w:pPr>
            <w:r w:rsidRPr="005B7BEE">
              <w:rPr>
                <w:sz w:val="14"/>
                <w:szCs w:val="14"/>
              </w:rPr>
              <w:t xml:space="preserve">Catastrophic </w:t>
            </w:r>
          </w:p>
          <w:p w14:paraId="07609438" w14:textId="77777777" w:rsidR="00C1307E" w:rsidRPr="005B7BEE" w:rsidRDefault="00C1307E" w:rsidP="00024DD9">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1F22DAFF" w14:textId="77777777" w:rsidR="00C1307E" w:rsidRPr="005B7BEE" w:rsidRDefault="00C1307E" w:rsidP="00024DD9">
            <w:pPr>
              <w:keepNext/>
              <w:jc w:val="center"/>
              <w:rPr>
                <w:sz w:val="14"/>
                <w:szCs w:val="14"/>
              </w:rPr>
            </w:pPr>
          </w:p>
        </w:tc>
        <w:tc>
          <w:tcPr>
            <w:tcW w:w="0" w:type="auto"/>
            <w:tcBorders>
              <w:top w:val="nil"/>
              <w:left w:val="nil"/>
              <w:bottom w:val="single" w:sz="12" w:space="0" w:color="auto"/>
            </w:tcBorders>
            <w:vAlign w:val="center"/>
          </w:tcPr>
          <w:p w14:paraId="17383A63" w14:textId="77777777" w:rsidR="00C1307E" w:rsidRPr="005B7BEE"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6324A1F5" w14:textId="77777777" w:rsidR="00C1307E" w:rsidRPr="005B7BEE" w:rsidRDefault="00C1307E"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F662479" w14:textId="77777777" w:rsidR="00C1307E" w:rsidRPr="005B7BEE" w:rsidRDefault="00C1307E"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C920215" w14:textId="77777777" w:rsidR="00C1307E" w:rsidRPr="005B7BEE" w:rsidRDefault="00C1307E"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866CE72" w14:textId="77777777" w:rsidR="00C1307E" w:rsidRPr="005B7BEE" w:rsidRDefault="00C1307E"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4B0ADE0E" w14:textId="77777777" w:rsidR="00C1307E" w:rsidRPr="005B7BEE" w:rsidRDefault="00C1307E" w:rsidP="00024DD9">
            <w:pPr>
              <w:keepNext/>
              <w:jc w:val="center"/>
              <w:rPr>
                <w:sz w:val="14"/>
                <w:szCs w:val="14"/>
              </w:rPr>
            </w:pPr>
            <w:r w:rsidRPr="005B7BEE">
              <w:rPr>
                <w:sz w:val="14"/>
                <w:szCs w:val="14"/>
              </w:rPr>
              <w:t xml:space="preserve">Catastrophic </w:t>
            </w:r>
          </w:p>
          <w:p w14:paraId="7AF5957A" w14:textId="77777777" w:rsidR="00C1307E" w:rsidRDefault="00C1307E" w:rsidP="00024DD9">
            <w:pPr>
              <w:keepNext/>
              <w:jc w:val="center"/>
              <w:rPr>
                <w:rFonts w:ascii="Calibri" w:eastAsia="Calibri" w:hAnsi="Calibri" w:cs="Times New Roman"/>
              </w:rPr>
            </w:pPr>
            <w:r w:rsidRPr="005B7BEE">
              <w:rPr>
                <w:sz w:val="14"/>
                <w:szCs w:val="14"/>
              </w:rPr>
              <w:t>/ Fatal</w:t>
            </w:r>
          </w:p>
        </w:tc>
      </w:tr>
      <w:tr w:rsidR="00F95453" w:rsidRPr="00F60A9B" w14:paraId="022B3CB9" w14:textId="77777777" w:rsidTr="00C553ED">
        <w:trPr>
          <w:jc w:val="center"/>
        </w:trPr>
        <w:tc>
          <w:tcPr>
            <w:tcW w:w="0" w:type="auto"/>
            <w:tcBorders>
              <w:top w:val="single" w:sz="4" w:space="0" w:color="auto"/>
              <w:right w:val="single" w:sz="12" w:space="0" w:color="auto"/>
            </w:tcBorders>
            <w:vAlign w:val="center"/>
          </w:tcPr>
          <w:p w14:paraId="1BBC90FD" w14:textId="77777777" w:rsidR="00F95453" w:rsidRPr="005B7BEE" w:rsidRDefault="00F95453" w:rsidP="00F95453">
            <w:pPr>
              <w:keepNext/>
              <w:rPr>
                <w:sz w:val="14"/>
                <w:szCs w:val="14"/>
              </w:rP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2C12F6E7" w14:textId="6B58B304" w:rsidR="00F95453" w:rsidRPr="00F60A9B"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E96D036" w14:textId="44D89A83" w:rsidR="00F95453" w:rsidRPr="00210DD1"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ABE8EB8" w14:textId="44AC6962" w:rsidR="00F95453" w:rsidRPr="00210DD1"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B760048" w14:textId="2553AD9E" w:rsidR="00F95453" w:rsidRPr="00210DD1"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8F5C963" w14:textId="16385826" w:rsidR="00F95453" w:rsidRPr="00F60A9B" w:rsidRDefault="00F95453" w:rsidP="00F95453">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783B9EEC" w14:textId="77777777" w:rsidR="00F95453" w:rsidRDefault="00F95453" w:rsidP="00F95453">
            <w:pPr>
              <w:keepNext/>
              <w:jc w:val="center"/>
            </w:pPr>
          </w:p>
        </w:tc>
        <w:tc>
          <w:tcPr>
            <w:tcW w:w="0" w:type="auto"/>
            <w:tcBorders>
              <w:top w:val="single" w:sz="12" w:space="0" w:color="auto"/>
            </w:tcBorders>
          </w:tcPr>
          <w:p w14:paraId="224CBA46" w14:textId="5F812D7D" w:rsidR="00F95453" w:rsidRDefault="00F95453" w:rsidP="00F95453">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7492D0B0" w14:textId="4A63D0AF" w:rsidR="00F95453"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F5CF828" w14:textId="7249A6A2" w:rsidR="00F95453"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6CA8F90F" w14:textId="0E8A859F" w:rsidR="00F95453"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2967AF2F" w14:textId="7334E679" w:rsidR="00F95453" w:rsidRDefault="00F95453" w:rsidP="00F95453">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09B865EF" w14:textId="4F7A9542" w:rsidR="00F95453" w:rsidRDefault="00F95453" w:rsidP="00F95453">
            <w:pPr>
              <w:keepNext/>
              <w:jc w:val="center"/>
            </w:pPr>
            <w:r>
              <w:rPr>
                <w:rFonts w:ascii="Calibri" w:hAnsi="Calibri" w:cs="Calibri"/>
                <w:color w:val="000000"/>
              </w:rPr>
              <w:t>0</w:t>
            </w:r>
          </w:p>
        </w:tc>
      </w:tr>
      <w:tr w:rsidR="00F95453" w:rsidRPr="00F60A9B" w14:paraId="5D1ED230" w14:textId="77777777" w:rsidTr="00C553ED">
        <w:trPr>
          <w:jc w:val="center"/>
        </w:trPr>
        <w:tc>
          <w:tcPr>
            <w:tcW w:w="0" w:type="auto"/>
            <w:tcBorders>
              <w:right w:val="single" w:sz="12" w:space="0" w:color="auto"/>
            </w:tcBorders>
            <w:shd w:val="clear" w:color="auto" w:fill="auto"/>
            <w:vAlign w:val="center"/>
          </w:tcPr>
          <w:p w14:paraId="4FC52FD7" w14:textId="77777777" w:rsidR="00F95453" w:rsidRPr="005B7BEE" w:rsidRDefault="00F95453" w:rsidP="00F95453">
            <w:pPr>
              <w:keepNext/>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5AC93282" w14:textId="0A9A63CE"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A3892E" w14:textId="5FF37993"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3D28F63" w14:textId="1A8BEEE5"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FD3B58A" w14:textId="05588FA7" w:rsidR="00F95453" w:rsidRPr="00210DD1" w:rsidRDefault="00F95453" w:rsidP="00F95453">
            <w:pPr>
              <w:pStyle w:val="ListParagraph"/>
              <w:keepNext/>
              <w:ind w:left="0"/>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7E82A2E" w14:textId="318B9F95" w:rsidR="00F95453" w:rsidRDefault="00F95453" w:rsidP="00F95453">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40A6DF48" w14:textId="77777777" w:rsidR="00F95453" w:rsidRDefault="00F95453" w:rsidP="00F95453">
            <w:pPr>
              <w:keepNext/>
              <w:jc w:val="center"/>
            </w:pPr>
          </w:p>
        </w:tc>
        <w:tc>
          <w:tcPr>
            <w:tcW w:w="0" w:type="auto"/>
            <w:shd w:val="clear" w:color="auto" w:fill="auto"/>
          </w:tcPr>
          <w:p w14:paraId="5CD0AC50" w14:textId="360B6DBF" w:rsidR="00F95453" w:rsidRPr="005B7BEE" w:rsidRDefault="00F95453" w:rsidP="00F95453">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C6F6D20" w14:textId="2CBCF4FF" w:rsidR="00F95453"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BA4C53" w14:textId="680FA351"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0EF4FB" w14:textId="3AF93B9C"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7D8F914" w14:textId="067099B4"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59D8616F" w14:textId="28C5538D" w:rsidR="00F95453" w:rsidRDefault="00F95453" w:rsidP="00F95453">
            <w:pPr>
              <w:keepNext/>
              <w:jc w:val="center"/>
            </w:pPr>
            <w:r>
              <w:rPr>
                <w:rFonts w:ascii="Calibri" w:hAnsi="Calibri" w:cs="Calibri"/>
                <w:color w:val="000000"/>
              </w:rPr>
              <w:t>0</w:t>
            </w:r>
          </w:p>
        </w:tc>
      </w:tr>
      <w:tr w:rsidR="00F95453" w:rsidRPr="00F60A9B" w14:paraId="231ED661" w14:textId="77777777" w:rsidTr="00C553ED">
        <w:trPr>
          <w:jc w:val="center"/>
        </w:trPr>
        <w:tc>
          <w:tcPr>
            <w:tcW w:w="0" w:type="auto"/>
            <w:tcBorders>
              <w:right w:val="single" w:sz="12" w:space="0" w:color="auto"/>
            </w:tcBorders>
            <w:vAlign w:val="center"/>
          </w:tcPr>
          <w:p w14:paraId="027266BD" w14:textId="77777777" w:rsidR="00F95453" w:rsidRPr="005B7BEE" w:rsidRDefault="00F95453" w:rsidP="00F95453">
            <w:pPr>
              <w:keepNext/>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9DC1854" w14:textId="5475ED85"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9E4D26" w14:textId="4B25F1B7"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302744F" w14:textId="09B6D0A0"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034DBCF" w14:textId="456E471E"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6E15743" w14:textId="32AB1E32" w:rsidR="00F95453" w:rsidRDefault="00F95453" w:rsidP="00F95453">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2DDD6E9F" w14:textId="77777777" w:rsidR="00F95453" w:rsidRDefault="00F95453" w:rsidP="00F95453">
            <w:pPr>
              <w:keepNext/>
              <w:jc w:val="center"/>
            </w:pPr>
          </w:p>
        </w:tc>
        <w:tc>
          <w:tcPr>
            <w:tcW w:w="0" w:type="auto"/>
          </w:tcPr>
          <w:p w14:paraId="22E995F7" w14:textId="611DE30C" w:rsidR="00F95453" w:rsidRPr="005B7BEE" w:rsidRDefault="00F95453" w:rsidP="00F95453">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62AF427" w14:textId="352314CD"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8E56AAF" w14:textId="1DE1C861"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43AB8C8" w14:textId="79D0E4C9" w:rsidR="00F95453" w:rsidRPr="00210DD1"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1BCF9824" w14:textId="5DE5F206"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60C5B7F" w14:textId="5982A586" w:rsidR="00F95453" w:rsidRDefault="00F95453" w:rsidP="00F95453">
            <w:pPr>
              <w:keepNext/>
              <w:jc w:val="center"/>
            </w:pPr>
            <w:r>
              <w:rPr>
                <w:rFonts w:ascii="Calibri" w:hAnsi="Calibri" w:cs="Calibri"/>
                <w:color w:val="000000"/>
              </w:rPr>
              <w:t>0</w:t>
            </w:r>
          </w:p>
        </w:tc>
      </w:tr>
      <w:tr w:rsidR="00F95453" w:rsidRPr="00F60A9B" w14:paraId="21D81F68" w14:textId="77777777" w:rsidTr="00F95453">
        <w:trPr>
          <w:jc w:val="center"/>
        </w:trPr>
        <w:tc>
          <w:tcPr>
            <w:tcW w:w="0" w:type="auto"/>
            <w:tcBorders>
              <w:right w:val="single" w:sz="12" w:space="0" w:color="auto"/>
            </w:tcBorders>
            <w:vAlign w:val="center"/>
          </w:tcPr>
          <w:p w14:paraId="71130666" w14:textId="77777777" w:rsidR="00F95453" w:rsidRPr="005B7BEE" w:rsidRDefault="00F95453" w:rsidP="00F95453">
            <w:pPr>
              <w:keepNext/>
              <w:rPr>
                <w:sz w:val="14"/>
                <w:szCs w:val="14"/>
              </w:rP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01E97BFB" w14:textId="69B224E6" w:rsidR="00F95453" w:rsidRPr="00F60A9B"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4608A6" w14:textId="723E895B"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C6B88D" w14:textId="64286749"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4A2C786" w14:textId="7D0F45D7"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CD3268" w14:textId="4DF73FA4" w:rsidR="00F95453" w:rsidRPr="00F60A9B" w:rsidRDefault="00F95453" w:rsidP="00F95453">
            <w:pPr>
              <w:keepNext/>
              <w:jc w:val="center"/>
            </w:pPr>
            <w:r>
              <w:rPr>
                <w:rFonts w:ascii="Calibri" w:hAnsi="Calibri" w:cs="Calibri"/>
                <w:color w:val="000000"/>
              </w:rPr>
              <w:t>0</w:t>
            </w:r>
          </w:p>
        </w:tc>
        <w:tc>
          <w:tcPr>
            <w:tcW w:w="0" w:type="auto"/>
            <w:tcBorders>
              <w:top w:val="nil"/>
              <w:left w:val="nil"/>
              <w:bottom w:val="nil"/>
              <w:right w:val="nil"/>
            </w:tcBorders>
            <w:shd w:val="clear" w:color="auto" w:fill="auto"/>
            <w:tcMar>
              <w:left w:w="115" w:type="dxa"/>
              <w:right w:w="144" w:type="dxa"/>
            </w:tcMar>
          </w:tcPr>
          <w:p w14:paraId="72136145" w14:textId="52940819" w:rsidR="00F95453" w:rsidRDefault="00F95453" w:rsidP="00F95453">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6C879BAF" w14:textId="009E9BC1" w:rsidR="00F95453" w:rsidRDefault="00F95453" w:rsidP="00F95453">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96C8016" w14:textId="0414DB40"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D9D9D9" w:themeFill="background1" w:themeFillShade="D9"/>
            <w:vAlign w:val="bottom"/>
          </w:tcPr>
          <w:p w14:paraId="427A9B0B" w14:textId="6CC5D9C5" w:rsidR="00F95453" w:rsidRDefault="00F95453" w:rsidP="00F95453">
            <w:pPr>
              <w:keepNext/>
              <w:jc w:val="center"/>
            </w:pPr>
            <w:r>
              <w:rPr>
                <w:rFonts w:ascii="Calibri" w:hAnsi="Calibri" w:cs="Calibri"/>
                <w:color w:val="000000"/>
              </w:rPr>
              <w:t>1-1 = 0+10</w:t>
            </w:r>
          </w:p>
        </w:tc>
        <w:tc>
          <w:tcPr>
            <w:tcW w:w="0" w:type="auto"/>
            <w:tcBorders>
              <w:top w:val="nil"/>
              <w:left w:val="nil"/>
              <w:bottom w:val="single" w:sz="4" w:space="0" w:color="auto"/>
              <w:right w:val="single" w:sz="4" w:space="0" w:color="auto"/>
            </w:tcBorders>
            <w:shd w:val="clear" w:color="auto" w:fill="auto"/>
            <w:vAlign w:val="bottom"/>
          </w:tcPr>
          <w:p w14:paraId="749AC0AC" w14:textId="42CAA988"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FDE71DB" w14:textId="73D6A5A3"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43C2C3A3" w14:textId="0C9D5940" w:rsidR="00F95453" w:rsidRDefault="00F95453" w:rsidP="00F95453">
            <w:pPr>
              <w:keepNext/>
              <w:jc w:val="center"/>
            </w:pPr>
            <w:r>
              <w:rPr>
                <w:rFonts w:ascii="Calibri" w:hAnsi="Calibri" w:cs="Calibri"/>
                <w:color w:val="000000"/>
              </w:rPr>
              <w:t>1</w:t>
            </w:r>
          </w:p>
        </w:tc>
      </w:tr>
      <w:tr w:rsidR="00F95453" w:rsidRPr="00F60A9B" w14:paraId="6BE0E3DF" w14:textId="77777777" w:rsidTr="00F95453">
        <w:trPr>
          <w:jc w:val="center"/>
        </w:trPr>
        <w:tc>
          <w:tcPr>
            <w:tcW w:w="0" w:type="auto"/>
            <w:tcBorders>
              <w:right w:val="single" w:sz="12" w:space="0" w:color="auto"/>
            </w:tcBorders>
            <w:vAlign w:val="center"/>
          </w:tcPr>
          <w:p w14:paraId="7B398E6D" w14:textId="77777777" w:rsidR="00F95453" w:rsidRPr="005B7BEE" w:rsidRDefault="00F95453" w:rsidP="00F95453">
            <w:pPr>
              <w:keepNext/>
              <w:rPr>
                <w:sz w:val="14"/>
                <w:szCs w:val="14"/>
              </w:rP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6A19EDE5" w14:textId="21515E35" w:rsidR="00F95453" w:rsidRPr="00F60A9B"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7FC86598" w14:textId="4997D2BF" w:rsidR="00F95453" w:rsidRPr="00210DD1"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5EE7EA4" w14:textId="607CCBC4"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97D2E52" w14:textId="2EA20B00"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266EA57" w14:textId="198CCEF3" w:rsidR="00F95453" w:rsidRPr="00F60A9B" w:rsidRDefault="00F95453" w:rsidP="00F95453">
            <w:pPr>
              <w:keepNext/>
              <w:jc w:val="center"/>
            </w:pPr>
            <w:r>
              <w:rPr>
                <w:rFonts w:ascii="Calibri" w:hAnsi="Calibri" w:cs="Calibri"/>
                <w:color w:val="000000"/>
              </w:rPr>
              <w:t>0</w:t>
            </w:r>
          </w:p>
        </w:tc>
        <w:tc>
          <w:tcPr>
            <w:tcW w:w="0" w:type="auto"/>
            <w:tcBorders>
              <w:top w:val="nil"/>
              <w:left w:val="nil"/>
              <w:bottom w:val="nil"/>
              <w:right w:val="nil"/>
            </w:tcBorders>
            <w:shd w:val="clear" w:color="auto" w:fill="auto"/>
          </w:tcPr>
          <w:p w14:paraId="4138CA52" w14:textId="77777777" w:rsidR="00F95453" w:rsidRDefault="00F95453" w:rsidP="00F95453">
            <w:pPr>
              <w:keepNext/>
              <w:jc w:val="center"/>
            </w:pPr>
          </w:p>
        </w:tc>
        <w:tc>
          <w:tcPr>
            <w:tcW w:w="0" w:type="auto"/>
          </w:tcPr>
          <w:p w14:paraId="3AB686E8" w14:textId="167724BF" w:rsidR="00F95453" w:rsidRDefault="00F95453" w:rsidP="00F95453">
            <w:pPr>
              <w:keepNext/>
              <w:jc w:val="center"/>
            </w:pPr>
            <w:r w:rsidRPr="005B7BEE">
              <w:rPr>
                <w:sz w:val="14"/>
                <w:szCs w:val="14"/>
              </w:rPr>
              <w:t>Occasional</w:t>
            </w:r>
          </w:p>
        </w:tc>
        <w:tc>
          <w:tcPr>
            <w:tcW w:w="0" w:type="auto"/>
            <w:tcBorders>
              <w:top w:val="nil"/>
              <w:left w:val="single" w:sz="8" w:space="0" w:color="auto"/>
              <w:bottom w:val="single" w:sz="4" w:space="0" w:color="auto"/>
              <w:right w:val="single" w:sz="4" w:space="0" w:color="auto"/>
            </w:tcBorders>
            <w:shd w:val="clear" w:color="auto" w:fill="auto"/>
            <w:vAlign w:val="bottom"/>
          </w:tcPr>
          <w:p w14:paraId="076237F8" w14:textId="0B75A99F" w:rsidR="00F95453" w:rsidRDefault="00F95453" w:rsidP="00F95453">
            <w:pPr>
              <w:keepNext/>
              <w:jc w:val="center"/>
            </w:pPr>
            <w:r>
              <w:rPr>
                <w:rFonts w:ascii="Calibri" w:hAnsi="Calibri" w:cs="Calibri"/>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09D5B9" w14:textId="41F35D6F" w:rsidR="00F95453" w:rsidRDefault="00F95453" w:rsidP="00F95453">
            <w:pPr>
              <w:keepNext/>
              <w:jc w:val="center"/>
            </w:pPr>
            <w:r>
              <w:rPr>
                <w:rFonts w:ascii="Calibri" w:hAnsi="Calibri" w:cs="Calibri"/>
                <w:color w:val="000000"/>
              </w:rPr>
              <w:t>0+10 = 10</w:t>
            </w:r>
          </w:p>
        </w:tc>
        <w:tc>
          <w:tcPr>
            <w:tcW w:w="0" w:type="auto"/>
            <w:tcBorders>
              <w:top w:val="nil"/>
              <w:left w:val="nil"/>
              <w:bottom w:val="single" w:sz="4" w:space="0" w:color="auto"/>
              <w:right w:val="single" w:sz="4" w:space="0" w:color="auto"/>
            </w:tcBorders>
            <w:shd w:val="clear" w:color="auto" w:fill="auto"/>
            <w:vAlign w:val="bottom"/>
          </w:tcPr>
          <w:p w14:paraId="3A58EFA0" w14:textId="562FE17B" w:rsidR="00F95453"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00EDA9AA" w14:textId="05EA0501"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8929EBF" w14:textId="7DCE9841" w:rsidR="00F95453" w:rsidRDefault="00F95453" w:rsidP="00F95453">
            <w:pPr>
              <w:keepNext/>
              <w:jc w:val="center"/>
            </w:pPr>
            <w:r>
              <w:rPr>
                <w:rFonts w:ascii="Calibri" w:hAnsi="Calibri" w:cs="Calibri"/>
                <w:color w:val="000000"/>
              </w:rPr>
              <w:t>0</w:t>
            </w:r>
          </w:p>
        </w:tc>
      </w:tr>
      <w:tr w:rsidR="00F95453" w:rsidRPr="00F60A9B" w14:paraId="72909987" w14:textId="77777777" w:rsidTr="00C553ED">
        <w:trPr>
          <w:jc w:val="center"/>
        </w:trPr>
        <w:tc>
          <w:tcPr>
            <w:tcW w:w="0" w:type="auto"/>
            <w:tcBorders>
              <w:right w:val="single" w:sz="12" w:space="0" w:color="auto"/>
            </w:tcBorders>
            <w:vAlign w:val="center"/>
          </w:tcPr>
          <w:p w14:paraId="2D92C930" w14:textId="77777777" w:rsidR="00F95453" w:rsidRPr="005B7BEE" w:rsidRDefault="00F95453" w:rsidP="00F95453">
            <w:pPr>
              <w:keepNext/>
              <w:rPr>
                <w:sz w:val="14"/>
                <w:szCs w:val="14"/>
              </w:rP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33D14EB" w14:textId="49EC12D9" w:rsidR="00F95453" w:rsidRPr="00F60A9B"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9587D73" w14:textId="009BEF1E"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2D164D8" w14:textId="79311508"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616718F" w14:textId="6B00CA84"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60F528B" w14:textId="18662404" w:rsidR="00F95453" w:rsidRPr="00F60A9B" w:rsidRDefault="00F95453" w:rsidP="00F95453">
            <w:pPr>
              <w:keepNext/>
              <w:jc w:val="center"/>
            </w:pPr>
            <w:r>
              <w:rPr>
                <w:rFonts w:ascii="Calibri" w:hAnsi="Calibri" w:cs="Calibri"/>
                <w:color w:val="000000"/>
              </w:rPr>
              <w:t>0</w:t>
            </w:r>
          </w:p>
        </w:tc>
        <w:tc>
          <w:tcPr>
            <w:tcW w:w="0" w:type="auto"/>
            <w:tcBorders>
              <w:top w:val="nil"/>
              <w:left w:val="nil"/>
              <w:bottom w:val="nil"/>
              <w:right w:val="nil"/>
            </w:tcBorders>
          </w:tcPr>
          <w:p w14:paraId="04DE5EF0" w14:textId="77777777" w:rsidR="00F95453" w:rsidRDefault="00F95453" w:rsidP="00F95453">
            <w:pPr>
              <w:keepNext/>
              <w:jc w:val="center"/>
            </w:pPr>
          </w:p>
        </w:tc>
        <w:tc>
          <w:tcPr>
            <w:tcW w:w="0" w:type="auto"/>
          </w:tcPr>
          <w:p w14:paraId="61ECD8C1" w14:textId="22784F71" w:rsidR="00F95453" w:rsidRDefault="00F95453" w:rsidP="00F95453">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6444D76" w14:textId="79B3EBD9"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55C908C" w14:textId="066BD5F4"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B21F4D2" w14:textId="71FB9754" w:rsidR="00F95453"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0B9EB58" w14:textId="5BE9595D" w:rsidR="00F95453" w:rsidRDefault="00F95453" w:rsidP="00F95453">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77863448" w14:textId="22163BB3" w:rsidR="00F95453" w:rsidRDefault="00F95453" w:rsidP="00F95453">
            <w:pPr>
              <w:keepNext/>
              <w:jc w:val="center"/>
            </w:pPr>
            <w:r>
              <w:rPr>
                <w:rFonts w:ascii="Calibri" w:hAnsi="Calibri" w:cs="Calibri"/>
                <w:color w:val="000000"/>
              </w:rPr>
              <w:t>0</w:t>
            </w:r>
          </w:p>
        </w:tc>
      </w:tr>
      <w:tr w:rsidR="00F95453" w:rsidRPr="00F60A9B" w14:paraId="055BB4E6" w14:textId="77777777" w:rsidTr="00F95453">
        <w:trPr>
          <w:jc w:val="center"/>
        </w:trPr>
        <w:tc>
          <w:tcPr>
            <w:tcW w:w="0" w:type="auto"/>
            <w:tcBorders>
              <w:right w:val="single" w:sz="12" w:space="0" w:color="auto"/>
            </w:tcBorders>
            <w:vAlign w:val="center"/>
          </w:tcPr>
          <w:p w14:paraId="305EC0A9" w14:textId="77777777" w:rsidR="00F95453" w:rsidRPr="005B7BEE" w:rsidRDefault="00F95453" w:rsidP="00F95453">
            <w:pPr>
              <w:keepNext/>
              <w:rPr>
                <w:sz w:val="14"/>
                <w:szCs w:val="14"/>
              </w:rPr>
            </w:pPr>
            <w:r w:rsidRPr="005B7BEE">
              <w:rPr>
                <w:sz w:val="14"/>
                <w:szCs w:val="14"/>
              </w:rPr>
              <w:t>Improbable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E11ED89" w14:textId="21805CE3" w:rsidR="00F95453" w:rsidRPr="00F60A9B"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0D267F3" w14:textId="5478231E"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2EAC48C" w14:textId="1FE807A6"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382FE95" w14:textId="237A254D" w:rsidR="00F95453" w:rsidRPr="00210DD1" w:rsidRDefault="00F95453" w:rsidP="00F95453">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36D7E2A" w14:textId="1FF5C514" w:rsidR="00F95453" w:rsidRPr="00F60A9B" w:rsidRDefault="00F95453" w:rsidP="00F95453">
            <w:pPr>
              <w:keepNext/>
              <w:jc w:val="center"/>
            </w:pPr>
            <w:r>
              <w:rPr>
                <w:rFonts w:ascii="Calibri" w:hAnsi="Calibri" w:cs="Calibri"/>
                <w:color w:val="000000"/>
              </w:rPr>
              <w:t>0</w:t>
            </w:r>
          </w:p>
        </w:tc>
        <w:tc>
          <w:tcPr>
            <w:tcW w:w="0" w:type="auto"/>
            <w:tcBorders>
              <w:top w:val="nil"/>
              <w:left w:val="nil"/>
              <w:bottom w:val="nil"/>
              <w:right w:val="nil"/>
            </w:tcBorders>
          </w:tcPr>
          <w:p w14:paraId="1A8DB141" w14:textId="77777777" w:rsidR="00F95453" w:rsidRDefault="00F95453" w:rsidP="00F95453">
            <w:pPr>
              <w:keepNext/>
              <w:jc w:val="center"/>
            </w:pPr>
          </w:p>
        </w:tc>
        <w:tc>
          <w:tcPr>
            <w:tcW w:w="0" w:type="auto"/>
          </w:tcPr>
          <w:p w14:paraId="48D5D398" w14:textId="5F936DE8" w:rsidR="00F95453" w:rsidRDefault="00F95453" w:rsidP="00F95453">
            <w:pPr>
              <w:keepNext/>
              <w:jc w:val="center"/>
            </w:pPr>
            <w:r w:rsidRPr="005B7BEE">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4E2344E9" w14:textId="49FCFF9E" w:rsidR="00F95453" w:rsidRDefault="00F95453" w:rsidP="00F95453">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3A177E8E" w14:textId="09E73614" w:rsidR="00F95453" w:rsidRDefault="00F95453" w:rsidP="00F95453">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325ED43F" w14:textId="06126367" w:rsidR="00F95453" w:rsidRDefault="00F95453" w:rsidP="00F95453">
            <w:pPr>
              <w:keepNext/>
              <w:jc w:val="center"/>
            </w:pPr>
            <w:r>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7B013360" w14:textId="0A7C1A7F" w:rsidR="00F95453" w:rsidRDefault="00F95453" w:rsidP="00F95453">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781CD671" w14:textId="561136D4" w:rsidR="00F95453" w:rsidRDefault="00F95453" w:rsidP="00F95453">
            <w:pPr>
              <w:keepNext/>
              <w:jc w:val="center"/>
            </w:pPr>
            <w:r>
              <w:rPr>
                <w:rFonts w:ascii="Calibri" w:hAnsi="Calibri" w:cs="Calibri"/>
                <w:color w:val="000000"/>
              </w:rPr>
              <w:t>3</w:t>
            </w:r>
          </w:p>
        </w:tc>
      </w:tr>
    </w:tbl>
    <w:p w14:paraId="1179E001" w14:textId="77777777" w:rsidR="00C1307E" w:rsidRDefault="00C1307E" w:rsidP="00C1307E">
      <w:pPr>
        <w:pStyle w:val="ListParagraph"/>
        <w:ind w:left="864"/>
        <w:rPr>
          <w:rFonts w:eastAsiaTheme="minorEastAsia"/>
        </w:rPr>
      </w:pPr>
    </w:p>
    <w:p w14:paraId="0B93398B" w14:textId="00A2AA15" w:rsidR="00C1307E" w:rsidRDefault="00C1307E">
      <w:pPr>
        <w:pStyle w:val="ListParagraph"/>
        <w:numPr>
          <w:ilvl w:val="1"/>
          <w:numId w:val="33"/>
        </w:numPr>
        <w:rPr>
          <w:rFonts w:eastAsiaTheme="minorEastAsia"/>
        </w:rPr>
      </w:pPr>
      <w:r>
        <w:rPr>
          <w:rFonts w:eastAsiaTheme="minorEastAsia"/>
        </w:rPr>
        <w:t>Us</w:t>
      </w:r>
      <w:r w:rsidR="00CC35F4">
        <w:rPr>
          <w:rFonts w:eastAsiaTheme="minorEastAsia"/>
        </w:rPr>
        <w:t>e</w:t>
      </w:r>
      <w:r>
        <w:rPr>
          <w:rFonts w:eastAsiaTheme="minorEastAsia"/>
        </w:rPr>
        <w:t xml:space="preserve"> the #8 band to “</w:t>
      </w:r>
      <w:r w:rsidR="001C5F40">
        <w:rPr>
          <w:rFonts w:eastAsiaTheme="minorEastAsia"/>
        </w:rPr>
        <w:t>Rem</w:t>
      </w:r>
      <w:r>
        <w:rPr>
          <w:rFonts w:eastAsiaTheme="minorEastAsia"/>
        </w:rPr>
        <w:t xml:space="preserve">ove </w:t>
      </w:r>
      <w:r w:rsidR="001C5F40">
        <w:rPr>
          <w:rFonts w:eastAsiaTheme="minorEastAsia"/>
        </w:rPr>
        <w:t xml:space="preserve">Identical </w:t>
      </w:r>
      <w:r>
        <w:rPr>
          <w:rFonts w:eastAsiaTheme="minorEastAsia"/>
        </w:rPr>
        <w:t xml:space="preserve">Risks”:  </w:t>
      </w:r>
    </w:p>
    <w:p w14:paraId="2A133F4C" w14:textId="77777777" w:rsidR="00C1307E" w:rsidRDefault="00C1307E" w:rsidP="00C1307E">
      <w:pPr>
        <w:pStyle w:val="ListParagraph"/>
        <w:ind w:left="864"/>
        <w:rPr>
          <w:rFonts w:eastAsiaTheme="minorEastAsia"/>
        </w:rPr>
      </w:pPr>
    </w:p>
    <w:tbl>
      <w:tblPr>
        <w:tblStyle w:val="TableGrid"/>
        <w:tblW w:w="9200" w:type="dxa"/>
        <w:jc w:val="center"/>
        <w:tblLook w:val="04A0" w:firstRow="1" w:lastRow="0" w:firstColumn="1" w:lastColumn="0" w:noHBand="0" w:noVBand="1"/>
      </w:tblPr>
      <w:tblGrid>
        <w:gridCol w:w="874"/>
        <w:gridCol w:w="780"/>
        <w:gridCol w:w="565"/>
        <w:gridCol w:w="634"/>
        <w:gridCol w:w="607"/>
        <w:gridCol w:w="928"/>
        <w:gridCol w:w="424"/>
        <w:gridCol w:w="874"/>
        <w:gridCol w:w="780"/>
        <w:gridCol w:w="565"/>
        <w:gridCol w:w="634"/>
        <w:gridCol w:w="607"/>
        <w:gridCol w:w="928"/>
      </w:tblGrid>
      <w:tr w:rsidR="00C1307E" w:rsidRPr="00F60A9B" w14:paraId="2440E667" w14:textId="77777777" w:rsidTr="00024DD9">
        <w:trPr>
          <w:tblHeader/>
          <w:jc w:val="center"/>
        </w:trPr>
        <w:tc>
          <w:tcPr>
            <w:tcW w:w="0" w:type="auto"/>
            <w:tcBorders>
              <w:top w:val="nil"/>
              <w:left w:val="nil"/>
              <w:bottom w:val="single" w:sz="4" w:space="0" w:color="auto"/>
            </w:tcBorders>
            <w:vAlign w:val="center"/>
          </w:tcPr>
          <w:p w14:paraId="3F700A1F" w14:textId="77777777" w:rsidR="00C1307E" w:rsidRPr="00F60A9B" w:rsidRDefault="00000000" w:rsidP="00024DD9">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84113FD" w14:textId="77777777" w:rsidR="00C1307E" w:rsidRPr="005B7BEE" w:rsidRDefault="00C1307E"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3A8AAC1" w14:textId="77777777" w:rsidR="00C1307E" w:rsidRPr="005B7BEE" w:rsidRDefault="00C1307E"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8AB596B" w14:textId="77777777" w:rsidR="00C1307E" w:rsidRPr="005B7BEE" w:rsidRDefault="00C1307E"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0925D9F" w14:textId="77777777" w:rsidR="00C1307E" w:rsidRPr="005B7BEE" w:rsidRDefault="00C1307E"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6A1E916C" w14:textId="77777777" w:rsidR="00C1307E" w:rsidRPr="005B7BEE" w:rsidRDefault="00C1307E" w:rsidP="00024DD9">
            <w:pPr>
              <w:keepNext/>
              <w:jc w:val="center"/>
              <w:rPr>
                <w:sz w:val="14"/>
                <w:szCs w:val="14"/>
              </w:rPr>
            </w:pPr>
            <w:r w:rsidRPr="005B7BEE">
              <w:rPr>
                <w:sz w:val="14"/>
                <w:szCs w:val="14"/>
              </w:rPr>
              <w:t xml:space="preserve">Catastrophic </w:t>
            </w:r>
          </w:p>
          <w:p w14:paraId="31BDD552" w14:textId="77777777" w:rsidR="00C1307E" w:rsidRPr="005B7BEE" w:rsidRDefault="00C1307E" w:rsidP="00024DD9">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5AAD72A5" w14:textId="77777777" w:rsidR="00C1307E" w:rsidRPr="005B7BEE" w:rsidRDefault="00C1307E" w:rsidP="00024DD9">
            <w:pPr>
              <w:keepNext/>
              <w:jc w:val="center"/>
              <w:rPr>
                <w:sz w:val="14"/>
                <w:szCs w:val="14"/>
              </w:rPr>
            </w:pPr>
          </w:p>
        </w:tc>
        <w:tc>
          <w:tcPr>
            <w:tcW w:w="0" w:type="auto"/>
            <w:tcBorders>
              <w:top w:val="nil"/>
              <w:left w:val="nil"/>
              <w:bottom w:val="single" w:sz="12" w:space="0" w:color="auto"/>
            </w:tcBorders>
            <w:vAlign w:val="center"/>
          </w:tcPr>
          <w:p w14:paraId="4B140533" w14:textId="77777777" w:rsidR="00C1307E" w:rsidRPr="005B7BEE" w:rsidRDefault="00000000" w:rsidP="00024DD9">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A184686" w14:textId="77777777" w:rsidR="00C1307E" w:rsidRPr="005B7BEE" w:rsidRDefault="00C1307E" w:rsidP="00024DD9">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70566A14" w14:textId="77777777" w:rsidR="00C1307E" w:rsidRPr="005B7BEE" w:rsidRDefault="00C1307E" w:rsidP="00024DD9">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3E307495" w14:textId="77777777" w:rsidR="00C1307E" w:rsidRPr="005B7BEE" w:rsidRDefault="00C1307E" w:rsidP="00024DD9">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63F54095" w14:textId="77777777" w:rsidR="00C1307E" w:rsidRPr="005B7BEE" w:rsidRDefault="00C1307E" w:rsidP="00024DD9">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52BB86C5" w14:textId="77777777" w:rsidR="00C1307E" w:rsidRPr="005B7BEE" w:rsidRDefault="00C1307E" w:rsidP="00024DD9">
            <w:pPr>
              <w:keepNext/>
              <w:jc w:val="center"/>
              <w:rPr>
                <w:sz w:val="14"/>
                <w:szCs w:val="14"/>
              </w:rPr>
            </w:pPr>
            <w:r w:rsidRPr="005B7BEE">
              <w:rPr>
                <w:sz w:val="14"/>
                <w:szCs w:val="14"/>
              </w:rPr>
              <w:t xml:space="preserve">Catastrophic </w:t>
            </w:r>
          </w:p>
          <w:p w14:paraId="7F2E09F5" w14:textId="77777777" w:rsidR="00C1307E" w:rsidRDefault="00C1307E" w:rsidP="00024DD9">
            <w:pPr>
              <w:keepNext/>
              <w:jc w:val="center"/>
              <w:rPr>
                <w:rFonts w:ascii="Calibri" w:eastAsia="Calibri" w:hAnsi="Calibri" w:cs="Times New Roman"/>
              </w:rPr>
            </w:pPr>
            <w:r w:rsidRPr="005B7BEE">
              <w:rPr>
                <w:sz w:val="14"/>
                <w:szCs w:val="14"/>
              </w:rPr>
              <w:t>/ Fatal</w:t>
            </w:r>
          </w:p>
        </w:tc>
      </w:tr>
      <w:tr w:rsidR="00903037" w:rsidRPr="00F60A9B" w14:paraId="5186475B" w14:textId="77777777" w:rsidTr="00EC13B5">
        <w:trPr>
          <w:jc w:val="center"/>
        </w:trPr>
        <w:tc>
          <w:tcPr>
            <w:tcW w:w="0" w:type="auto"/>
            <w:tcBorders>
              <w:top w:val="single" w:sz="4" w:space="0" w:color="auto"/>
              <w:right w:val="single" w:sz="12" w:space="0" w:color="auto"/>
            </w:tcBorders>
            <w:vAlign w:val="center"/>
          </w:tcPr>
          <w:p w14:paraId="68D3D48F" w14:textId="77777777" w:rsidR="00903037" w:rsidRPr="005B7BEE" w:rsidRDefault="00903037" w:rsidP="00903037">
            <w:pPr>
              <w:keepNext/>
              <w:rPr>
                <w:sz w:val="14"/>
                <w:szCs w:val="14"/>
              </w:rPr>
            </w:pPr>
            <w:r>
              <w:rPr>
                <w:sz w:val="14"/>
                <w:szCs w:val="14"/>
              </w:rPr>
              <w:t>Expected</w:t>
            </w:r>
          </w:p>
        </w:tc>
        <w:tc>
          <w:tcPr>
            <w:tcW w:w="0" w:type="auto"/>
            <w:tcBorders>
              <w:top w:val="single" w:sz="12" w:space="0" w:color="auto"/>
              <w:left w:val="single" w:sz="12" w:space="0" w:color="auto"/>
              <w:bottom w:val="single" w:sz="4" w:space="0" w:color="auto"/>
            </w:tcBorders>
          </w:tcPr>
          <w:p w14:paraId="218E554E" w14:textId="7D45C2B1" w:rsidR="00903037" w:rsidRPr="00F60A9B" w:rsidRDefault="00903037" w:rsidP="00903037">
            <w:pPr>
              <w:keepNext/>
              <w:jc w:val="center"/>
            </w:pPr>
            <w:r>
              <w:t>0</w:t>
            </w:r>
          </w:p>
        </w:tc>
        <w:tc>
          <w:tcPr>
            <w:tcW w:w="0" w:type="auto"/>
            <w:tcBorders>
              <w:top w:val="single" w:sz="12" w:space="0" w:color="auto"/>
              <w:bottom w:val="single" w:sz="4" w:space="0" w:color="auto"/>
            </w:tcBorders>
          </w:tcPr>
          <w:p w14:paraId="6C6B65A1" w14:textId="6E373F70" w:rsidR="00903037" w:rsidRPr="00210DD1" w:rsidRDefault="00903037" w:rsidP="00903037">
            <w:pPr>
              <w:keepNext/>
              <w:jc w:val="center"/>
            </w:pPr>
            <w:r>
              <w:t>0</w:t>
            </w:r>
          </w:p>
        </w:tc>
        <w:tc>
          <w:tcPr>
            <w:tcW w:w="0" w:type="auto"/>
            <w:tcBorders>
              <w:top w:val="single" w:sz="12" w:space="0" w:color="auto"/>
              <w:bottom w:val="single" w:sz="4" w:space="0" w:color="auto"/>
            </w:tcBorders>
          </w:tcPr>
          <w:p w14:paraId="6F26B896" w14:textId="33692907" w:rsidR="00903037" w:rsidRPr="00210DD1" w:rsidRDefault="00903037" w:rsidP="00903037">
            <w:pPr>
              <w:keepNext/>
              <w:jc w:val="center"/>
            </w:pPr>
            <w:r>
              <w:t>0</w:t>
            </w:r>
          </w:p>
        </w:tc>
        <w:tc>
          <w:tcPr>
            <w:tcW w:w="0" w:type="auto"/>
            <w:tcBorders>
              <w:top w:val="single" w:sz="12" w:space="0" w:color="auto"/>
              <w:bottom w:val="single" w:sz="4" w:space="0" w:color="auto"/>
            </w:tcBorders>
          </w:tcPr>
          <w:p w14:paraId="3B84504C" w14:textId="13598BDC" w:rsidR="00903037" w:rsidRPr="00210DD1" w:rsidRDefault="00903037" w:rsidP="00903037">
            <w:pPr>
              <w:keepNext/>
              <w:jc w:val="center"/>
            </w:pPr>
            <w:r>
              <w:t>0</w:t>
            </w:r>
          </w:p>
        </w:tc>
        <w:tc>
          <w:tcPr>
            <w:tcW w:w="0" w:type="auto"/>
            <w:tcBorders>
              <w:top w:val="single" w:sz="12" w:space="0" w:color="auto"/>
              <w:bottom w:val="single" w:sz="4" w:space="0" w:color="auto"/>
            </w:tcBorders>
            <w:shd w:val="clear" w:color="auto" w:fill="auto"/>
          </w:tcPr>
          <w:p w14:paraId="5E094C8C" w14:textId="4519302F" w:rsidR="00903037" w:rsidRPr="00F60A9B" w:rsidRDefault="00903037" w:rsidP="00903037">
            <w:pPr>
              <w:keepNext/>
              <w:jc w:val="center"/>
            </w:pPr>
            <w:r>
              <w:t>0</w:t>
            </w:r>
          </w:p>
        </w:tc>
        <w:tc>
          <w:tcPr>
            <w:tcW w:w="0" w:type="auto"/>
            <w:tcBorders>
              <w:top w:val="nil"/>
              <w:left w:val="nil"/>
              <w:bottom w:val="nil"/>
              <w:right w:val="nil"/>
            </w:tcBorders>
          </w:tcPr>
          <w:p w14:paraId="25CA8801" w14:textId="77777777" w:rsidR="00903037" w:rsidRDefault="00903037" w:rsidP="00903037">
            <w:pPr>
              <w:keepNext/>
              <w:jc w:val="center"/>
            </w:pPr>
          </w:p>
        </w:tc>
        <w:tc>
          <w:tcPr>
            <w:tcW w:w="0" w:type="auto"/>
            <w:tcBorders>
              <w:top w:val="single" w:sz="12" w:space="0" w:color="auto"/>
            </w:tcBorders>
          </w:tcPr>
          <w:p w14:paraId="65D04C7A" w14:textId="0C000323" w:rsidR="00903037" w:rsidRDefault="00903037" w:rsidP="00903037">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0312D46B" w14:textId="143B0743"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46BB629" w14:textId="00F7D780"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3337F998" w14:textId="55C21D07"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56F1D9F" w14:textId="49489B50"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12D00616" w14:textId="6DE26FA5" w:rsidR="00903037" w:rsidRDefault="00903037" w:rsidP="00903037">
            <w:pPr>
              <w:keepNext/>
              <w:jc w:val="center"/>
            </w:pPr>
            <w:r>
              <w:rPr>
                <w:rFonts w:ascii="Calibri" w:hAnsi="Calibri" w:cs="Calibri"/>
                <w:color w:val="000000"/>
              </w:rPr>
              <w:t>0</w:t>
            </w:r>
          </w:p>
        </w:tc>
      </w:tr>
      <w:tr w:rsidR="00903037" w:rsidRPr="00F60A9B" w14:paraId="484D5717" w14:textId="77777777" w:rsidTr="00EC13B5">
        <w:trPr>
          <w:jc w:val="center"/>
        </w:trPr>
        <w:tc>
          <w:tcPr>
            <w:tcW w:w="0" w:type="auto"/>
            <w:tcBorders>
              <w:right w:val="single" w:sz="12" w:space="0" w:color="auto"/>
            </w:tcBorders>
            <w:shd w:val="clear" w:color="auto" w:fill="auto"/>
            <w:vAlign w:val="center"/>
          </w:tcPr>
          <w:p w14:paraId="276C4996" w14:textId="77777777" w:rsidR="00903037" w:rsidRPr="005B7BEE" w:rsidRDefault="00903037" w:rsidP="00903037">
            <w:pPr>
              <w:keepNext/>
              <w:rPr>
                <w:sz w:val="14"/>
                <w:szCs w:val="14"/>
              </w:rPr>
            </w:pPr>
            <w:r>
              <w:rPr>
                <w:sz w:val="14"/>
                <w:szCs w:val="14"/>
              </w:rPr>
              <w:t>Often</w:t>
            </w:r>
          </w:p>
        </w:tc>
        <w:tc>
          <w:tcPr>
            <w:tcW w:w="0" w:type="auto"/>
            <w:tcBorders>
              <w:left w:val="single" w:sz="12" w:space="0" w:color="auto"/>
            </w:tcBorders>
            <w:shd w:val="clear" w:color="auto" w:fill="auto"/>
          </w:tcPr>
          <w:p w14:paraId="004FC149" w14:textId="668CC48A" w:rsidR="00903037" w:rsidRDefault="00903037" w:rsidP="00903037">
            <w:pPr>
              <w:keepNext/>
              <w:jc w:val="center"/>
            </w:pPr>
            <w:r>
              <w:t>0</w:t>
            </w:r>
          </w:p>
        </w:tc>
        <w:tc>
          <w:tcPr>
            <w:tcW w:w="0" w:type="auto"/>
            <w:shd w:val="clear" w:color="auto" w:fill="auto"/>
          </w:tcPr>
          <w:p w14:paraId="0EB6AD11" w14:textId="2078708A" w:rsidR="00903037" w:rsidRPr="00210DD1" w:rsidRDefault="00903037" w:rsidP="00903037">
            <w:pPr>
              <w:keepNext/>
              <w:jc w:val="center"/>
            </w:pPr>
            <w:r>
              <w:t>0</w:t>
            </w:r>
          </w:p>
        </w:tc>
        <w:tc>
          <w:tcPr>
            <w:tcW w:w="0" w:type="auto"/>
            <w:shd w:val="clear" w:color="auto" w:fill="auto"/>
          </w:tcPr>
          <w:p w14:paraId="111A2AB7" w14:textId="6931628F" w:rsidR="00903037" w:rsidRPr="00210DD1" w:rsidRDefault="00903037" w:rsidP="00903037">
            <w:pPr>
              <w:keepNext/>
              <w:jc w:val="center"/>
            </w:pPr>
            <w:r>
              <w:t>0</w:t>
            </w:r>
          </w:p>
        </w:tc>
        <w:tc>
          <w:tcPr>
            <w:tcW w:w="0" w:type="auto"/>
            <w:shd w:val="clear" w:color="auto" w:fill="auto"/>
          </w:tcPr>
          <w:p w14:paraId="33E55F8A" w14:textId="3B28B2F3" w:rsidR="00903037" w:rsidRPr="00210DD1" w:rsidRDefault="00903037" w:rsidP="00903037">
            <w:pPr>
              <w:keepNext/>
              <w:jc w:val="center"/>
            </w:pPr>
            <w:r>
              <w:t>0</w:t>
            </w:r>
          </w:p>
        </w:tc>
        <w:tc>
          <w:tcPr>
            <w:tcW w:w="0" w:type="auto"/>
            <w:shd w:val="clear" w:color="auto" w:fill="auto"/>
          </w:tcPr>
          <w:p w14:paraId="018F11DA" w14:textId="157BA875" w:rsidR="00903037" w:rsidRDefault="00903037" w:rsidP="00903037">
            <w:pPr>
              <w:keepNext/>
              <w:jc w:val="center"/>
            </w:pPr>
            <w:r>
              <w:t>0</w:t>
            </w:r>
          </w:p>
        </w:tc>
        <w:tc>
          <w:tcPr>
            <w:tcW w:w="0" w:type="auto"/>
            <w:tcBorders>
              <w:top w:val="nil"/>
              <w:left w:val="nil"/>
              <w:bottom w:val="nil"/>
              <w:right w:val="nil"/>
            </w:tcBorders>
            <w:shd w:val="clear" w:color="auto" w:fill="auto"/>
          </w:tcPr>
          <w:p w14:paraId="68AC8048" w14:textId="77777777" w:rsidR="00903037" w:rsidRDefault="00903037" w:rsidP="00903037">
            <w:pPr>
              <w:keepNext/>
              <w:jc w:val="center"/>
            </w:pPr>
          </w:p>
        </w:tc>
        <w:tc>
          <w:tcPr>
            <w:tcW w:w="0" w:type="auto"/>
            <w:shd w:val="clear" w:color="auto" w:fill="auto"/>
          </w:tcPr>
          <w:p w14:paraId="3CC22AD1" w14:textId="73D23D0F" w:rsidR="00903037" w:rsidRPr="005B7BEE" w:rsidRDefault="00903037" w:rsidP="00903037">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7FF15F00" w14:textId="54A38736" w:rsidR="00903037"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69D6835A" w14:textId="78E59FC3"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579F360" w14:textId="52039E42"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27AA85B" w14:textId="43700C51"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069975EA" w14:textId="46DF2AC6" w:rsidR="00903037" w:rsidRDefault="00903037" w:rsidP="00903037">
            <w:pPr>
              <w:keepNext/>
              <w:jc w:val="center"/>
            </w:pPr>
            <w:r>
              <w:rPr>
                <w:rFonts w:ascii="Calibri" w:hAnsi="Calibri" w:cs="Calibri"/>
                <w:color w:val="000000"/>
              </w:rPr>
              <w:t>0</w:t>
            </w:r>
          </w:p>
        </w:tc>
      </w:tr>
      <w:tr w:rsidR="00903037" w:rsidRPr="00F60A9B" w14:paraId="53D0CB12" w14:textId="77777777" w:rsidTr="00EC13B5">
        <w:trPr>
          <w:jc w:val="center"/>
        </w:trPr>
        <w:tc>
          <w:tcPr>
            <w:tcW w:w="0" w:type="auto"/>
            <w:tcBorders>
              <w:right w:val="single" w:sz="12" w:space="0" w:color="auto"/>
            </w:tcBorders>
            <w:vAlign w:val="center"/>
          </w:tcPr>
          <w:p w14:paraId="5A12F953" w14:textId="77777777" w:rsidR="00903037" w:rsidRPr="005B7BEE" w:rsidRDefault="00903037" w:rsidP="00903037">
            <w:pPr>
              <w:keepNext/>
              <w:rPr>
                <w:sz w:val="14"/>
                <w:szCs w:val="14"/>
              </w:rPr>
            </w:pPr>
            <w:r w:rsidRPr="005B7BEE">
              <w:rPr>
                <w:sz w:val="14"/>
                <w:szCs w:val="14"/>
              </w:rPr>
              <w:t>Frequent</w:t>
            </w:r>
          </w:p>
        </w:tc>
        <w:tc>
          <w:tcPr>
            <w:tcW w:w="0" w:type="auto"/>
            <w:tcBorders>
              <w:top w:val="single" w:sz="4" w:space="0" w:color="auto"/>
              <w:left w:val="single" w:sz="12" w:space="0" w:color="auto"/>
            </w:tcBorders>
          </w:tcPr>
          <w:p w14:paraId="24F3DB8B" w14:textId="09F04C1A" w:rsidR="00903037" w:rsidRDefault="00903037" w:rsidP="00903037">
            <w:pPr>
              <w:keepNext/>
              <w:jc w:val="center"/>
            </w:pPr>
            <w:r>
              <w:t>0</w:t>
            </w:r>
          </w:p>
        </w:tc>
        <w:tc>
          <w:tcPr>
            <w:tcW w:w="0" w:type="auto"/>
            <w:tcBorders>
              <w:top w:val="single" w:sz="4" w:space="0" w:color="auto"/>
            </w:tcBorders>
          </w:tcPr>
          <w:p w14:paraId="3A3A16AC" w14:textId="4E364E6F" w:rsidR="00903037" w:rsidRPr="00210DD1" w:rsidRDefault="00903037" w:rsidP="00903037">
            <w:pPr>
              <w:keepNext/>
              <w:jc w:val="center"/>
            </w:pPr>
            <w:r>
              <w:t>0</w:t>
            </w:r>
          </w:p>
        </w:tc>
        <w:tc>
          <w:tcPr>
            <w:tcW w:w="0" w:type="auto"/>
            <w:tcBorders>
              <w:top w:val="single" w:sz="4" w:space="0" w:color="auto"/>
            </w:tcBorders>
          </w:tcPr>
          <w:p w14:paraId="6184A0A5" w14:textId="09F129D6" w:rsidR="00903037" w:rsidRPr="00210DD1" w:rsidRDefault="00903037" w:rsidP="00903037">
            <w:pPr>
              <w:keepNext/>
              <w:jc w:val="center"/>
            </w:pPr>
            <w:r>
              <w:t>0</w:t>
            </w:r>
          </w:p>
        </w:tc>
        <w:tc>
          <w:tcPr>
            <w:tcW w:w="0" w:type="auto"/>
            <w:tcBorders>
              <w:top w:val="single" w:sz="4" w:space="0" w:color="auto"/>
            </w:tcBorders>
            <w:shd w:val="clear" w:color="auto" w:fill="auto"/>
          </w:tcPr>
          <w:p w14:paraId="3813C3D1" w14:textId="0F29A40C" w:rsidR="00903037" w:rsidRPr="00210DD1" w:rsidRDefault="00903037" w:rsidP="00903037">
            <w:pPr>
              <w:keepNext/>
              <w:jc w:val="center"/>
            </w:pPr>
            <w:r>
              <w:t>0</w:t>
            </w:r>
          </w:p>
        </w:tc>
        <w:tc>
          <w:tcPr>
            <w:tcW w:w="0" w:type="auto"/>
            <w:tcBorders>
              <w:top w:val="single" w:sz="4" w:space="0" w:color="auto"/>
            </w:tcBorders>
            <w:shd w:val="clear" w:color="auto" w:fill="auto"/>
          </w:tcPr>
          <w:p w14:paraId="694BF5A6" w14:textId="17F12BD7" w:rsidR="00903037" w:rsidRDefault="00903037" w:rsidP="00903037">
            <w:pPr>
              <w:keepNext/>
              <w:jc w:val="center"/>
            </w:pPr>
            <w:r>
              <w:t>0</w:t>
            </w:r>
          </w:p>
        </w:tc>
        <w:tc>
          <w:tcPr>
            <w:tcW w:w="0" w:type="auto"/>
            <w:tcBorders>
              <w:top w:val="nil"/>
              <w:left w:val="nil"/>
              <w:bottom w:val="nil"/>
              <w:right w:val="nil"/>
            </w:tcBorders>
          </w:tcPr>
          <w:p w14:paraId="221BE182" w14:textId="77777777" w:rsidR="00903037" w:rsidRDefault="00903037" w:rsidP="00903037">
            <w:pPr>
              <w:keepNext/>
              <w:jc w:val="center"/>
            </w:pPr>
          </w:p>
        </w:tc>
        <w:tc>
          <w:tcPr>
            <w:tcW w:w="0" w:type="auto"/>
          </w:tcPr>
          <w:p w14:paraId="22A709E7" w14:textId="146A5C8D" w:rsidR="00903037" w:rsidRPr="005B7BEE" w:rsidRDefault="00903037" w:rsidP="00903037">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D3395F1" w14:textId="072A1B84"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F0C3324" w14:textId="258014BC"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212B7D4" w14:textId="7A2B89AA" w:rsidR="00903037" w:rsidRPr="00210DD1"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3323325B" w14:textId="7192A1DC"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84FADF0" w14:textId="55C68A15" w:rsidR="00903037" w:rsidRDefault="00903037" w:rsidP="00903037">
            <w:pPr>
              <w:keepNext/>
              <w:jc w:val="center"/>
            </w:pPr>
            <w:r>
              <w:rPr>
                <w:rFonts w:ascii="Calibri" w:hAnsi="Calibri" w:cs="Calibri"/>
                <w:color w:val="000000"/>
              </w:rPr>
              <w:t>0</w:t>
            </w:r>
          </w:p>
        </w:tc>
      </w:tr>
      <w:tr w:rsidR="00903037" w:rsidRPr="00F60A9B" w14:paraId="67E2C746" w14:textId="77777777" w:rsidTr="00EC13B5">
        <w:trPr>
          <w:jc w:val="center"/>
        </w:trPr>
        <w:tc>
          <w:tcPr>
            <w:tcW w:w="0" w:type="auto"/>
            <w:tcBorders>
              <w:right w:val="single" w:sz="12" w:space="0" w:color="auto"/>
            </w:tcBorders>
            <w:vAlign w:val="center"/>
          </w:tcPr>
          <w:p w14:paraId="0C0B4730" w14:textId="77777777" w:rsidR="00903037" w:rsidRPr="005B7BEE" w:rsidRDefault="00903037" w:rsidP="00903037">
            <w:pPr>
              <w:keepNext/>
              <w:rPr>
                <w:sz w:val="14"/>
                <w:szCs w:val="14"/>
              </w:rPr>
            </w:pPr>
            <w:r w:rsidRPr="005B7BEE">
              <w:rPr>
                <w:sz w:val="14"/>
                <w:szCs w:val="14"/>
              </w:rPr>
              <w:t>Probable</w:t>
            </w:r>
          </w:p>
        </w:tc>
        <w:tc>
          <w:tcPr>
            <w:tcW w:w="0" w:type="auto"/>
            <w:tcBorders>
              <w:left w:val="single" w:sz="12" w:space="0" w:color="auto"/>
            </w:tcBorders>
          </w:tcPr>
          <w:p w14:paraId="27B6A127" w14:textId="693D079A" w:rsidR="00903037" w:rsidRPr="00F60A9B" w:rsidRDefault="00903037" w:rsidP="00903037">
            <w:pPr>
              <w:keepNext/>
              <w:jc w:val="center"/>
            </w:pPr>
            <w:r>
              <w:t>0</w:t>
            </w:r>
          </w:p>
        </w:tc>
        <w:tc>
          <w:tcPr>
            <w:tcW w:w="0" w:type="auto"/>
          </w:tcPr>
          <w:p w14:paraId="24512F29" w14:textId="36B1CF37" w:rsidR="00903037" w:rsidRPr="00210DD1" w:rsidRDefault="00903037" w:rsidP="00903037">
            <w:pPr>
              <w:keepNext/>
              <w:jc w:val="center"/>
            </w:pPr>
            <w:r>
              <w:t>0</w:t>
            </w:r>
          </w:p>
        </w:tc>
        <w:tc>
          <w:tcPr>
            <w:tcW w:w="0" w:type="auto"/>
          </w:tcPr>
          <w:p w14:paraId="598AF123" w14:textId="3AAE5779" w:rsidR="00903037" w:rsidRPr="00210DD1" w:rsidRDefault="00903037" w:rsidP="00903037">
            <w:pPr>
              <w:keepNext/>
              <w:jc w:val="center"/>
            </w:pPr>
            <w:r>
              <w:t>0</w:t>
            </w:r>
          </w:p>
        </w:tc>
        <w:tc>
          <w:tcPr>
            <w:tcW w:w="0" w:type="auto"/>
            <w:shd w:val="clear" w:color="auto" w:fill="auto"/>
          </w:tcPr>
          <w:p w14:paraId="4251C33A" w14:textId="3E33DFA8" w:rsidR="00903037" w:rsidRPr="00210DD1" w:rsidRDefault="00903037" w:rsidP="00903037">
            <w:pPr>
              <w:keepNext/>
              <w:jc w:val="center"/>
            </w:pPr>
            <w:r>
              <w:t>0</w:t>
            </w:r>
          </w:p>
        </w:tc>
        <w:tc>
          <w:tcPr>
            <w:tcW w:w="0" w:type="auto"/>
            <w:shd w:val="clear" w:color="auto" w:fill="auto"/>
          </w:tcPr>
          <w:p w14:paraId="55BB570B" w14:textId="1F1D2EBF" w:rsidR="00903037" w:rsidRPr="00F60A9B" w:rsidRDefault="00903037" w:rsidP="00903037">
            <w:pPr>
              <w:keepNext/>
              <w:jc w:val="center"/>
            </w:pPr>
            <w:r>
              <w:t>0</w:t>
            </w:r>
          </w:p>
        </w:tc>
        <w:tc>
          <w:tcPr>
            <w:tcW w:w="0" w:type="auto"/>
            <w:tcBorders>
              <w:top w:val="nil"/>
              <w:left w:val="nil"/>
              <w:bottom w:val="nil"/>
              <w:right w:val="nil"/>
            </w:tcBorders>
            <w:tcMar>
              <w:left w:w="115" w:type="dxa"/>
              <w:right w:w="144" w:type="dxa"/>
            </w:tcMar>
          </w:tcPr>
          <w:p w14:paraId="0F072C12" w14:textId="6B0D0079" w:rsidR="00903037" w:rsidRDefault="00903037" w:rsidP="00903037">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213277AC" w14:textId="3A16770E" w:rsidR="00903037" w:rsidRDefault="00903037" w:rsidP="00903037">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2825BFC0" w14:textId="354D0A95"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B3A006A" w14:textId="5DA0649F"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B2ED048" w14:textId="72B9192C"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DF9119B" w14:textId="3C66525B"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77252AAB" w14:textId="071F56D8" w:rsidR="00903037" w:rsidRDefault="00903037" w:rsidP="00903037">
            <w:pPr>
              <w:keepNext/>
              <w:jc w:val="center"/>
            </w:pPr>
            <w:r>
              <w:rPr>
                <w:rFonts w:ascii="Calibri" w:hAnsi="Calibri" w:cs="Calibri"/>
                <w:color w:val="000000"/>
              </w:rPr>
              <w:t>1</w:t>
            </w:r>
          </w:p>
        </w:tc>
      </w:tr>
      <w:tr w:rsidR="00903037" w:rsidRPr="00F60A9B" w14:paraId="0BE2E6F9" w14:textId="77777777" w:rsidTr="00FB1163">
        <w:trPr>
          <w:jc w:val="center"/>
        </w:trPr>
        <w:tc>
          <w:tcPr>
            <w:tcW w:w="0" w:type="auto"/>
            <w:tcBorders>
              <w:right w:val="single" w:sz="12" w:space="0" w:color="auto"/>
            </w:tcBorders>
            <w:vAlign w:val="center"/>
          </w:tcPr>
          <w:p w14:paraId="0203AAAA" w14:textId="77777777" w:rsidR="00903037" w:rsidRPr="005B7BEE" w:rsidRDefault="00903037" w:rsidP="00903037">
            <w:pPr>
              <w:keepNext/>
              <w:rPr>
                <w:sz w:val="14"/>
                <w:szCs w:val="14"/>
              </w:rPr>
            </w:pPr>
            <w:r w:rsidRPr="005B7BEE">
              <w:rPr>
                <w:sz w:val="14"/>
                <w:szCs w:val="14"/>
              </w:rPr>
              <w:t>Occasional</w:t>
            </w:r>
          </w:p>
        </w:tc>
        <w:tc>
          <w:tcPr>
            <w:tcW w:w="0" w:type="auto"/>
            <w:tcBorders>
              <w:left w:val="single" w:sz="12" w:space="0" w:color="auto"/>
            </w:tcBorders>
          </w:tcPr>
          <w:p w14:paraId="61B6F441" w14:textId="635E8C3D" w:rsidR="00903037" w:rsidRPr="00F60A9B" w:rsidRDefault="00903037" w:rsidP="00903037">
            <w:pPr>
              <w:keepNext/>
              <w:jc w:val="center"/>
            </w:pPr>
            <w:r>
              <w:t>1</w:t>
            </w:r>
          </w:p>
        </w:tc>
        <w:tc>
          <w:tcPr>
            <w:tcW w:w="0" w:type="auto"/>
            <w:shd w:val="clear" w:color="auto" w:fill="D9E2F3" w:themeFill="accent1" w:themeFillTint="33"/>
          </w:tcPr>
          <w:p w14:paraId="42C539CE" w14:textId="377E8A2C" w:rsidR="00903037" w:rsidRPr="00210DD1" w:rsidRDefault="00903037" w:rsidP="00903037">
            <w:pPr>
              <w:keepNext/>
              <w:jc w:val="center"/>
            </w:pPr>
            <w:r>
              <w:t>1-1 = 0</w:t>
            </w:r>
          </w:p>
        </w:tc>
        <w:tc>
          <w:tcPr>
            <w:tcW w:w="0" w:type="auto"/>
          </w:tcPr>
          <w:p w14:paraId="23477CAA" w14:textId="00FBEB15" w:rsidR="00903037" w:rsidRPr="00210DD1" w:rsidRDefault="00903037" w:rsidP="00903037">
            <w:pPr>
              <w:keepNext/>
              <w:jc w:val="center"/>
            </w:pPr>
            <w:r>
              <w:t>0</w:t>
            </w:r>
          </w:p>
        </w:tc>
        <w:tc>
          <w:tcPr>
            <w:tcW w:w="0" w:type="auto"/>
          </w:tcPr>
          <w:p w14:paraId="08863DA8" w14:textId="5F1B7F06" w:rsidR="00903037" w:rsidRPr="00210DD1" w:rsidRDefault="00903037" w:rsidP="00903037">
            <w:pPr>
              <w:keepNext/>
              <w:jc w:val="center"/>
            </w:pPr>
            <w:r>
              <w:t>0</w:t>
            </w:r>
          </w:p>
        </w:tc>
        <w:tc>
          <w:tcPr>
            <w:tcW w:w="0" w:type="auto"/>
          </w:tcPr>
          <w:p w14:paraId="20F81CD7" w14:textId="33EBC83B" w:rsidR="00903037" w:rsidRPr="00F60A9B" w:rsidRDefault="00903037" w:rsidP="00903037">
            <w:pPr>
              <w:keepNext/>
              <w:jc w:val="center"/>
            </w:pPr>
            <w:r>
              <w:t>0</w:t>
            </w:r>
          </w:p>
        </w:tc>
        <w:tc>
          <w:tcPr>
            <w:tcW w:w="0" w:type="auto"/>
            <w:tcBorders>
              <w:top w:val="nil"/>
              <w:left w:val="nil"/>
              <w:bottom w:val="nil"/>
              <w:right w:val="nil"/>
            </w:tcBorders>
          </w:tcPr>
          <w:p w14:paraId="69773088" w14:textId="77777777" w:rsidR="00903037" w:rsidRDefault="00903037" w:rsidP="00903037">
            <w:pPr>
              <w:keepNext/>
              <w:jc w:val="center"/>
            </w:pPr>
          </w:p>
        </w:tc>
        <w:tc>
          <w:tcPr>
            <w:tcW w:w="0" w:type="auto"/>
          </w:tcPr>
          <w:p w14:paraId="1C8DB5BD" w14:textId="37B9331B" w:rsidR="00903037" w:rsidRDefault="00903037" w:rsidP="00903037">
            <w:pPr>
              <w:keepNext/>
              <w:jc w:val="center"/>
            </w:pPr>
            <w:r w:rsidRPr="005B7BEE">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381CF75" w14:textId="7732122F" w:rsidR="00903037" w:rsidRDefault="00903037" w:rsidP="00903037">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006D09" w14:textId="65EB7AF9" w:rsidR="00903037" w:rsidRDefault="00903037" w:rsidP="00903037">
            <w:pPr>
              <w:keepNext/>
              <w:jc w:val="center"/>
            </w:pPr>
            <w:r>
              <w:t>10-1 = 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3A837" w14:textId="0D433EB4" w:rsidR="00903037" w:rsidRDefault="00903037" w:rsidP="00903037">
            <w:pPr>
              <w:keepNext/>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DCA" w14:textId="292E05ED" w:rsidR="00903037" w:rsidRDefault="00903037" w:rsidP="00903037">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4594E" w14:textId="2F670CC5" w:rsidR="00903037" w:rsidRDefault="00903037" w:rsidP="00903037">
            <w:pPr>
              <w:keepNext/>
              <w:jc w:val="center"/>
            </w:pPr>
            <w:r>
              <w:t>0</w:t>
            </w:r>
          </w:p>
        </w:tc>
      </w:tr>
      <w:tr w:rsidR="00903037" w:rsidRPr="00F60A9B" w14:paraId="19F9EA74" w14:textId="77777777" w:rsidTr="00944DBC">
        <w:trPr>
          <w:jc w:val="center"/>
        </w:trPr>
        <w:tc>
          <w:tcPr>
            <w:tcW w:w="0" w:type="auto"/>
            <w:tcBorders>
              <w:right w:val="single" w:sz="12" w:space="0" w:color="auto"/>
            </w:tcBorders>
            <w:vAlign w:val="center"/>
          </w:tcPr>
          <w:p w14:paraId="1AC38592" w14:textId="77777777" w:rsidR="00903037" w:rsidRPr="005B7BEE" w:rsidRDefault="00903037" w:rsidP="00903037">
            <w:pPr>
              <w:keepNext/>
              <w:rPr>
                <w:sz w:val="14"/>
                <w:szCs w:val="14"/>
              </w:rPr>
            </w:pPr>
            <w:r w:rsidRPr="005B7BEE">
              <w:rPr>
                <w:sz w:val="14"/>
                <w:szCs w:val="14"/>
              </w:rPr>
              <w:t>Remote</w:t>
            </w:r>
          </w:p>
        </w:tc>
        <w:tc>
          <w:tcPr>
            <w:tcW w:w="0" w:type="auto"/>
            <w:tcBorders>
              <w:left w:val="single" w:sz="12" w:space="0" w:color="auto"/>
            </w:tcBorders>
          </w:tcPr>
          <w:p w14:paraId="59E804D5" w14:textId="04146E4F" w:rsidR="00903037" w:rsidRPr="00F60A9B" w:rsidRDefault="00903037" w:rsidP="00903037">
            <w:pPr>
              <w:keepNext/>
              <w:jc w:val="center"/>
            </w:pPr>
            <w:r>
              <w:t>0</w:t>
            </w:r>
          </w:p>
        </w:tc>
        <w:tc>
          <w:tcPr>
            <w:tcW w:w="0" w:type="auto"/>
          </w:tcPr>
          <w:p w14:paraId="350E5491" w14:textId="73FEE167" w:rsidR="00903037" w:rsidRPr="00210DD1" w:rsidRDefault="00903037" w:rsidP="00903037">
            <w:pPr>
              <w:keepNext/>
              <w:jc w:val="center"/>
            </w:pPr>
            <w:r>
              <w:t>0</w:t>
            </w:r>
          </w:p>
        </w:tc>
        <w:tc>
          <w:tcPr>
            <w:tcW w:w="0" w:type="auto"/>
          </w:tcPr>
          <w:p w14:paraId="01CF1BD1" w14:textId="4A514B8B" w:rsidR="00903037" w:rsidRPr="00210DD1" w:rsidRDefault="00903037" w:rsidP="00903037">
            <w:pPr>
              <w:keepNext/>
              <w:jc w:val="center"/>
            </w:pPr>
            <w:r>
              <w:t>0</w:t>
            </w:r>
          </w:p>
        </w:tc>
        <w:tc>
          <w:tcPr>
            <w:tcW w:w="0" w:type="auto"/>
          </w:tcPr>
          <w:p w14:paraId="016ACBF0" w14:textId="473206E0" w:rsidR="00903037" w:rsidRPr="00210DD1" w:rsidRDefault="00903037" w:rsidP="00903037">
            <w:pPr>
              <w:keepNext/>
              <w:jc w:val="center"/>
            </w:pPr>
            <w:r>
              <w:t>0</w:t>
            </w:r>
          </w:p>
        </w:tc>
        <w:tc>
          <w:tcPr>
            <w:tcW w:w="0" w:type="auto"/>
          </w:tcPr>
          <w:p w14:paraId="791E73B4" w14:textId="2BED9726" w:rsidR="00903037" w:rsidRPr="00F60A9B" w:rsidRDefault="00903037" w:rsidP="00903037">
            <w:pPr>
              <w:keepNext/>
              <w:jc w:val="center"/>
            </w:pPr>
            <w:r>
              <w:t>0</w:t>
            </w:r>
          </w:p>
        </w:tc>
        <w:tc>
          <w:tcPr>
            <w:tcW w:w="0" w:type="auto"/>
            <w:tcBorders>
              <w:top w:val="nil"/>
              <w:left w:val="nil"/>
              <w:bottom w:val="nil"/>
              <w:right w:val="nil"/>
            </w:tcBorders>
          </w:tcPr>
          <w:p w14:paraId="2049B619" w14:textId="77777777" w:rsidR="00903037" w:rsidRDefault="00903037" w:rsidP="00903037">
            <w:pPr>
              <w:keepNext/>
              <w:jc w:val="center"/>
            </w:pPr>
          </w:p>
        </w:tc>
        <w:tc>
          <w:tcPr>
            <w:tcW w:w="0" w:type="auto"/>
          </w:tcPr>
          <w:p w14:paraId="46DBB187" w14:textId="3CCD64AE" w:rsidR="00903037" w:rsidRDefault="00903037" w:rsidP="00903037">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753656B7" w14:textId="4FC29F4E"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0A9A00B" w14:textId="09EA6F28"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466D9FAF" w14:textId="68334DC6"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693E6AB" w14:textId="6CD1705C" w:rsidR="00903037"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305361E" w14:textId="0B22001E" w:rsidR="00903037" w:rsidRDefault="00903037" w:rsidP="00903037">
            <w:pPr>
              <w:keepNext/>
              <w:jc w:val="center"/>
            </w:pPr>
            <w:r>
              <w:rPr>
                <w:rFonts w:ascii="Calibri" w:hAnsi="Calibri" w:cs="Calibri"/>
                <w:color w:val="000000"/>
              </w:rPr>
              <w:t>0</w:t>
            </w:r>
          </w:p>
        </w:tc>
      </w:tr>
      <w:tr w:rsidR="00903037" w:rsidRPr="00F60A9B" w14:paraId="298A5B7C" w14:textId="77777777" w:rsidTr="00944DBC">
        <w:trPr>
          <w:jc w:val="center"/>
        </w:trPr>
        <w:tc>
          <w:tcPr>
            <w:tcW w:w="0" w:type="auto"/>
            <w:tcBorders>
              <w:right w:val="single" w:sz="12" w:space="0" w:color="auto"/>
            </w:tcBorders>
            <w:vAlign w:val="center"/>
          </w:tcPr>
          <w:p w14:paraId="23A4178B" w14:textId="77777777" w:rsidR="00903037" w:rsidRPr="005B7BEE" w:rsidRDefault="00903037" w:rsidP="00903037">
            <w:pPr>
              <w:keepNext/>
              <w:rPr>
                <w:sz w:val="14"/>
                <w:szCs w:val="14"/>
              </w:rPr>
            </w:pPr>
            <w:r w:rsidRPr="005B7BEE">
              <w:rPr>
                <w:sz w:val="14"/>
                <w:szCs w:val="14"/>
              </w:rPr>
              <w:t>Improbable</w:t>
            </w:r>
          </w:p>
        </w:tc>
        <w:tc>
          <w:tcPr>
            <w:tcW w:w="0" w:type="auto"/>
            <w:tcBorders>
              <w:left w:val="single" w:sz="12" w:space="0" w:color="auto"/>
            </w:tcBorders>
          </w:tcPr>
          <w:p w14:paraId="6927FA33" w14:textId="453711BA" w:rsidR="00903037" w:rsidRPr="00F60A9B" w:rsidRDefault="00903037" w:rsidP="00903037">
            <w:pPr>
              <w:keepNext/>
              <w:jc w:val="center"/>
            </w:pPr>
            <w:r>
              <w:t>0</w:t>
            </w:r>
          </w:p>
        </w:tc>
        <w:tc>
          <w:tcPr>
            <w:tcW w:w="0" w:type="auto"/>
          </w:tcPr>
          <w:p w14:paraId="3DB6540A" w14:textId="30B19824" w:rsidR="00903037" w:rsidRPr="00210DD1" w:rsidRDefault="00903037" w:rsidP="00903037">
            <w:pPr>
              <w:keepNext/>
              <w:jc w:val="center"/>
            </w:pPr>
            <w:r>
              <w:t>0</w:t>
            </w:r>
          </w:p>
        </w:tc>
        <w:tc>
          <w:tcPr>
            <w:tcW w:w="0" w:type="auto"/>
          </w:tcPr>
          <w:p w14:paraId="16C2D17C" w14:textId="63E4071D" w:rsidR="00903037" w:rsidRPr="00210DD1" w:rsidRDefault="00903037" w:rsidP="00903037">
            <w:pPr>
              <w:keepNext/>
              <w:jc w:val="center"/>
            </w:pPr>
            <w:r>
              <w:t>0</w:t>
            </w:r>
          </w:p>
        </w:tc>
        <w:tc>
          <w:tcPr>
            <w:tcW w:w="0" w:type="auto"/>
          </w:tcPr>
          <w:p w14:paraId="4AEB5152" w14:textId="019873E8" w:rsidR="00903037" w:rsidRPr="00210DD1" w:rsidRDefault="00903037" w:rsidP="00903037">
            <w:pPr>
              <w:keepNext/>
              <w:jc w:val="center"/>
            </w:pPr>
            <w:r>
              <w:t>0</w:t>
            </w:r>
          </w:p>
        </w:tc>
        <w:tc>
          <w:tcPr>
            <w:tcW w:w="0" w:type="auto"/>
          </w:tcPr>
          <w:p w14:paraId="409B975F" w14:textId="23F5CFC5" w:rsidR="00903037" w:rsidRPr="00F60A9B" w:rsidRDefault="00903037" w:rsidP="00903037">
            <w:pPr>
              <w:keepNext/>
              <w:jc w:val="center"/>
            </w:pPr>
            <w:r>
              <w:t>0</w:t>
            </w:r>
          </w:p>
        </w:tc>
        <w:tc>
          <w:tcPr>
            <w:tcW w:w="0" w:type="auto"/>
            <w:tcBorders>
              <w:top w:val="nil"/>
              <w:left w:val="nil"/>
              <w:bottom w:val="nil"/>
              <w:right w:val="nil"/>
            </w:tcBorders>
          </w:tcPr>
          <w:p w14:paraId="2C0AF686" w14:textId="77777777" w:rsidR="00903037" w:rsidRDefault="00903037" w:rsidP="00903037">
            <w:pPr>
              <w:keepNext/>
              <w:jc w:val="center"/>
            </w:pPr>
          </w:p>
        </w:tc>
        <w:tc>
          <w:tcPr>
            <w:tcW w:w="0" w:type="auto"/>
          </w:tcPr>
          <w:p w14:paraId="3BA03272" w14:textId="66D2BAF7" w:rsidR="00903037" w:rsidRDefault="00903037" w:rsidP="00903037">
            <w:pPr>
              <w:keepNext/>
              <w:jc w:val="center"/>
            </w:pPr>
            <w:r w:rsidRPr="005B7BEE">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0BBC08FF" w14:textId="56D9EEA4"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47B1E059" w14:textId="2C6AC06B"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DF89BA3" w14:textId="29FA48E0" w:rsidR="00903037" w:rsidRDefault="00903037" w:rsidP="00903037">
            <w:pPr>
              <w:keepNext/>
              <w:jc w:val="center"/>
            </w:pPr>
            <w:r>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57785DF" w14:textId="5107830A" w:rsidR="00903037" w:rsidRDefault="00903037" w:rsidP="00903037">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255784B2" w14:textId="788B6621" w:rsidR="00903037" w:rsidRDefault="00903037" w:rsidP="00903037">
            <w:pPr>
              <w:keepNext/>
              <w:jc w:val="center"/>
            </w:pPr>
            <w:r>
              <w:rPr>
                <w:rFonts w:ascii="Calibri" w:hAnsi="Calibri" w:cs="Calibri"/>
                <w:color w:val="000000"/>
              </w:rPr>
              <w:t>3</w:t>
            </w:r>
          </w:p>
        </w:tc>
      </w:tr>
    </w:tbl>
    <w:p w14:paraId="3CB27721" w14:textId="77777777" w:rsidR="00CC35F4" w:rsidRDefault="00CC35F4" w:rsidP="00CC35F4">
      <w:pPr>
        <w:pStyle w:val="ListParagraph"/>
        <w:ind w:left="864"/>
        <w:rPr>
          <w:rFonts w:eastAsiaTheme="minorEastAsia"/>
        </w:rPr>
      </w:pPr>
    </w:p>
    <w:p w14:paraId="2590FF30" w14:textId="43E6FAA1" w:rsidR="00CC35F4" w:rsidRDefault="00CC35F4">
      <w:pPr>
        <w:pStyle w:val="ListParagraph"/>
        <w:numPr>
          <w:ilvl w:val="1"/>
          <w:numId w:val="34"/>
        </w:numPr>
        <w:rPr>
          <w:rFonts w:eastAsiaTheme="minorEastAsia"/>
        </w:rPr>
      </w:pPr>
      <w:r>
        <w:rPr>
          <w:rFonts w:eastAsiaTheme="minorEastAsia"/>
        </w:rPr>
        <w:t>Us</w:t>
      </w:r>
      <w:r w:rsidR="00417B39">
        <w:rPr>
          <w:rFonts w:eastAsiaTheme="minorEastAsia"/>
        </w:rPr>
        <w:t>ing</w:t>
      </w:r>
      <w:r>
        <w:rPr>
          <w:rFonts w:eastAsiaTheme="minorEastAsia"/>
        </w:rPr>
        <w:t xml:space="preserve"> “</w:t>
      </w:r>
      <w:r w:rsidR="001C5F40">
        <w:rPr>
          <w:rFonts w:eastAsiaTheme="minorEastAsia"/>
        </w:rPr>
        <w:t>Rem</w:t>
      </w:r>
      <w:r>
        <w:rPr>
          <w:rFonts w:eastAsiaTheme="minorEastAsia"/>
        </w:rPr>
        <w:t xml:space="preserve">oving </w:t>
      </w:r>
      <w:r w:rsidR="001C5F40">
        <w:rPr>
          <w:rFonts w:eastAsiaTheme="minorEastAsia"/>
        </w:rPr>
        <w:t xml:space="preserve">Unequal </w:t>
      </w:r>
      <w:r>
        <w:rPr>
          <w:rFonts w:eastAsiaTheme="minorEastAsia"/>
        </w:rPr>
        <w:t xml:space="preserve">Risks” </w:t>
      </w:r>
      <w:r w:rsidR="00417B39">
        <w:rPr>
          <w:rFonts w:eastAsiaTheme="minorEastAsia"/>
        </w:rPr>
        <w:t xml:space="preserve">within the ‘Minor’, ‘Serious/Major’, ‘Critical’, and ‘Catastrophic/Fatal’ columns </w:t>
      </w:r>
      <w:r>
        <w:rPr>
          <w:rFonts w:eastAsiaTheme="minorEastAsia"/>
        </w:rPr>
        <w:t xml:space="preserve">to simplify </w:t>
      </w:r>
      <w:r>
        <w:rPr>
          <w:rFonts w:eastAsiaTheme="minorEastAsia"/>
        </w:rPr>
        <w:fldChar w:fldCharType="begin"/>
      </w:r>
      <w:r>
        <w:rPr>
          <w:rFonts w:eastAsiaTheme="minorEastAsia"/>
        </w:rPr>
        <w:instrText xml:space="preserve"> REF _Ref147478729 \h </w:instrText>
      </w:r>
      <w:r>
        <w:rPr>
          <w:rFonts w:eastAsiaTheme="minorEastAsia"/>
        </w:rPr>
      </w:r>
      <w:r>
        <w:rPr>
          <w:rFonts w:eastAsiaTheme="minorEastAsia"/>
        </w:rPr>
        <w:fldChar w:fldCharType="separate"/>
      </w:r>
      <w:r w:rsidR="001E41EA">
        <w:t xml:space="preserve">Equation </w:t>
      </w:r>
      <w:r w:rsidR="001E41EA">
        <w:rPr>
          <w:noProof/>
        </w:rPr>
        <w:t>23</w:t>
      </w:r>
      <w:r>
        <w:rPr>
          <w:rFonts w:eastAsiaTheme="minorEastAsia"/>
        </w:rPr>
        <w:fldChar w:fldCharType="end"/>
      </w:r>
      <w:r>
        <w:rPr>
          <w:rFonts w:eastAsiaTheme="minorEastAsia"/>
        </w:rPr>
        <w:t xml:space="preserve">:  </w:t>
      </w:r>
    </w:p>
    <w:p w14:paraId="469A91E1" w14:textId="77777777" w:rsidR="00CC35F4" w:rsidRDefault="00CC35F4" w:rsidP="00CC35F4">
      <w:pPr>
        <w:pStyle w:val="ListParagraph"/>
        <w:ind w:left="864"/>
        <w:rPr>
          <w:rFonts w:eastAsiaTheme="minorEastAsia"/>
        </w:rPr>
      </w:pPr>
    </w:p>
    <w:tbl>
      <w:tblPr>
        <w:tblStyle w:val="TableGrid"/>
        <w:tblW w:w="9265" w:type="dxa"/>
        <w:jc w:val="center"/>
        <w:tblLook w:val="04A0" w:firstRow="1" w:lastRow="0" w:firstColumn="1" w:lastColumn="0" w:noHBand="0" w:noVBand="1"/>
      </w:tblPr>
      <w:tblGrid>
        <w:gridCol w:w="874"/>
        <w:gridCol w:w="782"/>
        <w:gridCol w:w="565"/>
        <w:gridCol w:w="658"/>
        <w:gridCol w:w="607"/>
        <w:gridCol w:w="928"/>
        <w:gridCol w:w="424"/>
        <w:gridCol w:w="874"/>
        <w:gridCol w:w="780"/>
        <w:gridCol w:w="580"/>
        <w:gridCol w:w="658"/>
        <w:gridCol w:w="607"/>
        <w:gridCol w:w="928"/>
      </w:tblGrid>
      <w:tr w:rsidR="00FB1163" w:rsidRPr="00F60A9B" w14:paraId="6DA457AA" w14:textId="77777777" w:rsidTr="00CC35F4">
        <w:trPr>
          <w:tblHeader/>
          <w:jc w:val="center"/>
        </w:trPr>
        <w:tc>
          <w:tcPr>
            <w:tcW w:w="0" w:type="auto"/>
            <w:tcBorders>
              <w:top w:val="nil"/>
              <w:left w:val="nil"/>
              <w:bottom w:val="single" w:sz="4" w:space="0" w:color="auto"/>
            </w:tcBorders>
            <w:vAlign w:val="center"/>
          </w:tcPr>
          <w:p w14:paraId="32DB3C7B" w14:textId="577CF085" w:rsidR="00FB1163" w:rsidRPr="00F60A9B" w:rsidRDefault="00000000" w:rsidP="00FB1163">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1FAC0910" w14:textId="55BC9C9F" w:rsidR="00FB1163" w:rsidRPr="005B7BEE" w:rsidRDefault="00FB1163" w:rsidP="00FB1163">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25E45E24" w14:textId="5C30C895" w:rsidR="00FB1163" w:rsidRPr="005B7BEE" w:rsidRDefault="00FB1163" w:rsidP="00FB1163">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44FC4ED0" w14:textId="510075B5" w:rsidR="00FB1163" w:rsidRPr="005B7BEE" w:rsidRDefault="00FB1163" w:rsidP="00FB1163">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1E686332" w14:textId="2580C6AE" w:rsidR="00FB1163" w:rsidRPr="005B7BEE" w:rsidRDefault="00FB1163" w:rsidP="00FB1163">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7D261957" w14:textId="77777777" w:rsidR="00FB1163" w:rsidRPr="005B7BEE" w:rsidRDefault="00FB1163" w:rsidP="00FB1163">
            <w:pPr>
              <w:keepNext/>
              <w:jc w:val="center"/>
              <w:rPr>
                <w:sz w:val="14"/>
                <w:szCs w:val="14"/>
              </w:rPr>
            </w:pPr>
            <w:r w:rsidRPr="005B7BEE">
              <w:rPr>
                <w:sz w:val="14"/>
                <w:szCs w:val="14"/>
              </w:rPr>
              <w:t xml:space="preserve">Catastrophic </w:t>
            </w:r>
          </w:p>
          <w:p w14:paraId="42B36060" w14:textId="39A71C1C" w:rsidR="00FB1163" w:rsidRPr="005B7BEE" w:rsidRDefault="00FB1163" w:rsidP="00FB1163">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768511B2" w14:textId="77777777" w:rsidR="00FB1163" w:rsidRPr="005B7BEE" w:rsidRDefault="00FB1163" w:rsidP="00FB1163">
            <w:pPr>
              <w:keepNext/>
              <w:jc w:val="center"/>
              <w:rPr>
                <w:sz w:val="14"/>
                <w:szCs w:val="14"/>
              </w:rPr>
            </w:pPr>
          </w:p>
        </w:tc>
        <w:tc>
          <w:tcPr>
            <w:tcW w:w="0" w:type="auto"/>
            <w:tcBorders>
              <w:top w:val="nil"/>
              <w:left w:val="nil"/>
              <w:bottom w:val="single" w:sz="12" w:space="0" w:color="auto"/>
            </w:tcBorders>
            <w:vAlign w:val="center"/>
          </w:tcPr>
          <w:p w14:paraId="6A04DD29" w14:textId="01578C36" w:rsidR="00FB1163" w:rsidRPr="005B7BEE" w:rsidRDefault="00000000" w:rsidP="00FB1163">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57A565B4" w14:textId="2D37C59E" w:rsidR="00FB1163" w:rsidRPr="005B7BEE" w:rsidRDefault="00FB1163" w:rsidP="00FB1163">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7F3B953C" w14:textId="06ECB3F5" w:rsidR="00FB1163" w:rsidRPr="005B7BEE" w:rsidRDefault="00FB1163" w:rsidP="00FB1163">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2BD91FC0" w14:textId="115AD000" w:rsidR="00FB1163" w:rsidRPr="005B7BEE" w:rsidRDefault="00FB1163" w:rsidP="00FB1163">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43A3D374" w14:textId="30A3A908" w:rsidR="00FB1163" w:rsidRPr="005B7BEE" w:rsidRDefault="00FB1163" w:rsidP="00FB1163">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1F22ABA4" w14:textId="77777777" w:rsidR="00FB1163" w:rsidRPr="005B7BEE" w:rsidRDefault="00FB1163" w:rsidP="00FB1163">
            <w:pPr>
              <w:keepNext/>
              <w:jc w:val="center"/>
              <w:rPr>
                <w:sz w:val="14"/>
                <w:szCs w:val="14"/>
              </w:rPr>
            </w:pPr>
            <w:r w:rsidRPr="005B7BEE">
              <w:rPr>
                <w:sz w:val="14"/>
                <w:szCs w:val="14"/>
              </w:rPr>
              <w:t xml:space="preserve">Catastrophic </w:t>
            </w:r>
          </w:p>
          <w:p w14:paraId="6DE46284" w14:textId="101F7053" w:rsidR="00FB1163" w:rsidRDefault="00FB1163" w:rsidP="00FB1163">
            <w:pPr>
              <w:keepNext/>
              <w:jc w:val="center"/>
              <w:rPr>
                <w:rFonts w:ascii="Calibri" w:eastAsia="Calibri" w:hAnsi="Calibri" w:cs="Times New Roman"/>
              </w:rPr>
            </w:pPr>
            <w:r w:rsidRPr="005B7BEE">
              <w:rPr>
                <w:sz w:val="14"/>
                <w:szCs w:val="14"/>
              </w:rPr>
              <w:t>/ Fatal</w:t>
            </w:r>
          </w:p>
        </w:tc>
      </w:tr>
      <w:tr w:rsidR="00903037" w:rsidRPr="00F60A9B" w14:paraId="183BAB74" w14:textId="77777777" w:rsidTr="001F4B2D">
        <w:trPr>
          <w:jc w:val="center"/>
        </w:trPr>
        <w:tc>
          <w:tcPr>
            <w:tcW w:w="0" w:type="auto"/>
            <w:tcBorders>
              <w:top w:val="single" w:sz="4" w:space="0" w:color="auto"/>
              <w:right w:val="single" w:sz="12" w:space="0" w:color="auto"/>
            </w:tcBorders>
            <w:vAlign w:val="center"/>
          </w:tcPr>
          <w:p w14:paraId="54C3FC62" w14:textId="1AF4AEE4" w:rsidR="00903037" w:rsidRPr="005B7BEE" w:rsidRDefault="00903037" w:rsidP="00903037">
            <w:pPr>
              <w:keepNext/>
              <w:rPr>
                <w:sz w:val="14"/>
                <w:szCs w:val="14"/>
              </w:rPr>
            </w:pPr>
            <w:r>
              <w:rPr>
                <w:sz w:val="14"/>
                <w:szCs w:val="14"/>
              </w:rPr>
              <w:t>Expected</w:t>
            </w:r>
          </w:p>
        </w:tc>
        <w:tc>
          <w:tcPr>
            <w:tcW w:w="0" w:type="auto"/>
            <w:tcBorders>
              <w:top w:val="single" w:sz="12" w:space="0" w:color="auto"/>
              <w:left w:val="single" w:sz="12" w:space="0" w:color="auto"/>
              <w:bottom w:val="single" w:sz="4" w:space="0" w:color="auto"/>
            </w:tcBorders>
          </w:tcPr>
          <w:p w14:paraId="7DB61D88" w14:textId="10D983AF" w:rsidR="00903037" w:rsidRPr="00F60A9B" w:rsidRDefault="00903037" w:rsidP="00903037">
            <w:pPr>
              <w:keepNext/>
              <w:jc w:val="center"/>
            </w:pPr>
            <w:r>
              <w:t>0</w:t>
            </w:r>
          </w:p>
        </w:tc>
        <w:tc>
          <w:tcPr>
            <w:tcW w:w="0" w:type="auto"/>
            <w:tcBorders>
              <w:top w:val="single" w:sz="12" w:space="0" w:color="auto"/>
              <w:bottom w:val="single" w:sz="4" w:space="0" w:color="auto"/>
            </w:tcBorders>
          </w:tcPr>
          <w:p w14:paraId="4E97D3C1" w14:textId="4D3034C6" w:rsidR="00903037" w:rsidRPr="00210DD1" w:rsidRDefault="00903037" w:rsidP="00903037">
            <w:pPr>
              <w:keepNext/>
              <w:jc w:val="center"/>
            </w:pPr>
            <w:r>
              <w:t>0</w:t>
            </w:r>
          </w:p>
        </w:tc>
        <w:tc>
          <w:tcPr>
            <w:tcW w:w="0" w:type="auto"/>
            <w:tcBorders>
              <w:top w:val="single" w:sz="12" w:space="0" w:color="auto"/>
              <w:bottom w:val="single" w:sz="4" w:space="0" w:color="auto"/>
            </w:tcBorders>
          </w:tcPr>
          <w:p w14:paraId="31A37BF0" w14:textId="467ABD88" w:rsidR="00903037" w:rsidRPr="00210DD1" w:rsidRDefault="00903037" w:rsidP="00903037">
            <w:pPr>
              <w:keepNext/>
              <w:jc w:val="center"/>
            </w:pPr>
            <w:r>
              <w:t>0</w:t>
            </w:r>
          </w:p>
        </w:tc>
        <w:tc>
          <w:tcPr>
            <w:tcW w:w="0" w:type="auto"/>
            <w:tcBorders>
              <w:top w:val="single" w:sz="12" w:space="0" w:color="auto"/>
              <w:bottom w:val="single" w:sz="4" w:space="0" w:color="auto"/>
            </w:tcBorders>
          </w:tcPr>
          <w:p w14:paraId="67D68472" w14:textId="5C2E126B" w:rsidR="00903037" w:rsidRPr="00210DD1" w:rsidRDefault="00903037" w:rsidP="00903037">
            <w:pPr>
              <w:keepNext/>
              <w:jc w:val="center"/>
            </w:pPr>
            <w:r>
              <w:t>0</w:t>
            </w:r>
          </w:p>
        </w:tc>
        <w:tc>
          <w:tcPr>
            <w:tcW w:w="0" w:type="auto"/>
            <w:tcBorders>
              <w:top w:val="single" w:sz="12" w:space="0" w:color="auto"/>
              <w:bottom w:val="single" w:sz="4" w:space="0" w:color="auto"/>
            </w:tcBorders>
            <w:shd w:val="clear" w:color="auto" w:fill="auto"/>
          </w:tcPr>
          <w:p w14:paraId="2BA3F696" w14:textId="12D8AF10" w:rsidR="00903037" w:rsidRPr="00F60A9B" w:rsidRDefault="00903037" w:rsidP="00903037">
            <w:pPr>
              <w:keepNext/>
              <w:jc w:val="center"/>
            </w:pPr>
            <w:r>
              <w:t>0</w:t>
            </w:r>
          </w:p>
        </w:tc>
        <w:tc>
          <w:tcPr>
            <w:tcW w:w="0" w:type="auto"/>
            <w:tcBorders>
              <w:top w:val="nil"/>
              <w:left w:val="nil"/>
              <w:bottom w:val="nil"/>
              <w:right w:val="nil"/>
            </w:tcBorders>
          </w:tcPr>
          <w:p w14:paraId="4C37A4EB" w14:textId="77777777" w:rsidR="00903037" w:rsidRDefault="00903037" w:rsidP="00903037">
            <w:pPr>
              <w:keepNext/>
              <w:jc w:val="center"/>
            </w:pPr>
          </w:p>
        </w:tc>
        <w:tc>
          <w:tcPr>
            <w:tcW w:w="0" w:type="auto"/>
            <w:tcBorders>
              <w:top w:val="single" w:sz="12" w:space="0" w:color="auto"/>
            </w:tcBorders>
          </w:tcPr>
          <w:p w14:paraId="0DBEAFB4" w14:textId="0667447C" w:rsidR="00903037" w:rsidRDefault="00903037" w:rsidP="00903037">
            <w:pPr>
              <w:keepNext/>
              <w:jc w:val="center"/>
            </w:pPr>
            <w:r>
              <w:rPr>
                <w:sz w:val="14"/>
                <w:szCs w:val="14"/>
              </w:rPr>
              <w:t>Expected</w:t>
            </w:r>
          </w:p>
        </w:tc>
        <w:tc>
          <w:tcPr>
            <w:tcW w:w="0" w:type="auto"/>
            <w:tcBorders>
              <w:top w:val="single" w:sz="8" w:space="0" w:color="auto"/>
              <w:left w:val="single" w:sz="8" w:space="0" w:color="auto"/>
              <w:bottom w:val="single" w:sz="4" w:space="0" w:color="auto"/>
              <w:right w:val="single" w:sz="4" w:space="0" w:color="auto"/>
            </w:tcBorders>
            <w:shd w:val="clear" w:color="auto" w:fill="auto"/>
            <w:vAlign w:val="bottom"/>
          </w:tcPr>
          <w:p w14:paraId="6767482E" w14:textId="1F9C4864"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0490AF8" w14:textId="7D8EEECB"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0D36820C" w14:textId="1996EFB7"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4" w:space="0" w:color="auto"/>
            </w:tcBorders>
            <w:shd w:val="clear" w:color="auto" w:fill="auto"/>
            <w:vAlign w:val="bottom"/>
          </w:tcPr>
          <w:p w14:paraId="7F27B171" w14:textId="46D755B5" w:rsidR="00903037" w:rsidRDefault="00903037" w:rsidP="00903037">
            <w:pPr>
              <w:keepNext/>
              <w:jc w:val="center"/>
            </w:pPr>
            <w:r>
              <w:rPr>
                <w:rFonts w:ascii="Calibri" w:hAnsi="Calibri" w:cs="Calibri"/>
                <w:color w:val="000000"/>
              </w:rPr>
              <w:t>0</w:t>
            </w:r>
          </w:p>
        </w:tc>
        <w:tc>
          <w:tcPr>
            <w:tcW w:w="0" w:type="auto"/>
            <w:tcBorders>
              <w:top w:val="single" w:sz="8" w:space="0" w:color="auto"/>
              <w:left w:val="nil"/>
              <w:bottom w:val="single" w:sz="4" w:space="0" w:color="auto"/>
              <w:right w:val="single" w:sz="8" w:space="0" w:color="auto"/>
            </w:tcBorders>
            <w:shd w:val="clear" w:color="auto" w:fill="auto"/>
            <w:vAlign w:val="bottom"/>
          </w:tcPr>
          <w:p w14:paraId="30CF3547" w14:textId="6B048FCD" w:rsidR="00903037" w:rsidRDefault="00903037" w:rsidP="00903037">
            <w:pPr>
              <w:keepNext/>
              <w:jc w:val="center"/>
            </w:pPr>
            <w:r>
              <w:rPr>
                <w:rFonts w:ascii="Calibri" w:hAnsi="Calibri" w:cs="Calibri"/>
                <w:color w:val="000000"/>
              </w:rPr>
              <w:t>0</w:t>
            </w:r>
          </w:p>
        </w:tc>
      </w:tr>
      <w:tr w:rsidR="00903037" w:rsidRPr="00F60A9B" w14:paraId="493B4B03" w14:textId="77777777" w:rsidTr="001F4B2D">
        <w:trPr>
          <w:jc w:val="center"/>
        </w:trPr>
        <w:tc>
          <w:tcPr>
            <w:tcW w:w="0" w:type="auto"/>
            <w:tcBorders>
              <w:right w:val="single" w:sz="12" w:space="0" w:color="auto"/>
            </w:tcBorders>
            <w:shd w:val="clear" w:color="auto" w:fill="auto"/>
            <w:vAlign w:val="center"/>
          </w:tcPr>
          <w:p w14:paraId="442D3FA2" w14:textId="7F27B7ED" w:rsidR="00903037" w:rsidRPr="005B7BEE" w:rsidRDefault="00903037" w:rsidP="00903037">
            <w:pPr>
              <w:keepNext/>
              <w:rPr>
                <w:sz w:val="14"/>
                <w:szCs w:val="14"/>
              </w:rPr>
            </w:pPr>
            <w:r>
              <w:rPr>
                <w:sz w:val="14"/>
                <w:szCs w:val="14"/>
              </w:rPr>
              <w:t>Often</w:t>
            </w:r>
          </w:p>
        </w:tc>
        <w:tc>
          <w:tcPr>
            <w:tcW w:w="0" w:type="auto"/>
            <w:tcBorders>
              <w:left w:val="single" w:sz="12" w:space="0" w:color="auto"/>
            </w:tcBorders>
            <w:shd w:val="clear" w:color="auto" w:fill="auto"/>
          </w:tcPr>
          <w:p w14:paraId="16EEF010" w14:textId="617FF45F" w:rsidR="00903037" w:rsidRDefault="00903037" w:rsidP="00903037">
            <w:pPr>
              <w:keepNext/>
              <w:jc w:val="center"/>
            </w:pPr>
            <w:r>
              <w:t>0</w:t>
            </w:r>
          </w:p>
        </w:tc>
        <w:tc>
          <w:tcPr>
            <w:tcW w:w="0" w:type="auto"/>
            <w:shd w:val="clear" w:color="auto" w:fill="auto"/>
          </w:tcPr>
          <w:p w14:paraId="677C50DB" w14:textId="0D1FDA38" w:rsidR="00903037" w:rsidRPr="00210DD1" w:rsidRDefault="00903037" w:rsidP="00903037">
            <w:pPr>
              <w:keepNext/>
              <w:jc w:val="center"/>
            </w:pPr>
            <w:r>
              <w:t>0</w:t>
            </w:r>
          </w:p>
        </w:tc>
        <w:tc>
          <w:tcPr>
            <w:tcW w:w="0" w:type="auto"/>
          </w:tcPr>
          <w:p w14:paraId="2736C07F" w14:textId="0CEB9B2D" w:rsidR="00903037" w:rsidRPr="00210DD1" w:rsidRDefault="00903037" w:rsidP="00903037">
            <w:pPr>
              <w:keepNext/>
              <w:jc w:val="center"/>
            </w:pPr>
            <w:r>
              <w:t>0</w:t>
            </w:r>
          </w:p>
        </w:tc>
        <w:tc>
          <w:tcPr>
            <w:tcW w:w="0" w:type="auto"/>
          </w:tcPr>
          <w:p w14:paraId="7A8380EE" w14:textId="129BABBA" w:rsidR="00903037" w:rsidRPr="00210DD1" w:rsidRDefault="00903037" w:rsidP="00903037">
            <w:pPr>
              <w:keepNext/>
              <w:jc w:val="center"/>
            </w:pPr>
            <w:r>
              <w:t>0</w:t>
            </w:r>
          </w:p>
        </w:tc>
        <w:tc>
          <w:tcPr>
            <w:tcW w:w="0" w:type="auto"/>
            <w:shd w:val="clear" w:color="auto" w:fill="auto"/>
          </w:tcPr>
          <w:p w14:paraId="21F61E87" w14:textId="2077811B" w:rsidR="00903037" w:rsidRDefault="00903037" w:rsidP="00903037">
            <w:pPr>
              <w:keepNext/>
              <w:jc w:val="center"/>
            </w:pPr>
            <w:r>
              <w:t>0</w:t>
            </w:r>
          </w:p>
        </w:tc>
        <w:tc>
          <w:tcPr>
            <w:tcW w:w="0" w:type="auto"/>
            <w:tcBorders>
              <w:top w:val="nil"/>
              <w:left w:val="nil"/>
              <w:bottom w:val="nil"/>
              <w:right w:val="nil"/>
            </w:tcBorders>
          </w:tcPr>
          <w:p w14:paraId="79FDE274" w14:textId="77777777" w:rsidR="00903037" w:rsidRDefault="00903037" w:rsidP="00903037">
            <w:pPr>
              <w:keepNext/>
              <w:jc w:val="center"/>
            </w:pPr>
          </w:p>
        </w:tc>
        <w:tc>
          <w:tcPr>
            <w:tcW w:w="0" w:type="auto"/>
            <w:shd w:val="clear" w:color="auto" w:fill="auto"/>
          </w:tcPr>
          <w:p w14:paraId="1BE56BF0" w14:textId="675E42BC" w:rsidR="00903037" w:rsidRPr="005B7BEE" w:rsidRDefault="00903037" w:rsidP="00903037">
            <w:pPr>
              <w:keepNext/>
              <w:jc w:val="center"/>
              <w:rPr>
                <w:sz w:val="14"/>
                <w:szCs w:val="14"/>
              </w:rPr>
            </w:pPr>
            <w:r>
              <w:rPr>
                <w:sz w:val="14"/>
                <w:szCs w:val="14"/>
              </w:rPr>
              <w:t>Often</w:t>
            </w:r>
          </w:p>
        </w:tc>
        <w:tc>
          <w:tcPr>
            <w:tcW w:w="0" w:type="auto"/>
            <w:tcBorders>
              <w:top w:val="nil"/>
              <w:left w:val="single" w:sz="8" w:space="0" w:color="auto"/>
              <w:bottom w:val="single" w:sz="4" w:space="0" w:color="auto"/>
              <w:right w:val="single" w:sz="4" w:space="0" w:color="auto"/>
            </w:tcBorders>
            <w:shd w:val="clear" w:color="auto" w:fill="auto"/>
            <w:vAlign w:val="bottom"/>
          </w:tcPr>
          <w:p w14:paraId="4B6A89F6" w14:textId="0CE758F1" w:rsidR="00903037"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513B8FE9" w14:textId="52296F2B"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750CCCE9" w14:textId="3AAF302B"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71DFCBC" w14:textId="04D2B6FD"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247575F7" w14:textId="223166EF" w:rsidR="00903037" w:rsidRDefault="00903037" w:rsidP="00903037">
            <w:pPr>
              <w:keepNext/>
              <w:jc w:val="center"/>
            </w:pPr>
            <w:r>
              <w:rPr>
                <w:rFonts w:ascii="Calibri" w:hAnsi="Calibri" w:cs="Calibri"/>
                <w:color w:val="000000"/>
              </w:rPr>
              <w:t>0</w:t>
            </w:r>
          </w:p>
        </w:tc>
      </w:tr>
      <w:tr w:rsidR="00903037" w:rsidRPr="00F60A9B" w14:paraId="6DC8827B" w14:textId="77777777" w:rsidTr="001F4B2D">
        <w:trPr>
          <w:jc w:val="center"/>
        </w:trPr>
        <w:tc>
          <w:tcPr>
            <w:tcW w:w="0" w:type="auto"/>
            <w:tcBorders>
              <w:right w:val="single" w:sz="12" w:space="0" w:color="auto"/>
            </w:tcBorders>
            <w:vAlign w:val="center"/>
          </w:tcPr>
          <w:p w14:paraId="02B99A78" w14:textId="0165A7BB" w:rsidR="00903037" w:rsidRPr="005B7BEE" w:rsidRDefault="00903037" w:rsidP="00903037">
            <w:pPr>
              <w:keepNext/>
              <w:rPr>
                <w:sz w:val="14"/>
                <w:szCs w:val="14"/>
              </w:rPr>
            </w:pPr>
            <w:r w:rsidRPr="005B7BEE">
              <w:rPr>
                <w:sz w:val="14"/>
                <w:szCs w:val="14"/>
              </w:rPr>
              <w:t>Frequent</w:t>
            </w:r>
          </w:p>
        </w:tc>
        <w:tc>
          <w:tcPr>
            <w:tcW w:w="0" w:type="auto"/>
            <w:tcBorders>
              <w:top w:val="single" w:sz="4" w:space="0" w:color="auto"/>
              <w:left w:val="single" w:sz="12" w:space="0" w:color="auto"/>
            </w:tcBorders>
          </w:tcPr>
          <w:p w14:paraId="2567A20C" w14:textId="40EC33AA" w:rsidR="00903037" w:rsidRDefault="00903037" w:rsidP="00903037">
            <w:pPr>
              <w:keepNext/>
              <w:jc w:val="center"/>
            </w:pPr>
            <w:r>
              <w:t>0</w:t>
            </w:r>
          </w:p>
        </w:tc>
        <w:tc>
          <w:tcPr>
            <w:tcW w:w="0" w:type="auto"/>
            <w:tcBorders>
              <w:top w:val="single" w:sz="4" w:space="0" w:color="auto"/>
            </w:tcBorders>
          </w:tcPr>
          <w:p w14:paraId="13C05F89" w14:textId="112239DC" w:rsidR="00903037" w:rsidRPr="00210DD1" w:rsidRDefault="00903037" w:rsidP="00903037">
            <w:pPr>
              <w:keepNext/>
              <w:jc w:val="center"/>
            </w:pPr>
            <w:r>
              <w:t>0</w:t>
            </w:r>
          </w:p>
        </w:tc>
        <w:tc>
          <w:tcPr>
            <w:tcW w:w="0" w:type="auto"/>
            <w:tcBorders>
              <w:top w:val="single" w:sz="4" w:space="0" w:color="auto"/>
            </w:tcBorders>
          </w:tcPr>
          <w:p w14:paraId="561DC596" w14:textId="00794132" w:rsidR="00903037" w:rsidRPr="00210DD1" w:rsidRDefault="00903037" w:rsidP="00903037">
            <w:pPr>
              <w:keepNext/>
              <w:jc w:val="center"/>
            </w:pPr>
            <w:r>
              <w:t>0</w:t>
            </w:r>
          </w:p>
        </w:tc>
        <w:tc>
          <w:tcPr>
            <w:tcW w:w="0" w:type="auto"/>
            <w:tcBorders>
              <w:top w:val="single" w:sz="4" w:space="0" w:color="auto"/>
            </w:tcBorders>
          </w:tcPr>
          <w:p w14:paraId="4F31FBE2" w14:textId="56032374" w:rsidR="00903037" w:rsidRPr="00210DD1" w:rsidRDefault="00903037" w:rsidP="00903037">
            <w:pPr>
              <w:keepNext/>
              <w:jc w:val="center"/>
            </w:pPr>
            <w:r>
              <w:t>0</w:t>
            </w:r>
          </w:p>
        </w:tc>
        <w:tc>
          <w:tcPr>
            <w:tcW w:w="0" w:type="auto"/>
            <w:tcBorders>
              <w:top w:val="single" w:sz="4" w:space="0" w:color="auto"/>
            </w:tcBorders>
            <w:shd w:val="clear" w:color="auto" w:fill="auto"/>
          </w:tcPr>
          <w:p w14:paraId="4B98F8A0" w14:textId="6B3CD653" w:rsidR="00903037" w:rsidRDefault="00903037" w:rsidP="00903037">
            <w:pPr>
              <w:keepNext/>
              <w:jc w:val="center"/>
            </w:pPr>
            <w:r>
              <w:t>0</w:t>
            </w:r>
          </w:p>
        </w:tc>
        <w:tc>
          <w:tcPr>
            <w:tcW w:w="0" w:type="auto"/>
            <w:tcBorders>
              <w:top w:val="nil"/>
              <w:left w:val="nil"/>
              <w:bottom w:val="nil"/>
              <w:right w:val="nil"/>
            </w:tcBorders>
          </w:tcPr>
          <w:p w14:paraId="4686DEB4" w14:textId="77777777" w:rsidR="00903037" w:rsidRDefault="00903037" w:rsidP="00903037">
            <w:pPr>
              <w:keepNext/>
              <w:jc w:val="center"/>
            </w:pPr>
          </w:p>
        </w:tc>
        <w:tc>
          <w:tcPr>
            <w:tcW w:w="0" w:type="auto"/>
          </w:tcPr>
          <w:p w14:paraId="3F1A6B4B" w14:textId="7CBDB8A3" w:rsidR="00903037" w:rsidRPr="005B7BEE" w:rsidRDefault="00903037" w:rsidP="00903037">
            <w:pPr>
              <w:keepNext/>
              <w:jc w:val="center"/>
              <w:rPr>
                <w:sz w:val="14"/>
                <w:szCs w:val="14"/>
              </w:rPr>
            </w:pPr>
            <w:r w:rsidRPr="005B7BEE">
              <w:rPr>
                <w:sz w:val="14"/>
                <w:szCs w:val="14"/>
              </w:rPr>
              <w:t>Frequent</w:t>
            </w:r>
          </w:p>
        </w:tc>
        <w:tc>
          <w:tcPr>
            <w:tcW w:w="0" w:type="auto"/>
            <w:tcBorders>
              <w:top w:val="nil"/>
              <w:left w:val="single" w:sz="8" w:space="0" w:color="auto"/>
              <w:bottom w:val="single" w:sz="4" w:space="0" w:color="auto"/>
              <w:right w:val="single" w:sz="4" w:space="0" w:color="auto"/>
            </w:tcBorders>
            <w:shd w:val="clear" w:color="auto" w:fill="auto"/>
            <w:vAlign w:val="bottom"/>
          </w:tcPr>
          <w:p w14:paraId="7392F628" w14:textId="1D69C2FD"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7FA5B88" w14:textId="6B353571"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0A966C1E" w14:textId="6685FD4A" w:rsidR="00903037" w:rsidRPr="00210DD1"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vAlign w:val="bottom"/>
          </w:tcPr>
          <w:p w14:paraId="47BE6A1A" w14:textId="311241E0" w:rsidR="00903037" w:rsidRPr="00210DD1"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6EF951EA" w14:textId="5F87B341" w:rsidR="00903037" w:rsidRDefault="00903037" w:rsidP="00903037">
            <w:pPr>
              <w:keepNext/>
              <w:jc w:val="center"/>
            </w:pPr>
            <w:r>
              <w:rPr>
                <w:rFonts w:ascii="Calibri" w:hAnsi="Calibri" w:cs="Calibri"/>
                <w:color w:val="000000"/>
              </w:rPr>
              <w:t>0</w:t>
            </w:r>
          </w:p>
        </w:tc>
      </w:tr>
      <w:tr w:rsidR="00903037" w:rsidRPr="00F60A9B" w14:paraId="6D841266" w14:textId="77777777" w:rsidTr="001F4B2D">
        <w:trPr>
          <w:jc w:val="center"/>
        </w:trPr>
        <w:tc>
          <w:tcPr>
            <w:tcW w:w="0" w:type="auto"/>
            <w:tcBorders>
              <w:right w:val="single" w:sz="12" w:space="0" w:color="auto"/>
            </w:tcBorders>
            <w:vAlign w:val="center"/>
          </w:tcPr>
          <w:p w14:paraId="404287EB" w14:textId="14BD3EBE" w:rsidR="00903037" w:rsidRPr="005B7BEE" w:rsidRDefault="00903037" w:rsidP="00903037">
            <w:pPr>
              <w:keepNext/>
              <w:rPr>
                <w:sz w:val="14"/>
                <w:szCs w:val="14"/>
              </w:rPr>
            </w:pPr>
            <w:r w:rsidRPr="005B7BEE">
              <w:rPr>
                <w:sz w:val="14"/>
                <w:szCs w:val="14"/>
              </w:rPr>
              <w:t>Probable</w:t>
            </w:r>
          </w:p>
        </w:tc>
        <w:tc>
          <w:tcPr>
            <w:tcW w:w="0" w:type="auto"/>
            <w:tcBorders>
              <w:left w:val="single" w:sz="12" w:space="0" w:color="auto"/>
            </w:tcBorders>
          </w:tcPr>
          <w:p w14:paraId="5365171D" w14:textId="57C1E11E" w:rsidR="00903037" w:rsidRPr="00F60A9B" w:rsidRDefault="00903037" w:rsidP="00903037">
            <w:pPr>
              <w:keepNext/>
              <w:jc w:val="center"/>
            </w:pPr>
            <w:r>
              <w:t>0</w:t>
            </w:r>
          </w:p>
        </w:tc>
        <w:tc>
          <w:tcPr>
            <w:tcW w:w="0" w:type="auto"/>
          </w:tcPr>
          <w:p w14:paraId="68349E15" w14:textId="6F8EA64B" w:rsidR="00903037" w:rsidRPr="00210DD1" w:rsidRDefault="00903037" w:rsidP="00903037">
            <w:pPr>
              <w:keepNext/>
              <w:jc w:val="center"/>
            </w:pPr>
            <w:r>
              <w:t>0</w:t>
            </w:r>
          </w:p>
        </w:tc>
        <w:tc>
          <w:tcPr>
            <w:tcW w:w="0" w:type="auto"/>
          </w:tcPr>
          <w:p w14:paraId="45A170B5" w14:textId="48F98108" w:rsidR="00903037" w:rsidRPr="00210DD1" w:rsidRDefault="00903037" w:rsidP="00903037">
            <w:pPr>
              <w:keepNext/>
              <w:jc w:val="center"/>
            </w:pPr>
            <w:r>
              <w:t>0</w:t>
            </w:r>
          </w:p>
        </w:tc>
        <w:tc>
          <w:tcPr>
            <w:tcW w:w="0" w:type="auto"/>
          </w:tcPr>
          <w:p w14:paraId="5D6DAADE" w14:textId="42F0046A" w:rsidR="00903037" w:rsidRPr="00210DD1" w:rsidRDefault="00903037" w:rsidP="00903037">
            <w:pPr>
              <w:keepNext/>
              <w:jc w:val="center"/>
            </w:pPr>
            <w:r>
              <w:t>0</w:t>
            </w:r>
          </w:p>
        </w:tc>
        <w:tc>
          <w:tcPr>
            <w:tcW w:w="0" w:type="auto"/>
            <w:shd w:val="clear" w:color="auto" w:fill="auto"/>
          </w:tcPr>
          <w:p w14:paraId="5340DBB1" w14:textId="75583DD2" w:rsidR="00903037" w:rsidRPr="00F60A9B" w:rsidRDefault="00903037" w:rsidP="00903037">
            <w:pPr>
              <w:keepNext/>
              <w:jc w:val="center"/>
            </w:pPr>
            <w:r>
              <w:t>0</w:t>
            </w:r>
          </w:p>
        </w:tc>
        <w:tc>
          <w:tcPr>
            <w:tcW w:w="0" w:type="auto"/>
            <w:tcBorders>
              <w:top w:val="nil"/>
              <w:left w:val="nil"/>
              <w:bottom w:val="nil"/>
              <w:right w:val="nil"/>
            </w:tcBorders>
            <w:tcMar>
              <w:left w:w="115" w:type="dxa"/>
              <w:right w:w="144" w:type="dxa"/>
            </w:tcMar>
          </w:tcPr>
          <w:p w14:paraId="7A38F55B" w14:textId="5D629C36" w:rsidR="00903037" w:rsidRDefault="00903037" w:rsidP="00903037">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76299F03" w14:textId="157C509D" w:rsidR="00903037" w:rsidRDefault="00903037" w:rsidP="00903037">
            <w:pPr>
              <w:keepNext/>
              <w:jc w:val="center"/>
            </w:pPr>
            <w:r w:rsidRPr="005B7BEE">
              <w:rPr>
                <w:sz w:val="14"/>
                <w:szCs w:val="14"/>
              </w:rPr>
              <w:t>Probable</w:t>
            </w:r>
          </w:p>
        </w:tc>
        <w:tc>
          <w:tcPr>
            <w:tcW w:w="0" w:type="auto"/>
            <w:tcBorders>
              <w:top w:val="nil"/>
              <w:left w:val="single" w:sz="8" w:space="0" w:color="auto"/>
              <w:bottom w:val="single" w:sz="4" w:space="0" w:color="auto"/>
              <w:right w:val="single" w:sz="4" w:space="0" w:color="auto"/>
            </w:tcBorders>
            <w:shd w:val="clear" w:color="auto" w:fill="auto"/>
            <w:vAlign w:val="bottom"/>
          </w:tcPr>
          <w:p w14:paraId="35C63924" w14:textId="0C5E0392"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08AE815" w14:textId="76A6967B"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3BF6247A" w14:textId="2D556AC9"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CE234A9" w14:textId="1584F746"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8" w:space="0" w:color="auto"/>
            </w:tcBorders>
            <w:shd w:val="clear" w:color="auto" w:fill="auto"/>
            <w:vAlign w:val="bottom"/>
          </w:tcPr>
          <w:p w14:paraId="3D0B1727" w14:textId="3C5A7681" w:rsidR="00903037" w:rsidRDefault="00903037" w:rsidP="00903037">
            <w:pPr>
              <w:keepNext/>
              <w:jc w:val="center"/>
            </w:pPr>
            <w:r>
              <w:rPr>
                <w:rFonts w:ascii="Calibri" w:hAnsi="Calibri" w:cs="Calibri"/>
                <w:color w:val="000000"/>
              </w:rPr>
              <w:t>1</w:t>
            </w:r>
          </w:p>
        </w:tc>
      </w:tr>
      <w:tr w:rsidR="00903037" w:rsidRPr="00F60A9B" w14:paraId="24124F04" w14:textId="77777777" w:rsidTr="00FB1163">
        <w:trPr>
          <w:jc w:val="center"/>
        </w:trPr>
        <w:tc>
          <w:tcPr>
            <w:tcW w:w="0" w:type="auto"/>
            <w:tcBorders>
              <w:right w:val="single" w:sz="12" w:space="0" w:color="auto"/>
            </w:tcBorders>
            <w:vAlign w:val="center"/>
          </w:tcPr>
          <w:p w14:paraId="7EC2CE15" w14:textId="5BF39A42" w:rsidR="00903037" w:rsidRPr="005B7BEE" w:rsidRDefault="00903037" w:rsidP="00903037">
            <w:pPr>
              <w:keepNext/>
              <w:rPr>
                <w:sz w:val="14"/>
                <w:szCs w:val="14"/>
              </w:rPr>
            </w:pPr>
            <w:r w:rsidRPr="005B7BEE">
              <w:rPr>
                <w:sz w:val="14"/>
                <w:szCs w:val="14"/>
              </w:rPr>
              <w:t>Occasional</w:t>
            </w:r>
          </w:p>
        </w:tc>
        <w:tc>
          <w:tcPr>
            <w:tcW w:w="0" w:type="auto"/>
            <w:tcBorders>
              <w:left w:val="single" w:sz="12" w:space="0" w:color="auto"/>
            </w:tcBorders>
            <w:shd w:val="clear" w:color="auto" w:fill="D9E2F3" w:themeFill="accent1" w:themeFillTint="33"/>
          </w:tcPr>
          <w:p w14:paraId="126905BA" w14:textId="3F8D35C9" w:rsidR="00903037" w:rsidRPr="00F60A9B" w:rsidRDefault="00903037" w:rsidP="00903037">
            <w:pPr>
              <w:keepNext/>
              <w:jc w:val="center"/>
            </w:pPr>
            <w:r>
              <w:t>1-1 = 0</w:t>
            </w:r>
          </w:p>
        </w:tc>
        <w:tc>
          <w:tcPr>
            <w:tcW w:w="0" w:type="auto"/>
          </w:tcPr>
          <w:p w14:paraId="620D5B0E" w14:textId="667C19BD" w:rsidR="00903037" w:rsidRPr="00210DD1" w:rsidRDefault="00903037" w:rsidP="00903037">
            <w:pPr>
              <w:keepNext/>
              <w:jc w:val="center"/>
            </w:pPr>
            <w:r>
              <w:t>0</w:t>
            </w:r>
          </w:p>
        </w:tc>
        <w:tc>
          <w:tcPr>
            <w:tcW w:w="0" w:type="auto"/>
          </w:tcPr>
          <w:p w14:paraId="356B018D" w14:textId="4C805235" w:rsidR="00903037" w:rsidRPr="00210DD1" w:rsidRDefault="00903037" w:rsidP="00903037">
            <w:pPr>
              <w:keepNext/>
              <w:jc w:val="center"/>
            </w:pPr>
            <w:r>
              <w:t>0</w:t>
            </w:r>
          </w:p>
        </w:tc>
        <w:tc>
          <w:tcPr>
            <w:tcW w:w="0" w:type="auto"/>
          </w:tcPr>
          <w:p w14:paraId="6527536A" w14:textId="03B703A3" w:rsidR="00903037" w:rsidRPr="00210DD1" w:rsidRDefault="00903037" w:rsidP="00903037">
            <w:pPr>
              <w:keepNext/>
              <w:jc w:val="center"/>
            </w:pPr>
            <w:r>
              <w:t>0</w:t>
            </w:r>
          </w:p>
        </w:tc>
        <w:tc>
          <w:tcPr>
            <w:tcW w:w="0" w:type="auto"/>
          </w:tcPr>
          <w:p w14:paraId="30B7F781" w14:textId="3CB170FA" w:rsidR="00903037" w:rsidRPr="00F60A9B" w:rsidRDefault="00903037" w:rsidP="00903037">
            <w:pPr>
              <w:keepNext/>
              <w:jc w:val="center"/>
            </w:pPr>
            <w:r>
              <w:t>0</w:t>
            </w:r>
          </w:p>
        </w:tc>
        <w:tc>
          <w:tcPr>
            <w:tcW w:w="0" w:type="auto"/>
            <w:tcBorders>
              <w:top w:val="nil"/>
              <w:left w:val="nil"/>
              <w:bottom w:val="nil"/>
              <w:right w:val="nil"/>
            </w:tcBorders>
          </w:tcPr>
          <w:p w14:paraId="1C9EDC38" w14:textId="77777777" w:rsidR="00903037" w:rsidRDefault="00903037" w:rsidP="00903037">
            <w:pPr>
              <w:keepNext/>
              <w:jc w:val="center"/>
            </w:pPr>
          </w:p>
        </w:tc>
        <w:tc>
          <w:tcPr>
            <w:tcW w:w="0" w:type="auto"/>
          </w:tcPr>
          <w:p w14:paraId="15730758" w14:textId="2AC9EB04" w:rsidR="00903037" w:rsidRDefault="00903037" w:rsidP="00903037">
            <w:pPr>
              <w:keepNext/>
              <w:jc w:val="center"/>
            </w:pPr>
            <w:r w:rsidRPr="005B7BEE">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8ED7AE1" w14:textId="6DADDD92" w:rsidR="00903037" w:rsidRDefault="00903037" w:rsidP="00903037">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90079E" w14:textId="084D2EA1" w:rsidR="00903037" w:rsidRDefault="00903037" w:rsidP="00903037">
            <w:pPr>
              <w:keepNext/>
              <w:jc w:val="center"/>
            </w:pPr>
            <w:r>
              <w:t>9-1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1183C" w14:textId="746954B2" w:rsidR="00903037" w:rsidRDefault="00903037" w:rsidP="00903037">
            <w:pPr>
              <w:keepNext/>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B757D" w14:textId="53D018B2" w:rsidR="00903037" w:rsidRDefault="00903037" w:rsidP="00903037">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FF05" w14:textId="2EAE6A35" w:rsidR="00903037" w:rsidRDefault="00903037" w:rsidP="00903037">
            <w:pPr>
              <w:keepNext/>
              <w:jc w:val="center"/>
            </w:pPr>
            <w:r>
              <w:t>0</w:t>
            </w:r>
          </w:p>
        </w:tc>
      </w:tr>
      <w:tr w:rsidR="00903037" w:rsidRPr="00F60A9B" w14:paraId="72169AC5" w14:textId="77777777" w:rsidTr="00730B0A">
        <w:trPr>
          <w:jc w:val="center"/>
        </w:trPr>
        <w:tc>
          <w:tcPr>
            <w:tcW w:w="0" w:type="auto"/>
            <w:tcBorders>
              <w:right w:val="single" w:sz="12" w:space="0" w:color="auto"/>
            </w:tcBorders>
            <w:vAlign w:val="center"/>
          </w:tcPr>
          <w:p w14:paraId="6D6E0B04" w14:textId="0943DFC6" w:rsidR="00903037" w:rsidRPr="005B7BEE" w:rsidRDefault="00903037" w:rsidP="00903037">
            <w:pPr>
              <w:keepNext/>
              <w:rPr>
                <w:sz w:val="14"/>
                <w:szCs w:val="14"/>
              </w:rPr>
            </w:pPr>
            <w:r w:rsidRPr="005B7BEE">
              <w:rPr>
                <w:sz w:val="14"/>
                <w:szCs w:val="14"/>
              </w:rPr>
              <w:t>Remote</w:t>
            </w:r>
          </w:p>
        </w:tc>
        <w:tc>
          <w:tcPr>
            <w:tcW w:w="0" w:type="auto"/>
            <w:tcBorders>
              <w:left w:val="single" w:sz="12" w:space="0" w:color="auto"/>
            </w:tcBorders>
          </w:tcPr>
          <w:p w14:paraId="31A98BFE" w14:textId="0671027E" w:rsidR="00903037" w:rsidRPr="00F60A9B" w:rsidRDefault="00903037" w:rsidP="00903037">
            <w:pPr>
              <w:keepNext/>
              <w:jc w:val="center"/>
            </w:pPr>
            <w:r>
              <w:t>0</w:t>
            </w:r>
          </w:p>
        </w:tc>
        <w:tc>
          <w:tcPr>
            <w:tcW w:w="0" w:type="auto"/>
          </w:tcPr>
          <w:p w14:paraId="506C6CB5" w14:textId="2001E603" w:rsidR="00903037" w:rsidRPr="00210DD1" w:rsidRDefault="00903037" w:rsidP="00903037">
            <w:pPr>
              <w:keepNext/>
              <w:jc w:val="center"/>
            </w:pPr>
            <w:r>
              <w:t>0</w:t>
            </w:r>
          </w:p>
        </w:tc>
        <w:tc>
          <w:tcPr>
            <w:tcW w:w="0" w:type="auto"/>
          </w:tcPr>
          <w:p w14:paraId="6A9348FF" w14:textId="06F5580A" w:rsidR="00903037" w:rsidRPr="00210DD1" w:rsidRDefault="00903037" w:rsidP="00903037">
            <w:pPr>
              <w:keepNext/>
              <w:jc w:val="center"/>
            </w:pPr>
            <w:r>
              <w:t>0</w:t>
            </w:r>
          </w:p>
        </w:tc>
        <w:tc>
          <w:tcPr>
            <w:tcW w:w="0" w:type="auto"/>
          </w:tcPr>
          <w:p w14:paraId="2F645866" w14:textId="4A34F08D" w:rsidR="00903037" w:rsidRPr="00210DD1" w:rsidRDefault="00903037" w:rsidP="00903037">
            <w:pPr>
              <w:keepNext/>
              <w:jc w:val="center"/>
            </w:pPr>
            <w:r>
              <w:t>0</w:t>
            </w:r>
          </w:p>
        </w:tc>
        <w:tc>
          <w:tcPr>
            <w:tcW w:w="0" w:type="auto"/>
          </w:tcPr>
          <w:p w14:paraId="379FFAE6" w14:textId="6C91BDA7" w:rsidR="00903037" w:rsidRPr="00F60A9B" w:rsidRDefault="00903037" w:rsidP="00903037">
            <w:pPr>
              <w:keepNext/>
              <w:jc w:val="center"/>
            </w:pPr>
            <w:r>
              <w:t>0</w:t>
            </w:r>
          </w:p>
        </w:tc>
        <w:tc>
          <w:tcPr>
            <w:tcW w:w="0" w:type="auto"/>
            <w:tcBorders>
              <w:top w:val="nil"/>
              <w:left w:val="nil"/>
              <w:bottom w:val="nil"/>
              <w:right w:val="nil"/>
            </w:tcBorders>
          </w:tcPr>
          <w:p w14:paraId="0F692C17" w14:textId="77777777" w:rsidR="00903037" w:rsidRDefault="00903037" w:rsidP="00903037">
            <w:pPr>
              <w:keepNext/>
              <w:jc w:val="center"/>
            </w:pPr>
          </w:p>
        </w:tc>
        <w:tc>
          <w:tcPr>
            <w:tcW w:w="0" w:type="auto"/>
          </w:tcPr>
          <w:p w14:paraId="50CD1C5C" w14:textId="733579A8" w:rsidR="00903037" w:rsidRDefault="00903037" w:rsidP="00903037">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67C5E37D" w14:textId="66C534E4"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DB52C18" w14:textId="0B238D40"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A696DF6" w14:textId="7584C29B"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59AC36A8" w14:textId="5CCF292F" w:rsidR="00903037"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3EB99F07" w14:textId="4C255388" w:rsidR="00903037" w:rsidRDefault="00903037" w:rsidP="00903037">
            <w:pPr>
              <w:keepNext/>
              <w:jc w:val="center"/>
            </w:pPr>
            <w:r>
              <w:rPr>
                <w:rFonts w:ascii="Calibri" w:hAnsi="Calibri" w:cs="Calibri"/>
                <w:color w:val="000000"/>
              </w:rPr>
              <w:t>0</w:t>
            </w:r>
          </w:p>
        </w:tc>
      </w:tr>
      <w:tr w:rsidR="00903037" w:rsidRPr="00F60A9B" w14:paraId="241FAC02" w14:textId="77777777" w:rsidTr="00730B0A">
        <w:trPr>
          <w:jc w:val="center"/>
        </w:trPr>
        <w:tc>
          <w:tcPr>
            <w:tcW w:w="0" w:type="auto"/>
            <w:tcBorders>
              <w:right w:val="single" w:sz="12" w:space="0" w:color="auto"/>
            </w:tcBorders>
            <w:vAlign w:val="center"/>
          </w:tcPr>
          <w:p w14:paraId="683C5F7D" w14:textId="251FE0DB" w:rsidR="00903037" w:rsidRPr="005B7BEE" w:rsidRDefault="00903037" w:rsidP="00903037">
            <w:pPr>
              <w:keepNext/>
              <w:rPr>
                <w:sz w:val="14"/>
                <w:szCs w:val="14"/>
              </w:rPr>
            </w:pPr>
            <w:r w:rsidRPr="005B7BEE">
              <w:rPr>
                <w:sz w:val="14"/>
                <w:szCs w:val="14"/>
              </w:rPr>
              <w:t>Improbable</w:t>
            </w:r>
          </w:p>
        </w:tc>
        <w:tc>
          <w:tcPr>
            <w:tcW w:w="0" w:type="auto"/>
            <w:tcBorders>
              <w:left w:val="single" w:sz="12" w:space="0" w:color="auto"/>
            </w:tcBorders>
          </w:tcPr>
          <w:p w14:paraId="6F283C36" w14:textId="0E73D123" w:rsidR="00903037" w:rsidRPr="00F60A9B" w:rsidRDefault="00903037" w:rsidP="00903037">
            <w:pPr>
              <w:keepNext/>
              <w:jc w:val="center"/>
            </w:pPr>
            <w:r>
              <w:t>0</w:t>
            </w:r>
          </w:p>
        </w:tc>
        <w:tc>
          <w:tcPr>
            <w:tcW w:w="0" w:type="auto"/>
          </w:tcPr>
          <w:p w14:paraId="759AE2D8" w14:textId="663C6FE4" w:rsidR="00903037" w:rsidRPr="00210DD1" w:rsidRDefault="00903037" w:rsidP="00903037">
            <w:pPr>
              <w:keepNext/>
              <w:jc w:val="center"/>
            </w:pPr>
            <w:r>
              <w:t>0</w:t>
            </w:r>
          </w:p>
        </w:tc>
        <w:tc>
          <w:tcPr>
            <w:tcW w:w="0" w:type="auto"/>
          </w:tcPr>
          <w:p w14:paraId="51FD62CB" w14:textId="2BA61C5F" w:rsidR="00903037" w:rsidRPr="00210DD1" w:rsidRDefault="00903037" w:rsidP="00903037">
            <w:pPr>
              <w:keepNext/>
              <w:jc w:val="center"/>
            </w:pPr>
            <w:r>
              <w:t>0</w:t>
            </w:r>
          </w:p>
        </w:tc>
        <w:tc>
          <w:tcPr>
            <w:tcW w:w="0" w:type="auto"/>
          </w:tcPr>
          <w:p w14:paraId="00C3D600" w14:textId="418A53B1" w:rsidR="00903037" w:rsidRPr="00210DD1" w:rsidRDefault="00903037" w:rsidP="00903037">
            <w:pPr>
              <w:keepNext/>
              <w:jc w:val="center"/>
            </w:pPr>
            <w:r>
              <w:t>0</w:t>
            </w:r>
          </w:p>
        </w:tc>
        <w:tc>
          <w:tcPr>
            <w:tcW w:w="0" w:type="auto"/>
          </w:tcPr>
          <w:p w14:paraId="73F55FB7" w14:textId="525CE36E" w:rsidR="00903037" w:rsidRPr="00F60A9B" w:rsidRDefault="00903037" w:rsidP="00903037">
            <w:pPr>
              <w:keepNext/>
              <w:jc w:val="center"/>
            </w:pPr>
            <w:r>
              <w:t>0</w:t>
            </w:r>
          </w:p>
        </w:tc>
        <w:tc>
          <w:tcPr>
            <w:tcW w:w="0" w:type="auto"/>
            <w:tcBorders>
              <w:top w:val="nil"/>
              <w:left w:val="nil"/>
              <w:bottom w:val="nil"/>
              <w:right w:val="nil"/>
            </w:tcBorders>
          </w:tcPr>
          <w:p w14:paraId="2765E5A5" w14:textId="77777777" w:rsidR="00903037" w:rsidRDefault="00903037" w:rsidP="00903037">
            <w:pPr>
              <w:keepNext/>
              <w:jc w:val="center"/>
            </w:pPr>
          </w:p>
        </w:tc>
        <w:tc>
          <w:tcPr>
            <w:tcW w:w="0" w:type="auto"/>
          </w:tcPr>
          <w:p w14:paraId="0B27BB31" w14:textId="6D2FCC89" w:rsidR="00903037" w:rsidRDefault="00903037" w:rsidP="00903037">
            <w:pPr>
              <w:keepNext/>
              <w:jc w:val="center"/>
            </w:pPr>
            <w:r w:rsidRPr="005B7BEE">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0E450EE3" w14:textId="2A1555D6"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A58C3E7" w14:textId="5767A960"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A60398E" w14:textId="3D4EC477" w:rsidR="00903037" w:rsidRDefault="00903037" w:rsidP="00903037">
            <w:pPr>
              <w:keepNext/>
              <w:jc w:val="center"/>
            </w:pPr>
            <w:r>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288CBEC0" w14:textId="0722CD94" w:rsidR="00903037" w:rsidRDefault="00903037" w:rsidP="00903037">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3A7E8E23" w14:textId="64383E28" w:rsidR="00903037" w:rsidRDefault="00903037" w:rsidP="00903037">
            <w:pPr>
              <w:keepNext/>
              <w:jc w:val="center"/>
            </w:pPr>
            <w:r>
              <w:rPr>
                <w:rFonts w:ascii="Calibri" w:hAnsi="Calibri" w:cs="Calibri"/>
                <w:color w:val="000000"/>
              </w:rPr>
              <w:t>3</w:t>
            </w:r>
          </w:p>
        </w:tc>
      </w:tr>
    </w:tbl>
    <w:p w14:paraId="59256D3A" w14:textId="77777777" w:rsidR="00417B39" w:rsidRDefault="00417B39" w:rsidP="00417B39">
      <w:pPr>
        <w:pStyle w:val="ListParagraph"/>
        <w:ind w:left="864"/>
        <w:rPr>
          <w:rFonts w:eastAsiaTheme="minorEastAsia"/>
        </w:rPr>
      </w:pPr>
    </w:p>
    <w:p w14:paraId="0BDC342C" w14:textId="7C391EC8" w:rsidR="00417B39" w:rsidRDefault="00417B39">
      <w:pPr>
        <w:pStyle w:val="ListParagraph"/>
        <w:numPr>
          <w:ilvl w:val="1"/>
          <w:numId w:val="35"/>
        </w:numPr>
        <w:rPr>
          <w:rFonts w:eastAsiaTheme="minorEastAsia"/>
        </w:rPr>
      </w:pPr>
      <w:r>
        <w:rPr>
          <w:rFonts w:eastAsiaTheme="minorEastAsia"/>
        </w:rPr>
        <w:t xml:space="preserve">This simplifies to:  </w:t>
      </w:r>
    </w:p>
    <w:p w14:paraId="19CA3741" w14:textId="77777777" w:rsidR="00417B39" w:rsidRDefault="00417B39" w:rsidP="00417B39">
      <w:pPr>
        <w:pStyle w:val="ListParagraph"/>
        <w:ind w:left="864"/>
        <w:rPr>
          <w:rFonts w:eastAsiaTheme="minorEastAsia"/>
        </w:rPr>
      </w:pPr>
    </w:p>
    <w:tbl>
      <w:tblPr>
        <w:tblStyle w:val="TableGrid"/>
        <w:tblW w:w="9265" w:type="dxa"/>
        <w:jc w:val="center"/>
        <w:tblLook w:val="04A0" w:firstRow="1" w:lastRow="0" w:firstColumn="1" w:lastColumn="0" w:noHBand="0" w:noVBand="1"/>
      </w:tblPr>
      <w:tblGrid>
        <w:gridCol w:w="875"/>
        <w:gridCol w:w="780"/>
        <w:gridCol w:w="565"/>
        <w:gridCol w:w="666"/>
        <w:gridCol w:w="607"/>
        <w:gridCol w:w="928"/>
        <w:gridCol w:w="424"/>
        <w:gridCol w:w="874"/>
        <w:gridCol w:w="780"/>
        <w:gridCol w:w="565"/>
        <w:gridCol w:w="666"/>
        <w:gridCol w:w="607"/>
        <w:gridCol w:w="928"/>
      </w:tblGrid>
      <w:tr w:rsidR="005E3D43" w:rsidRPr="00F60A9B" w14:paraId="541681A3" w14:textId="77777777" w:rsidTr="00024DD9">
        <w:trPr>
          <w:tblHeader/>
          <w:jc w:val="center"/>
        </w:trPr>
        <w:tc>
          <w:tcPr>
            <w:tcW w:w="0" w:type="auto"/>
            <w:tcBorders>
              <w:top w:val="nil"/>
              <w:left w:val="nil"/>
              <w:bottom w:val="single" w:sz="4" w:space="0" w:color="auto"/>
            </w:tcBorders>
            <w:vAlign w:val="center"/>
          </w:tcPr>
          <w:p w14:paraId="39B77A98" w14:textId="5960B774" w:rsidR="005E3D43" w:rsidRPr="00F60A9B" w:rsidRDefault="00000000" w:rsidP="005E3D43">
            <w:pPr>
              <w:keepNext/>
            </w:pPr>
            <m:oMathPara>
              <m:oMath>
                <m:sSub>
                  <m:sSubPr>
                    <m:ctrlPr>
                      <w:rPr>
                        <w:rFonts w:ascii="Cambria Math" w:hAnsi="Cambria Math"/>
                        <w:i/>
                      </w:rPr>
                    </m:ctrlPr>
                  </m:sSubPr>
                  <m:e>
                    <m:r>
                      <w:rPr>
                        <w:rFonts w:ascii="Cambria Math" w:hAnsi="Cambria Math"/>
                      </w:rPr>
                      <m:t>R</m:t>
                    </m:r>
                  </m:e>
                  <m:sub>
                    <m:r>
                      <w:rPr>
                        <w:rFonts w:ascii="Cambria Math" w:hAnsi="Cambria Math"/>
                      </w:rPr>
                      <m:t>B</m:t>
                    </m:r>
                  </m:sub>
                </m:sSub>
              </m:oMath>
            </m:oMathPara>
          </w:p>
        </w:tc>
        <w:tc>
          <w:tcPr>
            <w:tcW w:w="0" w:type="auto"/>
            <w:tcBorders>
              <w:top w:val="single" w:sz="4" w:space="0" w:color="auto"/>
              <w:bottom w:val="single" w:sz="12" w:space="0" w:color="auto"/>
            </w:tcBorders>
            <w:vAlign w:val="center"/>
          </w:tcPr>
          <w:p w14:paraId="4EE6F6F4" w14:textId="0E7652CF" w:rsidR="005E3D43" w:rsidRPr="005B7BEE" w:rsidRDefault="005E3D43" w:rsidP="005E3D43">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0D9CD166" w14:textId="5A617D2D" w:rsidR="005E3D43" w:rsidRPr="005B7BEE" w:rsidRDefault="005E3D43" w:rsidP="005E3D43">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5419F8F7" w14:textId="0BC7696D" w:rsidR="005E3D43" w:rsidRPr="005B7BEE" w:rsidRDefault="005E3D43" w:rsidP="005E3D43">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0370FD71" w14:textId="117032F1" w:rsidR="005E3D43" w:rsidRPr="005B7BEE" w:rsidRDefault="005E3D43" w:rsidP="005E3D43">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10357D2F" w14:textId="77777777" w:rsidR="005E3D43" w:rsidRPr="005B7BEE" w:rsidRDefault="005E3D43" w:rsidP="005E3D43">
            <w:pPr>
              <w:keepNext/>
              <w:jc w:val="center"/>
              <w:rPr>
                <w:sz w:val="14"/>
                <w:szCs w:val="14"/>
              </w:rPr>
            </w:pPr>
            <w:r w:rsidRPr="005B7BEE">
              <w:rPr>
                <w:sz w:val="14"/>
                <w:szCs w:val="14"/>
              </w:rPr>
              <w:t xml:space="preserve">Catastrophic </w:t>
            </w:r>
          </w:p>
          <w:p w14:paraId="3BA19507" w14:textId="6F101ACF" w:rsidR="005E3D43" w:rsidRPr="005B7BEE" w:rsidRDefault="005E3D43" w:rsidP="005E3D43">
            <w:pPr>
              <w:keepNext/>
              <w:jc w:val="center"/>
              <w:rPr>
                <w:sz w:val="14"/>
                <w:szCs w:val="14"/>
              </w:rPr>
            </w:pPr>
            <w:r w:rsidRPr="005B7BEE">
              <w:rPr>
                <w:sz w:val="14"/>
                <w:szCs w:val="14"/>
              </w:rPr>
              <w:t>/ Fatal</w:t>
            </w:r>
          </w:p>
        </w:tc>
        <w:tc>
          <w:tcPr>
            <w:tcW w:w="0" w:type="auto"/>
            <w:tcBorders>
              <w:top w:val="nil"/>
              <w:left w:val="nil"/>
              <w:bottom w:val="nil"/>
              <w:right w:val="nil"/>
            </w:tcBorders>
            <w:vAlign w:val="center"/>
          </w:tcPr>
          <w:p w14:paraId="40DEFCBE" w14:textId="77777777" w:rsidR="005E3D43" w:rsidRPr="005B7BEE" w:rsidRDefault="005E3D43" w:rsidP="005E3D43">
            <w:pPr>
              <w:keepNext/>
              <w:jc w:val="center"/>
              <w:rPr>
                <w:sz w:val="14"/>
                <w:szCs w:val="14"/>
              </w:rPr>
            </w:pPr>
          </w:p>
        </w:tc>
        <w:tc>
          <w:tcPr>
            <w:tcW w:w="0" w:type="auto"/>
            <w:tcBorders>
              <w:top w:val="nil"/>
              <w:left w:val="nil"/>
              <w:bottom w:val="single" w:sz="12" w:space="0" w:color="auto"/>
            </w:tcBorders>
            <w:vAlign w:val="center"/>
          </w:tcPr>
          <w:p w14:paraId="4592DEA3" w14:textId="7F27622A" w:rsidR="005E3D43" w:rsidRPr="005B7BEE" w:rsidRDefault="00000000" w:rsidP="005E3D43">
            <w:pPr>
              <w:keepNext/>
              <w:rPr>
                <w:sz w:val="14"/>
                <w:szCs w:val="14"/>
              </w:rPr>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eastAsiaTheme="minorEastAsia" w:hAnsi="Cambria Math"/>
                  </w:rPr>
                  <m:t>⋃ R</m:t>
                </m:r>
              </m:oMath>
            </m:oMathPara>
          </w:p>
        </w:tc>
        <w:tc>
          <w:tcPr>
            <w:tcW w:w="0" w:type="auto"/>
            <w:tcBorders>
              <w:top w:val="single" w:sz="4" w:space="0" w:color="auto"/>
              <w:bottom w:val="single" w:sz="12" w:space="0" w:color="auto"/>
            </w:tcBorders>
            <w:vAlign w:val="center"/>
          </w:tcPr>
          <w:p w14:paraId="2E73F659" w14:textId="55BF4F3B" w:rsidR="005E3D43" w:rsidRPr="005B7BEE" w:rsidRDefault="005E3D43" w:rsidP="005E3D43">
            <w:pPr>
              <w:keepNext/>
              <w:jc w:val="center"/>
              <w:rPr>
                <w:sz w:val="14"/>
                <w:szCs w:val="14"/>
              </w:rPr>
            </w:pPr>
            <w:r w:rsidRPr="005B7BEE">
              <w:rPr>
                <w:sz w:val="14"/>
                <w:szCs w:val="14"/>
              </w:rPr>
              <w:t>Negligible</w:t>
            </w:r>
          </w:p>
        </w:tc>
        <w:tc>
          <w:tcPr>
            <w:tcW w:w="0" w:type="auto"/>
            <w:tcBorders>
              <w:top w:val="single" w:sz="4" w:space="0" w:color="auto"/>
              <w:bottom w:val="single" w:sz="12" w:space="0" w:color="auto"/>
            </w:tcBorders>
            <w:vAlign w:val="center"/>
          </w:tcPr>
          <w:p w14:paraId="31BE73B9" w14:textId="2D8FAE8A" w:rsidR="005E3D43" w:rsidRPr="005B7BEE" w:rsidRDefault="005E3D43" w:rsidP="005E3D43">
            <w:pPr>
              <w:keepNext/>
              <w:jc w:val="center"/>
              <w:rPr>
                <w:sz w:val="14"/>
                <w:szCs w:val="14"/>
              </w:rPr>
            </w:pPr>
            <w:r w:rsidRPr="005B7BEE">
              <w:rPr>
                <w:sz w:val="14"/>
                <w:szCs w:val="14"/>
              </w:rPr>
              <w:t>Minor</w:t>
            </w:r>
          </w:p>
        </w:tc>
        <w:tc>
          <w:tcPr>
            <w:tcW w:w="0" w:type="auto"/>
            <w:tcBorders>
              <w:top w:val="single" w:sz="4" w:space="0" w:color="auto"/>
              <w:bottom w:val="single" w:sz="12" w:space="0" w:color="auto"/>
            </w:tcBorders>
            <w:vAlign w:val="center"/>
          </w:tcPr>
          <w:p w14:paraId="726A4D4E" w14:textId="1B28B136" w:rsidR="005E3D43" w:rsidRPr="005B7BEE" w:rsidRDefault="005E3D43" w:rsidP="005E3D43">
            <w:pPr>
              <w:keepNext/>
              <w:jc w:val="center"/>
              <w:rPr>
                <w:sz w:val="14"/>
                <w:szCs w:val="14"/>
              </w:rPr>
            </w:pPr>
            <w:r w:rsidRPr="005B7BEE">
              <w:rPr>
                <w:sz w:val="14"/>
                <w:szCs w:val="14"/>
              </w:rPr>
              <w:t>Serious /Major</w:t>
            </w:r>
          </w:p>
        </w:tc>
        <w:tc>
          <w:tcPr>
            <w:tcW w:w="0" w:type="auto"/>
            <w:tcBorders>
              <w:top w:val="single" w:sz="4" w:space="0" w:color="auto"/>
              <w:bottom w:val="single" w:sz="12" w:space="0" w:color="auto"/>
            </w:tcBorders>
            <w:vAlign w:val="center"/>
          </w:tcPr>
          <w:p w14:paraId="7324A604" w14:textId="74999FCD" w:rsidR="005E3D43" w:rsidRPr="005B7BEE" w:rsidRDefault="005E3D43" w:rsidP="005E3D43">
            <w:pPr>
              <w:keepNext/>
              <w:jc w:val="center"/>
              <w:rPr>
                <w:sz w:val="14"/>
                <w:szCs w:val="14"/>
              </w:rPr>
            </w:pPr>
            <w:r w:rsidRPr="005B7BEE">
              <w:rPr>
                <w:sz w:val="14"/>
                <w:szCs w:val="14"/>
              </w:rPr>
              <w:t>Critical</w:t>
            </w:r>
          </w:p>
        </w:tc>
        <w:tc>
          <w:tcPr>
            <w:tcW w:w="0" w:type="auto"/>
            <w:tcBorders>
              <w:top w:val="single" w:sz="4" w:space="0" w:color="auto"/>
              <w:bottom w:val="single" w:sz="12" w:space="0" w:color="auto"/>
            </w:tcBorders>
            <w:vAlign w:val="center"/>
          </w:tcPr>
          <w:p w14:paraId="0E6DCF21" w14:textId="77777777" w:rsidR="005E3D43" w:rsidRPr="005B7BEE" w:rsidRDefault="005E3D43" w:rsidP="005E3D43">
            <w:pPr>
              <w:keepNext/>
              <w:jc w:val="center"/>
              <w:rPr>
                <w:sz w:val="14"/>
                <w:szCs w:val="14"/>
              </w:rPr>
            </w:pPr>
            <w:r w:rsidRPr="005B7BEE">
              <w:rPr>
                <w:sz w:val="14"/>
                <w:szCs w:val="14"/>
              </w:rPr>
              <w:t xml:space="preserve">Catastrophic </w:t>
            </w:r>
          </w:p>
          <w:p w14:paraId="3FD11B71" w14:textId="25AFEDF8" w:rsidR="005E3D43" w:rsidRDefault="005E3D43" w:rsidP="005E3D43">
            <w:pPr>
              <w:keepNext/>
              <w:jc w:val="center"/>
              <w:rPr>
                <w:rFonts w:ascii="Calibri" w:eastAsia="Calibri" w:hAnsi="Calibri" w:cs="Times New Roman"/>
              </w:rPr>
            </w:pPr>
            <w:r w:rsidRPr="005B7BEE">
              <w:rPr>
                <w:sz w:val="14"/>
                <w:szCs w:val="14"/>
              </w:rPr>
              <w:t>/ Fatal</w:t>
            </w:r>
          </w:p>
        </w:tc>
      </w:tr>
      <w:tr w:rsidR="005E3D43" w:rsidRPr="00F60A9B" w14:paraId="5B765170" w14:textId="77777777" w:rsidTr="007D25EB">
        <w:trPr>
          <w:jc w:val="center"/>
        </w:trPr>
        <w:tc>
          <w:tcPr>
            <w:tcW w:w="0" w:type="auto"/>
            <w:tcBorders>
              <w:top w:val="single" w:sz="4" w:space="0" w:color="auto"/>
              <w:right w:val="single" w:sz="12" w:space="0" w:color="auto"/>
            </w:tcBorders>
            <w:vAlign w:val="center"/>
          </w:tcPr>
          <w:p w14:paraId="7E781DE8" w14:textId="346F13EE" w:rsidR="005E3D43" w:rsidRPr="005B7BEE" w:rsidRDefault="005E3D43" w:rsidP="005E3D43">
            <w:pPr>
              <w:keepNext/>
              <w:rPr>
                <w:sz w:val="14"/>
                <w:szCs w:val="14"/>
              </w:rPr>
            </w:pPr>
            <w:r>
              <w:rPr>
                <w:sz w:val="14"/>
                <w:szCs w:val="14"/>
              </w:rPr>
              <w:t>Expected</w:t>
            </w:r>
          </w:p>
        </w:tc>
        <w:tc>
          <w:tcPr>
            <w:tcW w:w="0" w:type="auto"/>
            <w:tcBorders>
              <w:top w:val="single" w:sz="12" w:space="0" w:color="auto"/>
              <w:left w:val="single" w:sz="12" w:space="0" w:color="auto"/>
              <w:bottom w:val="single" w:sz="4" w:space="0" w:color="auto"/>
            </w:tcBorders>
          </w:tcPr>
          <w:p w14:paraId="6120495C" w14:textId="05AD5BC1" w:rsidR="005E3D43" w:rsidRPr="00F60A9B" w:rsidRDefault="005E3D43" w:rsidP="005E3D43">
            <w:pPr>
              <w:keepNext/>
              <w:jc w:val="center"/>
            </w:pPr>
            <w:r>
              <w:t>0</w:t>
            </w:r>
          </w:p>
        </w:tc>
        <w:tc>
          <w:tcPr>
            <w:tcW w:w="0" w:type="auto"/>
            <w:tcBorders>
              <w:top w:val="single" w:sz="12" w:space="0" w:color="auto"/>
              <w:bottom w:val="single" w:sz="4" w:space="0" w:color="auto"/>
            </w:tcBorders>
          </w:tcPr>
          <w:p w14:paraId="2EAB46D5" w14:textId="7FF64831" w:rsidR="005E3D43" w:rsidRPr="00210DD1" w:rsidRDefault="005E3D43" w:rsidP="005E3D43">
            <w:pPr>
              <w:keepNext/>
              <w:jc w:val="center"/>
            </w:pPr>
            <w:r>
              <w:t>0</w:t>
            </w:r>
          </w:p>
        </w:tc>
        <w:tc>
          <w:tcPr>
            <w:tcW w:w="0" w:type="auto"/>
            <w:tcBorders>
              <w:top w:val="single" w:sz="12" w:space="0" w:color="auto"/>
              <w:bottom w:val="single" w:sz="4" w:space="0" w:color="auto"/>
            </w:tcBorders>
          </w:tcPr>
          <w:p w14:paraId="7BC92F3E" w14:textId="7ACAEF50" w:rsidR="005E3D43" w:rsidRPr="00210DD1" w:rsidRDefault="005E3D43" w:rsidP="005E3D43">
            <w:pPr>
              <w:keepNext/>
              <w:jc w:val="center"/>
            </w:pPr>
            <w:r>
              <w:t>0</w:t>
            </w:r>
          </w:p>
        </w:tc>
        <w:tc>
          <w:tcPr>
            <w:tcW w:w="0" w:type="auto"/>
            <w:tcBorders>
              <w:top w:val="single" w:sz="12" w:space="0" w:color="auto"/>
              <w:bottom w:val="single" w:sz="4" w:space="0" w:color="auto"/>
            </w:tcBorders>
          </w:tcPr>
          <w:p w14:paraId="702663DE" w14:textId="34BB3B73" w:rsidR="005E3D43" w:rsidRPr="00210DD1" w:rsidRDefault="005E3D43" w:rsidP="005E3D43">
            <w:pPr>
              <w:keepNext/>
              <w:jc w:val="center"/>
            </w:pPr>
            <w:r>
              <w:t>0</w:t>
            </w:r>
          </w:p>
        </w:tc>
        <w:tc>
          <w:tcPr>
            <w:tcW w:w="0" w:type="auto"/>
            <w:tcBorders>
              <w:top w:val="single" w:sz="12" w:space="0" w:color="auto"/>
              <w:bottom w:val="single" w:sz="4" w:space="0" w:color="auto"/>
            </w:tcBorders>
            <w:shd w:val="clear" w:color="auto" w:fill="auto"/>
          </w:tcPr>
          <w:p w14:paraId="0BD22FB7" w14:textId="1164A2B9" w:rsidR="005E3D43" w:rsidRPr="00F60A9B" w:rsidRDefault="005E3D43" w:rsidP="005E3D43">
            <w:pPr>
              <w:keepNext/>
              <w:jc w:val="center"/>
            </w:pPr>
            <w:r>
              <w:t>0</w:t>
            </w:r>
          </w:p>
        </w:tc>
        <w:tc>
          <w:tcPr>
            <w:tcW w:w="0" w:type="auto"/>
            <w:tcBorders>
              <w:top w:val="nil"/>
              <w:left w:val="nil"/>
              <w:bottom w:val="nil"/>
              <w:right w:val="nil"/>
            </w:tcBorders>
          </w:tcPr>
          <w:p w14:paraId="197D40E5" w14:textId="77777777" w:rsidR="005E3D43" w:rsidRDefault="005E3D43" w:rsidP="005E3D43">
            <w:pPr>
              <w:keepNext/>
              <w:jc w:val="center"/>
            </w:pPr>
          </w:p>
        </w:tc>
        <w:tc>
          <w:tcPr>
            <w:tcW w:w="0" w:type="auto"/>
            <w:tcBorders>
              <w:top w:val="single" w:sz="12" w:space="0" w:color="auto"/>
            </w:tcBorders>
          </w:tcPr>
          <w:p w14:paraId="752F5A9E" w14:textId="4A675A27" w:rsidR="005E3D43" w:rsidRDefault="005E3D43" w:rsidP="005E3D43">
            <w:pPr>
              <w:keepNext/>
              <w:jc w:val="center"/>
            </w:pPr>
            <w:r>
              <w:rPr>
                <w:sz w:val="14"/>
                <w:szCs w:val="14"/>
              </w:rPr>
              <w:t>Expected</w:t>
            </w:r>
          </w:p>
        </w:tc>
        <w:tc>
          <w:tcPr>
            <w:tcW w:w="0" w:type="auto"/>
            <w:tcBorders>
              <w:top w:val="single" w:sz="12" w:space="0" w:color="auto"/>
              <w:left w:val="single" w:sz="12" w:space="0" w:color="auto"/>
              <w:bottom w:val="single" w:sz="4" w:space="0" w:color="auto"/>
              <w:right w:val="single" w:sz="4" w:space="0" w:color="auto"/>
            </w:tcBorders>
            <w:shd w:val="clear" w:color="auto" w:fill="auto"/>
          </w:tcPr>
          <w:p w14:paraId="34B45FE7" w14:textId="145D239A" w:rsidR="005E3D43" w:rsidRDefault="005E3D43" w:rsidP="005E3D43">
            <w:pPr>
              <w:keepNext/>
              <w:jc w:val="center"/>
            </w:pPr>
            <w:r>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06CFE82E" w14:textId="2535F48B" w:rsidR="005E3D43" w:rsidRDefault="005E3D43" w:rsidP="005E3D43">
            <w:pPr>
              <w:keepNext/>
              <w:jc w:val="center"/>
            </w:pPr>
            <w:r>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710AD638" w14:textId="0D239081" w:rsidR="005E3D43" w:rsidRDefault="005E3D43" w:rsidP="005E3D43">
            <w:pPr>
              <w:keepNext/>
              <w:jc w:val="center"/>
            </w:pPr>
            <w:r>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47C9144F" w14:textId="3C986BB4" w:rsidR="005E3D43" w:rsidRDefault="005E3D43" w:rsidP="005E3D43">
            <w:pPr>
              <w:keepNext/>
              <w:jc w:val="center"/>
            </w:pPr>
            <w:r>
              <w:t>0</w:t>
            </w:r>
          </w:p>
        </w:tc>
        <w:tc>
          <w:tcPr>
            <w:tcW w:w="0" w:type="auto"/>
            <w:tcBorders>
              <w:top w:val="single" w:sz="12" w:space="0" w:color="auto"/>
              <w:left w:val="single" w:sz="4" w:space="0" w:color="auto"/>
              <w:bottom w:val="single" w:sz="4" w:space="0" w:color="auto"/>
              <w:right w:val="single" w:sz="4" w:space="0" w:color="auto"/>
            </w:tcBorders>
            <w:shd w:val="clear" w:color="auto" w:fill="auto"/>
          </w:tcPr>
          <w:p w14:paraId="081CFF2F" w14:textId="5236CB58" w:rsidR="005E3D43" w:rsidRDefault="005E3D43" w:rsidP="005E3D43">
            <w:pPr>
              <w:keepNext/>
              <w:jc w:val="center"/>
            </w:pPr>
            <w:r>
              <w:t>0</w:t>
            </w:r>
          </w:p>
        </w:tc>
      </w:tr>
      <w:tr w:rsidR="005E3D43" w:rsidRPr="00F60A9B" w14:paraId="3DA3B53A" w14:textId="77777777" w:rsidTr="007D25EB">
        <w:trPr>
          <w:jc w:val="center"/>
        </w:trPr>
        <w:tc>
          <w:tcPr>
            <w:tcW w:w="0" w:type="auto"/>
            <w:tcBorders>
              <w:right w:val="single" w:sz="12" w:space="0" w:color="auto"/>
            </w:tcBorders>
            <w:shd w:val="clear" w:color="auto" w:fill="auto"/>
            <w:vAlign w:val="center"/>
          </w:tcPr>
          <w:p w14:paraId="651F2BB3" w14:textId="49FA9AEB" w:rsidR="005E3D43" w:rsidRPr="005B7BEE" w:rsidRDefault="005E3D43" w:rsidP="005E3D43">
            <w:pPr>
              <w:keepNext/>
              <w:rPr>
                <w:sz w:val="14"/>
                <w:szCs w:val="14"/>
              </w:rPr>
            </w:pPr>
            <w:r>
              <w:rPr>
                <w:sz w:val="14"/>
                <w:szCs w:val="14"/>
              </w:rPr>
              <w:t>Often</w:t>
            </w:r>
          </w:p>
        </w:tc>
        <w:tc>
          <w:tcPr>
            <w:tcW w:w="0" w:type="auto"/>
            <w:tcBorders>
              <w:left w:val="single" w:sz="12" w:space="0" w:color="auto"/>
            </w:tcBorders>
            <w:shd w:val="clear" w:color="auto" w:fill="auto"/>
          </w:tcPr>
          <w:p w14:paraId="77DC4F16" w14:textId="1E3DF804" w:rsidR="005E3D43" w:rsidRDefault="005E3D43" w:rsidP="005E3D43">
            <w:pPr>
              <w:keepNext/>
              <w:jc w:val="center"/>
            </w:pPr>
            <w:r>
              <w:t>0</w:t>
            </w:r>
          </w:p>
        </w:tc>
        <w:tc>
          <w:tcPr>
            <w:tcW w:w="0" w:type="auto"/>
            <w:shd w:val="clear" w:color="auto" w:fill="auto"/>
          </w:tcPr>
          <w:p w14:paraId="59D2EFC2" w14:textId="6FB388A1" w:rsidR="005E3D43" w:rsidRPr="00210DD1" w:rsidRDefault="005E3D43" w:rsidP="005E3D43">
            <w:pPr>
              <w:keepNext/>
              <w:jc w:val="center"/>
            </w:pPr>
            <w:r>
              <w:t>0</w:t>
            </w:r>
          </w:p>
        </w:tc>
        <w:tc>
          <w:tcPr>
            <w:tcW w:w="0" w:type="auto"/>
          </w:tcPr>
          <w:p w14:paraId="0C44CD8E" w14:textId="305D5016" w:rsidR="005E3D43" w:rsidRPr="00210DD1" w:rsidRDefault="005E3D43" w:rsidP="005E3D43">
            <w:pPr>
              <w:keepNext/>
              <w:jc w:val="center"/>
            </w:pPr>
            <w:r>
              <w:t>0</w:t>
            </w:r>
          </w:p>
        </w:tc>
        <w:tc>
          <w:tcPr>
            <w:tcW w:w="0" w:type="auto"/>
          </w:tcPr>
          <w:p w14:paraId="468E7F87" w14:textId="5FEDBFCE" w:rsidR="005E3D43" w:rsidRPr="00210DD1" w:rsidRDefault="005E3D43" w:rsidP="005E3D43">
            <w:pPr>
              <w:keepNext/>
              <w:jc w:val="center"/>
            </w:pPr>
            <w:r>
              <w:t>0</w:t>
            </w:r>
          </w:p>
        </w:tc>
        <w:tc>
          <w:tcPr>
            <w:tcW w:w="0" w:type="auto"/>
            <w:shd w:val="clear" w:color="auto" w:fill="auto"/>
          </w:tcPr>
          <w:p w14:paraId="63BF27B2" w14:textId="502BEBD6" w:rsidR="005E3D43" w:rsidRDefault="005E3D43" w:rsidP="005E3D43">
            <w:pPr>
              <w:keepNext/>
              <w:jc w:val="center"/>
            </w:pPr>
            <w:r>
              <w:t>0</w:t>
            </w:r>
          </w:p>
        </w:tc>
        <w:tc>
          <w:tcPr>
            <w:tcW w:w="0" w:type="auto"/>
            <w:tcBorders>
              <w:top w:val="nil"/>
              <w:left w:val="nil"/>
              <w:bottom w:val="nil"/>
              <w:right w:val="nil"/>
            </w:tcBorders>
          </w:tcPr>
          <w:p w14:paraId="3762C6B5" w14:textId="77777777" w:rsidR="005E3D43" w:rsidRDefault="005E3D43" w:rsidP="005E3D43">
            <w:pPr>
              <w:keepNext/>
              <w:jc w:val="center"/>
            </w:pPr>
          </w:p>
        </w:tc>
        <w:tc>
          <w:tcPr>
            <w:tcW w:w="0" w:type="auto"/>
            <w:shd w:val="clear" w:color="auto" w:fill="auto"/>
          </w:tcPr>
          <w:p w14:paraId="636DEEEF" w14:textId="5CB8009D" w:rsidR="005E3D43" w:rsidRPr="005B7BEE" w:rsidRDefault="005E3D43" w:rsidP="005E3D43">
            <w:pPr>
              <w:keepNext/>
              <w:jc w:val="center"/>
              <w:rPr>
                <w:sz w:val="14"/>
                <w:szCs w:val="14"/>
              </w:rPr>
            </w:pPr>
            <w:r>
              <w:rPr>
                <w:sz w:val="14"/>
                <w:szCs w:val="14"/>
              </w:rPr>
              <w:t>Often</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743738" w14:textId="04A405F4" w:rsidR="005E3D43" w:rsidRDefault="005E3D43" w:rsidP="005E3D43">
            <w:pPr>
              <w:keepNext/>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72482" w14:textId="427C9D99" w:rsidR="005E3D43" w:rsidRPr="00210DD1"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3570" w14:textId="1D46F255" w:rsidR="005E3D43" w:rsidRPr="00210DD1" w:rsidRDefault="005E3D43" w:rsidP="005E3D43">
            <w:pPr>
              <w:keepNext/>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FBF5" w14:textId="26503B7B" w:rsidR="005E3D43" w:rsidRPr="00210DD1"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4998E" w14:textId="6DAD5904" w:rsidR="005E3D43" w:rsidRDefault="005E3D43" w:rsidP="005E3D43">
            <w:pPr>
              <w:keepNext/>
              <w:jc w:val="center"/>
            </w:pPr>
            <w:r>
              <w:t>1</w:t>
            </w:r>
          </w:p>
        </w:tc>
      </w:tr>
      <w:tr w:rsidR="005E3D43" w:rsidRPr="00F60A9B" w14:paraId="39C1B200" w14:textId="77777777" w:rsidTr="007D25EB">
        <w:trPr>
          <w:jc w:val="center"/>
        </w:trPr>
        <w:tc>
          <w:tcPr>
            <w:tcW w:w="0" w:type="auto"/>
            <w:tcBorders>
              <w:right w:val="single" w:sz="12" w:space="0" w:color="auto"/>
            </w:tcBorders>
            <w:vAlign w:val="center"/>
          </w:tcPr>
          <w:p w14:paraId="4C6C4757" w14:textId="70970C0E" w:rsidR="005E3D43" w:rsidRPr="005B7BEE" w:rsidRDefault="005E3D43" w:rsidP="005E3D43">
            <w:pPr>
              <w:keepNext/>
              <w:rPr>
                <w:sz w:val="14"/>
                <w:szCs w:val="14"/>
              </w:rPr>
            </w:pPr>
            <w:r w:rsidRPr="005B7BEE">
              <w:rPr>
                <w:sz w:val="14"/>
                <w:szCs w:val="14"/>
              </w:rPr>
              <w:t>Frequent</w:t>
            </w:r>
          </w:p>
        </w:tc>
        <w:tc>
          <w:tcPr>
            <w:tcW w:w="0" w:type="auto"/>
            <w:tcBorders>
              <w:top w:val="single" w:sz="4" w:space="0" w:color="auto"/>
              <w:left w:val="single" w:sz="12" w:space="0" w:color="auto"/>
            </w:tcBorders>
          </w:tcPr>
          <w:p w14:paraId="70F9A334" w14:textId="08E72A6D" w:rsidR="005E3D43" w:rsidRDefault="005E3D43" w:rsidP="005E3D43">
            <w:pPr>
              <w:keepNext/>
              <w:jc w:val="center"/>
            </w:pPr>
            <w:r>
              <w:t>0</w:t>
            </w:r>
          </w:p>
        </w:tc>
        <w:tc>
          <w:tcPr>
            <w:tcW w:w="0" w:type="auto"/>
            <w:tcBorders>
              <w:top w:val="single" w:sz="4" w:space="0" w:color="auto"/>
            </w:tcBorders>
          </w:tcPr>
          <w:p w14:paraId="33F6F07C" w14:textId="4481C666" w:rsidR="005E3D43" w:rsidRPr="00210DD1" w:rsidRDefault="005E3D43" w:rsidP="005E3D43">
            <w:pPr>
              <w:keepNext/>
              <w:jc w:val="center"/>
            </w:pPr>
            <w:r>
              <w:t>0</w:t>
            </w:r>
          </w:p>
        </w:tc>
        <w:tc>
          <w:tcPr>
            <w:tcW w:w="0" w:type="auto"/>
            <w:tcBorders>
              <w:top w:val="single" w:sz="4" w:space="0" w:color="auto"/>
            </w:tcBorders>
          </w:tcPr>
          <w:p w14:paraId="2374A2C9" w14:textId="7332C21F" w:rsidR="005E3D43" w:rsidRPr="00210DD1" w:rsidRDefault="005E3D43" w:rsidP="005E3D43">
            <w:pPr>
              <w:keepNext/>
              <w:jc w:val="center"/>
            </w:pPr>
            <w:r>
              <w:t>0</w:t>
            </w:r>
          </w:p>
        </w:tc>
        <w:tc>
          <w:tcPr>
            <w:tcW w:w="0" w:type="auto"/>
            <w:tcBorders>
              <w:top w:val="single" w:sz="4" w:space="0" w:color="auto"/>
            </w:tcBorders>
          </w:tcPr>
          <w:p w14:paraId="4C95B569" w14:textId="372B8039" w:rsidR="005E3D43" w:rsidRPr="00210DD1" w:rsidRDefault="005E3D43" w:rsidP="005E3D43">
            <w:pPr>
              <w:keepNext/>
              <w:jc w:val="center"/>
            </w:pPr>
            <w:r>
              <w:t>0</w:t>
            </w:r>
          </w:p>
        </w:tc>
        <w:tc>
          <w:tcPr>
            <w:tcW w:w="0" w:type="auto"/>
            <w:tcBorders>
              <w:top w:val="single" w:sz="4" w:space="0" w:color="auto"/>
            </w:tcBorders>
            <w:shd w:val="clear" w:color="auto" w:fill="auto"/>
          </w:tcPr>
          <w:p w14:paraId="265D666C" w14:textId="0B6137D0" w:rsidR="005E3D43" w:rsidRDefault="005E3D43" w:rsidP="005E3D43">
            <w:pPr>
              <w:keepNext/>
              <w:jc w:val="center"/>
            </w:pPr>
            <w:r>
              <w:t>0</w:t>
            </w:r>
          </w:p>
        </w:tc>
        <w:tc>
          <w:tcPr>
            <w:tcW w:w="0" w:type="auto"/>
            <w:tcBorders>
              <w:top w:val="nil"/>
              <w:left w:val="nil"/>
              <w:bottom w:val="nil"/>
              <w:right w:val="nil"/>
            </w:tcBorders>
          </w:tcPr>
          <w:p w14:paraId="682EF893" w14:textId="77777777" w:rsidR="005E3D43" w:rsidRDefault="005E3D43" w:rsidP="005E3D43">
            <w:pPr>
              <w:keepNext/>
              <w:jc w:val="center"/>
            </w:pPr>
          </w:p>
        </w:tc>
        <w:tc>
          <w:tcPr>
            <w:tcW w:w="0" w:type="auto"/>
          </w:tcPr>
          <w:p w14:paraId="6D031A35" w14:textId="3CE4ADD6" w:rsidR="005E3D43" w:rsidRPr="005B7BEE" w:rsidRDefault="005E3D43" w:rsidP="005E3D43">
            <w:pPr>
              <w:keepNext/>
              <w:jc w:val="center"/>
              <w:rPr>
                <w:sz w:val="14"/>
                <w:szCs w:val="14"/>
              </w:rPr>
            </w:pPr>
            <w:r w:rsidRPr="005B7BEE">
              <w:rPr>
                <w:sz w:val="14"/>
                <w:szCs w:val="14"/>
              </w:rPr>
              <w:t>Frequent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11584B" w14:textId="5C814F74"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50498" w14:textId="7E0E8ABA" w:rsidR="005E3D43" w:rsidRPr="00210DD1"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E22C5" w14:textId="37134789" w:rsidR="005E3D43" w:rsidRPr="00210DD1"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8BA75" w14:textId="5EC7BC5E" w:rsidR="005E3D43" w:rsidRPr="00210DD1"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DAA5" w14:textId="186A66B4" w:rsidR="005E3D43" w:rsidRDefault="005E3D43" w:rsidP="005E3D43">
            <w:pPr>
              <w:keepNext/>
              <w:jc w:val="center"/>
            </w:pPr>
            <w:r>
              <w:t>0</w:t>
            </w:r>
          </w:p>
        </w:tc>
      </w:tr>
      <w:tr w:rsidR="005E3D43" w:rsidRPr="00F60A9B" w14:paraId="188390BD" w14:textId="77777777" w:rsidTr="007D25EB">
        <w:trPr>
          <w:jc w:val="center"/>
        </w:trPr>
        <w:tc>
          <w:tcPr>
            <w:tcW w:w="0" w:type="auto"/>
            <w:tcBorders>
              <w:right w:val="single" w:sz="12" w:space="0" w:color="auto"/>
            </w:tcBorders>
            <w:vAlign w:val="center"/>
          </w:tcPr>
          <w:p w14:paraId="56D67D78" w14:textId="335E75A0" w:rsidR="005E3D43" w:rsidRPr="005B7BEE" w:rsidRDefault="005E3D43" w:rsidP="005E3D43">
            <w:pPr>
              <w:keepNext/>
              <w:rPr>
                <w:sz w:val="14"/>
                <w:szCs w:val="14"/>
              </w:rPr>
            </w:pPr>
            <w:r w:rsidRPr="005B7BEE">
              <w:rPr>
                <w:sz w:val="14"/>
                <w:szCs w:val="14"/>
              </w:rPr>
              <w:t>Probable</w:t>
            </w:r>
          </w:p>
        </w:tc>
        <w:tc>
          <w:tcPr>
            <w:tcW w:w="0" w:type="auto"/>
            <w:tcBorders>
              <w:left w:val="single" w:sz="12" w:space="0" w:color="auto"/>
            </w:tcBorders>
          </w:tcPr>
          <w:p w14:paraId="7D984BC4" w14:textId="4ABD216C" w:rsidR="005E3D43" w:rsidRPr="00F60A9B" w:rsidRDefault="005E3D43" w:rsidP="005E3D43">
            <w:pPr>
              <w:keepNext/>
              <w:jc w:val="center"/>
            </w:pPr>
            <w:r>
              <w:t>0</w:t>
            </w:r>
          </w:p>
        </w:tc>
        <w:tc>
          <w:tcPr>
            <w:tcW w:w="0" w:type="auto"/>
          </w:tcPr>
          <w:p w14:paraId="569FA2FA" w14:textId="30C86FDB" w:rsidR="005E3D43" w:rsidRPr="00210DD1" w:rsidRDefault="005E3D43" w:rsidP="005E3D43">
            <w:pPr>
              <w:keepNext/>
              <w:jc w:val="center"/>
            </w:pPr>
            <w:r>
              <w:t>0</w:t>
            </w:r>
          </w:p>
        </w:tc>
        <w:tc>
          <w:tcPr>
            <w:tcW w:w="0" w:type="auto"/>
          </w:tcPr>
          <w:p w14:paraId="453C2590" w14:textId="5684CD79" w:rsidR="005E3D43" w:rsidRPr="00210DD1" w:rsidRDefault="005E3D43" w:rsidP="005E3D43">
            <w:pPr>
              <w:keepNext/>
              <w:jc w:val="center"/>
            </w:pPr>
            <w:r>
              <w:t>0</w:t>
            </w:r>
          </w:p>
        </w:tc>
        <w:tc>
          <w:tcPr>
            <w:tcW w:w="0" w:type="auto"/>
          </w:tcPr>
          <w:p w14:paraId="2F79EFDD" w14:textId="7C327D6F" w:rsidR="005E3D43" w:rsidRPr="00210DD1" w:rsidRDefault="005E3D43" w:rsidP="005E3D43">
            <w:pPr>
              <w:keepNext/>
              <w:jc w:val="center"/>
            </w:pPr>
            <w:r>
              <w:t>0</w:t>
            </w:r>
          </w:p>
        </w:tc>
        <w:tc>
          <w:tcPr>
            <w:tcW w:w="0" w:type="auto"/>
            <w:shd w:val="clear" w:color="auto" w:fill="auto"/>
          </w:tcPr>
          <w:p w14:paraId="73F3AFFF" w14:textId="6462F3E1" w:rsidR="005E3D43" w:rsidRPr="00F60A9B" w:rsidRDefault="005E3D43" w:rsidP="005E3D43">
            <w:pPr>
              <w:keepNext/>
              <w:jc w:val="center"/>
            </w:pPr>
            <w:r>
              <w:t>0</w:t>
            </w:r>
          </w:p>
        </w:tc>
        <w:tc>
          <w:tcPr>
            <w:tcW w:w="0" w:type="auto"/>
            <w:tcBorders>
              <w:top w:val="nil"/>
              <w:left w:val="nil"/>
              <w:bottom w:val="nil"/>
              <w:right w:val="nil"/>
            </w:tcBorders>
            <w:tcMar>
              <w:left w:w="115" w:type="dxa"/>
              <w:right w:w="144" w:type="dxa"/>
            </w:tcMar>
          </w:tcPr>
          <w:p w14:paraId="66B3CB1C" w14:textId="13603846" w:rsidR="005E3D43" w:rsidRDefault="00000000" w:rsidP="005E3D43">
            <w:pPr>
              <w:keepNext/>
              <w:jc w:val="center"/>
            </w:pPr>
            <m:oMathPara>
              <m:oMath>
                <m:groupChr>
                  <m:groupChrPr>
                    <m:chr m:val="⏞"/>
                    <m:pos m:val="top"/>
                    <m:vertJc m:val="bot"/>
                    <m:ctrlPr>
                      <w:rPr>
                        <w:rFonts w:ascii="Cambria Math" w:eastAsiaTheme="minorEastAsia" w:hAnsi="Cambria Math"/>
                        <w:i/>
                      </w:rPr>
                    </m:ctrlPr>
                  </m:groupChrPr>
                  <m:e>
                    <m:r>
                      <w:rPr>
                        <w:rFonts w:ascii="Cambria Math" w:eastAsiaTheme="minorEastAsia" w:hAnsi="Cambria Math"/>
                      </w:rPr>
                      <m:t>&gt;</m:t>
                    </m:r>
                  </m:e>
                </m:groupChr>
              </m:oMath>
            </m:oMathPara>
          </w:p>
        </w:tc>
        <w:tc>
          <w:tcPr>
            <w:tcW w:w="0" w:type="auto"/>
          </w:tcPr>
          <w:p w14:paraId="1A83EC95" w14:textId="6C32975B" w:rsidR="005E3D43" w:rsidRDefault="005E3D43" w:rsidP="005E3D43">
            <w:pPr>
              <w:keepNext/>
              <w:jc w:val="center"/>
            </w:pPr>
            <w:r w:rsidRPr="005B7BEE">
              <w:rPr>
                <w:sz w:val="14"/>
                <w:szCs w:val="14"/>
              </w:rPr>
              <w:t>Probable</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17C9D3" w14:textId="5B5B026B"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6783E" w14:textId="274901FB"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FE580" w14:textId="7424DDFE"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42676" w14:textId="58665A43"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430DF" w14:textId="77531126" w:rsidR="005E3D43" w:rsidRDefault="005E3D43" w:rsidP="005E3D43">
            <w:pPr>
              <w:keepNext/>
              <w:jc w:val="center"/>
            </w:pPr>
            <w:r>
              <w:t>0</w:t>
            </w:r>
          </w:p>
        </w:tc>
      </w:tr>
      <w:tr w:rsidR="005E3D43" w:rsidRPr="00F60A9B" w14:paraId="10AE2944" w14:textId="77777777" w:rsidTr="007D25EB">
        <w:trPr>
          <w:jc w:val="center"/>
        </w:trPr>
        <w:tc>
          <w:tcPr>
            <w:tcW w:w="0" w:type="auto"/>
            <w:tcBorders>
              <w:right w:val="single" w:sz="12" w:space="0" w:color="auto"/>
            </w:tcBorders>
            <w:vAlign w:val="center"/>
          </w:tcPr>
          <w:p w14:paraId="0A545F35" w14:textId="6606EFB7" w:rsidR="005E3D43" w:rsidRPr="005B7BEE" w:rsidRDefault="005E3D43" w:rsidP="005E3D43">
            <w:pPr>
              <w:keepNext/>
              <w:rPr>
                <w:sz w:val="14"/>
                <w:szCs w:val="14"/>
              </w:rPr>
            </w:pPr>
            <w:r w:rsidRPr="005B7BEE">
              <w:rPr>
                <w:sz w:val="14"/>
                <w:szCs w:val="14"/>
              </w:rPr>
              <w:t>Occasional</w:t>
            </w:r>
          </w:p>
        </w:tc>
        <w:tc>
          <w:tcPr>
            <w:tcW w:w="0" w:type="auto"/>
            <w:tcBorders>
              <w:left w:val="single" w:sz="12" w:space="0" w:color="auto"/>
            </w:tcBorders>
          </w:tcPr>
          <w:p w14:paraId="61D51EBD" w14:textId="603C55FB" w:rsidR="005E3D43" w:rsidRPr="00F60A9B" w:rsidRDefault="005E3D43" w:rsidP="005E3D43">
            <w:pPr>
              <w:keepNext/>
              <w:jc w:val="center"/>
            </w:pPr>
            <w:r>
              <w:t>0</w:t>
            </w:r>
          </w:p>
        </w:tc>
        <w:tc>
          <w:tcPr>
            <w:tcW w:w="0" w:type="auto"/>
          </w:tcPr>
          <w:p w14:paraId="48091220" w14:textId="385342FF" w:rsidR="005E3D43" w:rsidRPr="00210DD1" w:rsidRDefault="005E3D43" w:rsidP="005E3D43">
            <w:pPr>
              <w:keepNext/>
              <w:jc w:val="center"/>
            </w:pPr>
            <w:r>
              <w:t>0</w:t>
            </w:r>
          </w:p>
        </w:tc>
        <w:tc>
          <w:tcPr>
            <w:tcW w:w="0" w:type="auto"/>
          </w:tcPr>
          <w:p w14:paraId="1F092AD2" w14:textId="01BCB302" w:rsidR="005E3D43" w:rsidRPr="00210DD1" w:rsidRDefault="005E3D43" w:rsidP="005E3D43">
            <w:pPr>
              <w:keepNext/>
              <w:jc w:val="center"/>
            </w:pPr>
            <w:r>
              <w:t>0</w:t>
            </w:r>
          </w:p>
        </w:tc>
        <w:tc>
          <w:tcPr>
            <w:tcW w:w="0" w:type="auto"/>
          </w:tcPr>
          <w:p w14:paraId="3DBC81EC" w14:textId="18F4925C" w:rsidR="005E3D43" w:rsidRPr="00210DD1" w:rsidRDefault="005E3D43" w:rsidP="005E3D43">
            <w:pPr>
              <w:keepNext/>
              <w:jc w:val="center"/>
            </w:pPr>
            <w:r>
              <w:t>0</w:t>
            </w:r>
          </w:p>
        </w:tc>
        <w:tc>
          <w:tcPr>
            <w:tcW w:w="0" w:type="auto"/>
          </w:tcPr>
          <w:p w14:paraId="03D10717" w14:textId="77DBD92A" w:rsidR="005E3D43" w:rsidRPr="00F60A9B" w:rsidRDefault="005E3D43" w:rsidP="005E3D43">
            <w:pPr>
              <w:keepNext/>
              <w:jc w:val="center"/>
            </w:pPr>
            <w:r>
              <w:t>0</w:t>
            </w:r>
          </w:p>
        </w:tc>
        <w:tc>
          <w:tcPr>
            <w:tcW w:w="0" w:type="auto"/>
            <w:tcBorders>
              <w:top w:val="nil"/>
              <w:left w:val="nil"/>
              <w:bottom w:val="nil"/>
              <w:right w:val="nil"/>
            </w:tcBorders>
          </w:tcPr>
          <w:p w14:paraId="0509B45B" w14:textId="77777777" w:rsidR="005E3D43" w:rsidRDefault="005E3D43" w:rsidP="005E3D43">
            <w:pPr>
              <w:keepNext/>
              <w:jc w:val="center"/>
            </w:pPr>
          </w:p>
        </w:tc>
        <w:tc>
          <w:tcPr>
            <w:tcW w:w="0" w:type="auto"/>
          </w:tcPr>
          <w:p w14:paraId="6058C6F9" w14:textId="1DCABB00" w:rsidR="005E3D43" w:rsidRDefault="005E3D43" w:rsidP="005E3D43">
            <w:pPr>
              <w:keepNext/>
              <w:jc w:val="center"/>
            </w:pPr>
            <w:r w:rsidRPr="005B7BEE">
              <w:rPr>
                <w:sz w:val="14"/>
                <w:szCs w:val="14"/>
              </w:rPr>
              <w:t>Occasional</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D615F9" w14:textId="67058E6E"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D14A" w14:textId="4DAA4164" w:rsidR="005E3D43" w:rsidRDefault="005E3D43" w:rsidP="005E3D43">
            <w:pPr>
              <w:keepNext/>
              <w:jc w:val="center"/>
            </w:pPr>
            <w: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AE9EF" w14:textId="23C134EE"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D5ECD" w14:textId="2D47331C" w:rsidR="005E3D43" w:rsidRDefault="005E3D43" w:rsidP="005E3D43">
            <w:pPr>
              <w:keepNext/>
              <w:jc w:val="center"/>
            </w:pPr>
            <w: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AA44E" w14:textId="1F3372B1" w:rsidR="005E3D43" w:rsidRDefault="005E3D43" w:rsidP="005E3D43">
            <w:pPr>
              <w:keepNext/>
              <w:jc w:val="center"/>
            </w:pPr>
            <w:r>
              <w:t>0</w:t>
            </w:r>
          </w:p>
        </w:tc>
      </w:tr>
      <w:tr w:rsidR="00903037" w:rsidRPr="00F60A9B" w14:paraId="7E98BF4F" w14:textId="77777777" w:rsidTr="00B1079E">
        <w:trPr>
          <w:jc w:val="center"/>
        </w:trPr>
        <w:tc>
          <w:tcPr>
            <w:tcW w:w="0" w:type="auto"/>
            <w:tcBorders>
              <w:right w:val="single" w:sz="12" w:space="0" w:color="auto"/>
            </w:tcBorders>
            <w:vAlign w:val="center"/>
          </w:tcPr>
          <w:p w14:paraId="0471E2E2" w14:textId="554925A0" w:rsidR="00903037" w:rsidRPr="005B7BEE" w:rsidRDefault="00903037" w:rsidP="00903037">
            <w:pPr>
              <w:keepNext/>
              <w:rPr>
                <w:sz w:val="14"/>
                <w:szCs w:val="14"/>
              </w:rPr>
            </w:pPr>
            <w:r w:rsidRPr="005B7BEE">
              <w:rPr>
                <w:sz w:val="14"/>
                <w:szCs w:val="14"/>
              </w:rPr>
              <w:t>Remote</w:t>
            </w:r>
          </w:p>
        </w:tc>
        <w:tc>
          <w:tcPr>
            <w:tcW w:w="0" w:type="auto"/>
            <w:tcBorders>
              <w:left w:val="single" w:sz="12" w:space="0" w:color="auto"/>
            </w:tcBorders>
          </w:tcPr>
          <w:p w14:paraId="2019AF07" w14:textId="022797F3" w:rsidR="00903037" w:rsidRPr="00F60A9B" w:rsidRDefault="00903037" w:rsidP="00903037">
            <w:pPr>
              <w:keepNext/>
              <w:jc w:val="center"/>
            </w:pPr>
            <w:r>
              <w:t>0</w:t>
            </w:r>
          </w:p>
        </w:tc>
        <w:tc>
          <w:tcPr>
            <w:tcW w:w="0" w:type="auto"/>
          </w:tcPr>
          <w:p w14:paraId="145C587E" w14:textId="57EEB7AB" w:rsidR="00903037" w:rsidRPr="00210DD1" w:rsidRDefault="00903037" w:rsidP="00903037">
            <w:pPr>
              <w:keepNext/>
              <w:jc w:val="center"/>
            </w:pPr>
            <w:r>
              <w:t>0</w:t>
            </w:r>
          </w:p>
        </w:tc>
        <w:tc>
          <w:tcPr>
            <w:tcW w:w="0" w:type="auto"/>
          </w:tcPr>
          <w:p w14:paraId="35BB8F0C" w14:textId="02E0428C" w:rsidR="00903037" w:rsidRPr="00210DD1" w:rsidRDefault="00903037" w:rsidP="00903037">
            <w:pPr>
              <w:keepNext/>
              <w:jc w:val="center"/>
            </w:pPr>
            <w:r>
              <w:t>0</w:t>
            </w:r>
          </w:p>
        </w:tc>
        <w:tc>
          <w:tcPr>
            <w:tcW w:w="0" w:type="auto"/>
          </w:tcPr>
          <w:p w14:paraId="776B9ED1" w14:textId="05489052" w:rsidR="00903037" w:rsidRPr="00210DD1" w:rsidRDefault="00903037" w:rsidP="00903037">
            <w:pPr>
              <w:keepNext/>
              <w:jc w:val="center"/>
            </w:pPr>
            <w:r>
              <w:t>0</w:t>
            </w:r>
          </w:p>
        </w:tc>
        <w:tc>
          <w:tcPr>
            <w:tcW w:w="0" w:type="auto"/>
          </w:tcPr>
          <w:p w14:paraId="76B8A17F" w14:textId="4F4D0F08" w:rsidR="00903037" w:rsidRPr="00F60A9B" w:rsidRDefault="00903037" w:rsidP="00903037">
            <w:pPr>
              <w:keepNext/>
              <w:jc w:val="center"/>
            </w:pPr>
            <w:r>
              <w:t>0</w:t>
            </w:r>
          </w:p>
        </w:tc>
        <w:tc>
          <w:tcPr>
            <w:tcW w:w="0" w:type="auto"/>
            <w:tcBorders>
              <w:top w:val="nil"/>
              <w:left w:val="nil"/>
              <w:bottom w:val="nil"/>
              <w:right w:val="nil"/>
            </w:tcBorders>
          </w:tcPr>
          <w:p w14:paraId="241882CB" w14:textId="77777777" w:rsidR="00903037" w:rsidRDefault="00903037" w:rsidP="00903037">
            <w:pPr>
              <w:keepNext/>
              <w:jc w:val="center"/>
            </w:pPr>
          </w:p>
        </w:tc>
        <w:tc>
          <w:tcPr>
            <w:tcW w:w="0" w:type="auto"/>
          </w:tcPr>
          <w:p w14:paraId="5B5E70BF" w14:textId="5F713F1B" w:rsidR="00903037" w:rsidRDefault="00903037" w:rsidP="00903037">
            <w:pPr>
              <w:keepNext/>
              <w:jc w:val="center"/>
            </w:pPr>
            <w:r w:rsidRPr="005B7BEE">
              <w:rPr>
                <w:sz w:val="14"/>
                <w:szCs w:val="14"/>
              </w:rPr>
              <w:t>Remote</w:t>
            </w:r>
          </w:p>
        </w:tc>
        <w:tc>
          <w:tcPr>
            <w:tcW w:w="0" w:type="auto"/>
            <w:tcBorders>
              <w:top w:val="nil"/>
              <w:left w:val="single" w:sz="8" w:space="0" w:color="auto"/>
              <w:bottom w:val="single" w:sz="4" w:space="0" w:color="auto"/>
              <w:right w:val="single" w:sz="4" w:space="0" w:color="auto"/>
            </w:tcBorders>
            <w:shd w:val="clear" w:color="auto" w:fill="auto"/>
            <w:vAlign w:val="bottom"/>
          </w:tcPr>
          <w:p w14:paraId="511848C5" w14:textId="3F4D0438"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2BAC914C" w14:textId="2329953C"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164EE163" w14:textId="240257CF" w:rsidR="00903037" w:rsidRDefault="00903037" w:rsidP="00903037">
            <w:pPr>
              <w:keepNext/>
              <w:jc w:val="center"/>
            </w:pPr>
            <w:r>
              <w:rPr>
                <w:rFonts w:ascii="Calibri" w:hAnsi="Calibri" w:cs="Calibri"/>
                <w:color w:val="000000"/>
              </w:rPr>
              <w:t>0</w:t>
            </w:r>
          </w:p>
        </w:tc>
        <w:tc>
          <w:tcPr>
            <w:tcW w:w="0" w:type="auto"/>
            <w:tcBorders>
              <w:top w:val="nil"/>
              <w:left w:val="nil"/>
              <w:bottom w:val="single" w:sz="4" w:space="0" w:color="auto"/>
              <w:right w:val="single" w:sz="4" w:space="0" w:color="auto"/>
            </w:tcBorders>
            <w:shd w:val="clear" w:color="auto" w:fill="auto"/>
            <w:vAlign w:val="bottom"/>
          </w:tcPr>
          <w:p w14:paraId="6B293F18" w14:textId="65AB28FE" w:rsidR="00903037" w:rsidRDefault="00903037" w:rsidP="00903037">
            <w:pPr>
              <w:keepNext/>
              <w:jc w:val="center"/>
            </w:pPr>
            <w:r>
              <w:rPr>
                <w:rFonts w:ascii="Calibri" w:hAnsi="Calibri" w:cs="Calibri"/>
                <w:color w:val="000000"/>
              </w:rPr>
              <w:t>1</w:t>
            </w:r>
          </w:p>
        </w:tc>
        <w:tc>
          <w:tcPr>
            <w:tcW w:w="0" w:type="auto"/>
            <w:tcBorders>
              <w:top w:val="nil"/>
              <w:left w:val="nil"/>
              <w:bottom w:val="single" w:sz="4" w:space="0" w:color="auto"/>
              <w:right w:val="single" w:sz="8" w:space="0" w:color="auto"/>
            </w:tcBorders>
            <w:shd w:val="clear" w:color="auto" w:fill="auto"/>
            <w:vAlign w:val="bottom"/>
          </w:tcPr>
          <w:p w14:paraId="28667B66" w14:textId="1752A4E0" w:rsidR="00903037" w:rsidRDefault="00903037" w:rsidP="00903037">
            <w:pPr>
              <w:keepNext/>
              <w:jc w:val="center"/>
            </w:pPr>
            <w:r>
              <w:rPr>
                <w:rFonts w:ascii="Calibri" w:hAnsi="Calibri" w:cs="Calibri"/>
                <w:color w:val="000000"/>
              </w:rPr>
              <w:t>0</w:t>
            </w:r>
          </w:p>
        </w:tc>
      </w:tr>
      <w:tr w:rsidR="00903037" w:rsidRPr="00F60A9B" w14:paraId="3E516F1C" w14:textId="77777777" w:rsidTr="00B1079E">
        <w:trPr>
          <w:jc w:val="center"/>
        </w:trPr>
        <w:tc>
          <w:tcPr>
            <w:tcW w:w="0" w:type="auto"/>
            <w:tcBorders>
              <w:right w:val="single" w:sz="12" w:space="0" w:color="auto"/>
            </w:tcBorders>
            <w:vAlign w:val="center"/>
          </w:tcPr>
          <w:p w14:paraId="44F02FF0" w14:textId="6D594FC9" w:rsidR="00903037" w:rsidRPr="005B7BEE" w:rsidRDefault="00903037" w:rsidP="00903037">
            <w:pPr>
              <w:keepNext/>
              <w:rPr>
                <w:sz w:val="14"/>
                <w:szCs w:val="14"/>
              </w:rPr>
            </w:pPr>
            <w:r w:rsidRPr="005B7BEE">
              <w:rPr>
                <w:sz w:val="14"/>
                <w:szCs w:val="14"/>
              </w:rPr>
              <w:t>Improbable</w:t>
            </w:r>
          </w:p>
        </w:tc>
        <w:tc>
          <w:tcPr>
            <w:tcW w:w="0" w:type="auto"/>
            <w:tcBorders>
              <w:left w:val="single" w:sz="12" w:space="0" w:color="auto"/>
            </w:tcBorders>
          </w:tcPr>
          <w:p w14:paraId="4D6BD5F1" w14:textId="186D4D41" w:rsidR="00903037" w:rsidRPr="00F60A9B" w:rsidRDefault="00903037" w:rsidP="00903037">
            <w:pPr>
              <w:keepNext/>
              <w:jc w:val="center"/>
            </w:pPr>
            <w:r>
              <w:t>0</w:t>
            </w:r>
          </w:p>
        </w:tc>
        <w:tc>
          <w:tcPr>
            <w:tcW w:w="0" w:type="auto"/>
          </w:tcPr>
          <w:p w14:paraId="3CFB4A87" w14:textId="1BEF4BC7" w:rsidR="00903037" w:rsidRPr="00210DD1" w:rsidRDefault="00903037" w:rsidP="00903037">
            <w:pPr>
              <w:keepNext/>
              <w:jc w:val="center"/>
            </w:pPr>
            <w:r>
              <w:t>0</w:t>
            </w:r>
          </w:p>
        </w:tc>
        <w:tc>
          <w:tcPr>
            <w:tcW w:w="0" w:type="auto"/>
          </w:tcPr>
          <w:p w14:paraId="0F66FDEE" w14:textId="58A6DF36" w:rsidR="00903037" w:rsidRPr="00210DD1" w:rsidRDefault="00903037" w:rsidP="00903037">
            <w:pPr>
              <w:keepNext/>
              <w:jc w:val="center"/>
            </w:pPr>
            <w:r>
              <w:t>0</w:t>
            </w:r>
          </w:p>
        </w:tc>
        <w:tc>
          <w:tcPr>
            <w:tcW w:w="0" w:type="auto"/>
          </w:tcPr>
          <w:p w14:paraId="7D28419D" w14:textId="3C251E4E" w:rsidR="00903037" w:rsidRPr="00210DD1" w:rsidRDefault="00903037" w:rsidP="00903037">
            <w:pPr>
              <w:keepNext/>
              <w:jc w:val="center"/>
            </w:pPr>
            <w:r>
              <w:t>0</w:t>
            </w:r>
          </w:p>
        </w:tc>
        <w:tc>
          <w:tcPr>
            <w:tcW w:w="0" w:type="auto"/>
          </w:tcPr>
          <w:p w14:paraId="0C6A200C" w14:textId="1A5119AF" w:rsidR="00903037" w:rsidRPr="00F60A9B" w:rsidRDefault="00903037" w:rsidP="00903037">
            <w:pPr>
              <w:keepNext/>
              <w:jc w:val="center"/>
            </w:pPr>
            <w:r>
              <w:t>0</w:t>
            </w:r>
          </w:p>
        </w:tc>
        <w:tc>
          <w:tcPr>
            <w:tcW w:w="0" w:type="auto"/>
            <w:tcBorders>
              <w:top w:val="nil"/>
              <w:left w:val="nil"/>
              <w:bottom w:val="nil"/>
              <w:right w:val="nil"/>
            </w:tcBorders>
          </w:tcPr>
          <w:p w14:paraId="5E5C1126" w14:textId="77777777" w:rsidR="00903037" w:rsidRDefault="00903037" w:rsidP="00903037">
            <w:pPr>
              <w:keepNext/>
              <w:jc w:val="center"/>
            </w:pPr>
          </w:p>
        </w:tc>
        <w:tc>
          <w:tcPr>
            <w:tcW w:w="0" w:type="auto"/>
          </w:tcPr>
          <w:p w14:paraId="0D0ABFC4" w14:textId="73AFCE48" w:rsidR="00903037" w:rsidRDefault="00903037" w:rsidP="00903037">
            <w:pPr>
              <w:keepNext/>
              <w:jc w:val="center"/>
            </w:pPr>
            <w:r w:rsidRPr="005B7BEE">
              <w:rPr>
                <w:sz w:val="14"/>
                <w:szCs w:val="14"/>
              </w:rPr>
              <w:t>Improbable</w:t>
            </w:r>
          </w:p>
        </w:tc>
        <w:tc>
          <w:tcPr>
            <w:tcW w:w="0" w:type="auto"/>
            <w:tcBorders>
              <w:top w:val="single" w:sz="4" w:space="0" w:color="auto"/>
              <w:left w:val="single" w:sz="8" w:space="0" w:color="auto"/>
              <w:bottom w:val="single" w:sz="8" w:space="0" w:color="auto"/>
              <w:right w:val="single" w:sz="4" w:space="0" w:color="auto"/>
            </w:tcBorders>
            <w:shd w:val="clear" w:color="auto" w:fill="auto"/>
            <w:vAlign w:val="bottom"/>
          </w:tcPr>
          <w:p w14:paraId="706B7753" w14:textId="0BE7C862"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5CDA309" w14:textId="348C8D9C" w:rsidR="00903037" w:rsidRDefault="00903037" w:rsidP="00903037">
            <w:pPr>
              <w:keepNext/>
              <w:jc w:val="center"/>
            </w:pPr>
            <w:r>
              <w:rPr>
                <w:rFonts w:ascii="Calibri" w:hAnsi="Calibri" w:cs="Calibri"/>
                <w:color w:val="000000"/>
              </w:rPr>
              <w:t>1</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1CF48217" w14:textId="11A9B6A5" w:rsidR="00903037" w:rsidRDefault="00903037" w:rsidP="00903037">
            <w:pPr>
              <w:keepNext/>
              <w:jc w:val="center"/>
            </w:pPr>
            <w:r>
              <w:rPr>
                <w:rFonts w:ascii="Calibri" w:hAnsi="Calibri" w:cs="Calibri"/>
                <w:color w:val="000000"/>
              </w:rPr>
              <w:t>4</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6B2F5C75" w14:textId="79649AD5" w:rsidR="00903037" w:rsidRDefault="00903037" w:rsidP="00903037">
            <w:pPr>
              <w:keepNext/>
              <w:jc w:val="center"/>
            </w:pPr>
            <w:r>
              <w:rPr>
                <w:rFonts w:ascii="Calibri" w:hAnsi="Calibri" w:cs="Calibri"/>
                <w:color w:val="000000"/>
              </w:rPr>
              <w:t>6</w:t>
            </w:r>
          </w:p>
        </w:tc>
        <w:tc>
          <w:tcPr>
            <w:tcW w:w="0" w:type="auto"/>
            <w:tcBorders>
              <w:top w:val="nil"/>
              <w:left w:val="nil"/>
              <w:bottom w:val="single" w:sz="8" w:space="0" w:color="auto"/>
              <w:right w:val="single" w:sz="8" w:space="0" w:color="auto"/>
            </w:tcBorders>
            <w:shd w:val="clear" w:color="auto" w:fill="auto"/>
            <w:vAlign w:val="bottom"/>
          </w:tcPr>
          <w:p w14:paraId="12FAE5E0" w14:textId="21616ABD" w:rsidR="00903037" w:rsidRDefault="00903037" w:rsidP="00903037">
            <w:pPr>
              <w:keepNext/>
              <w:jc w:val="center"/>
            </w:pPr>
            <w:r>
              <w:rPr>
                <w:rFonts w:ascii="Calibri" w:hAnsi="Calibri" w:cs="Calibri"/>
                <w:color w:val="000000"/>
              </w:rPr>
              <w:t>3</w:t>
            </w:r>
          </w:p>
        </w:tc>
      </w:tr>
    </w:tbl>
    <w:p w14:paraId="6E1693A7" w14:textId="77777777" w:rsidR="00CC35F4" w:rsidRDefault="00CC35F4" w:rsidP="00CC35F4">
      <w:pPr>
        <w:pStyle w:val="ListParagraph"/>
        <w:ind w:left="864"/>
        <w:rPr>
          <w:rFonts w:eastAsiaTheme="minorEastAsia"/>
        </w:rPr>
      </w:pPr>
    </w:p>
    <w:p w14:paraId="6E26F67A" w14:textId="0FD899BA" w:rsidR="00417B39" w:rsidRPr="00806685" w:rsidRDefault="00417B39" w:rsidP="00806685">
      <w:pPr>
        <w:pStyle w:val="ListParagraph"/>
        <w:ind w:left="864"/>
        <w:rPr>
          <w:rFonts w:eastAsiaTheme="minorEastAsia"/>
        </w:rPr>
      </w:pPr>
      <w:r>
        <w:rPr>
          <w:rFonts w:eastAsiaTheme="minorEastAsia"/>
        </w:rPr>
        <w:t xml:space="preserve">It is intuitively obvious that the </w:t>
      </w:r>
      <w:r w:rsidR="005E3D43">
        <w:rPr>
          <w:rFonts w:eastAsiaTheme="minorEastAsia"/>
        </w:rPr>
        <w:t>right</w:t>
      </w:r>
      <w:r>
        <w:rPr>
          <w:rFonts w:eastAsiaTheme="minorEastAsia"/>
        </w:rPr>
        <w:t xml:space="preserve">-hand side of </w:t>
      </w:r>
      <w:r w:rsidR="005E3D43">
        <w:rPr>
          <w:rFonts w:eastAsiaTheme="minorEastAsia"/>
        </w:rPr>
        <w:t xml:space="preserve">the previous equation has a greater total risk than the left-hand side, so </w:t>
      </w:r>
      <w:r w:rsidR="005E3D43">
        <w:rPr>
          <w:rFonts w:eastAsiaTheme="minorEastAsia"/>
        </w:rPr>
        <w:fldChar w:fldCharType="begin"/>
      </w:r>
      <w:r w:rsidR="005E3D43">
        <w:rPr>
          <w:rFonts w:eastAsiaTheme="minorEastAsia"/>
        </w:rPr>
        <w:instrText xml:space="preserve"> REF _Ref147675342 \h </w:instrText>
      </w:r>
      <w:r w:rsidR="005E3D43">
        <w:rPr>
          <w:rFonts w:eastAsiaTheme="minorEastAsia"/>
        </w:rPr>
      </w:r>
      <w:r w:rsidR="005E3D43">
        <w:rPr>
          <w:rFonts w:eastAsiaTheme="minorEastAsia"/>
        </w:rPr>
        <w:fldChar w:fldCharType="separate"/>
      </w:r>
      <w:r w:rsidR="001E41EA">
        <w:t xml:space="preserve">Equation </w:t>
      </w:r>
      <w:r w:rsidR="001E41EA">
        <w:rPr>
          <w:noProof/>
        </w:rPr>
        <w:t>10</w:t>
      </w:r>
      <w:r w:rsidR="005E3D43">
        <w:rPr>
          <w:rFonts w:eastAsiaTheme="minorEastAsia"/>
        </w:rPr>
        <w:fldChar w:fldCharType="end"/>
      </w:r>
      <w:r w:rsidR="005E3D43">
        <w:rPr>
          <w:rFonts w:eastAsiaTheme="minorEastAsia"/>
        </w:rPr>
        <w:t xml:space="preserve"> is not true and the procedure’s risks outweigh its benefits. </w:t>
      </w:r>
    </w:p>
    <w:p w14:paraId="7A4EDBC1" w14:textId="77777777" w:rsidR="00FC3F6B" w:rsidRDefault="00FC3F6B" w:rsidP="00806685">
      <w:pPr>
        <w:spacing w:after="0" w:line="240" w:lineRule="auto"/>
        <w:rPr>
          <w:rFonts w:cstheme="minorHAnsi"/>
        </w:rPr>
      </w:pPr>
    </w:p>
    <w:p w14:paraId="0431EDA5" w14:textId="77777777" w:rsidR="00D15E95" w:rsidRDefault="00D15E95">
      <w:pPr>
        <w:pStyle w:val="ListParagraph"/>
        <w:numPr>
          <w:ilvl w:val="0"/>
          <w:numId w:val="31"/>
        </w:numPr>
        <w:outlineLvl w:val="2"/>
        <w:rPr>
          <w:rFonts w:cstheme="minorHAnsi"/>
        </w:rPr>
      </w:pPr>
      <w:bookmarkStart w:id="113" w:name="_Toc149249765"/>
      <w:bookmarkStart w:id="114" w:name="_Toc156728672"/>
      <w:r>
        <w:rPr>
          <w:rFonts w:cstheme="minorHAnsi"/>
        </w:rPr>
        <w:t>Document the cross-functional team’s concurrence</w:t>
      </w:r>
      <w:bookmarkEnd w:id="113"/>
      <w:bookmarkEnd w:id="114"/>
    </w:p>
    <w:p w14:paraId="0A7692A2" w14:textId="77777777" w:rsidR="00D15E95" w:rsidRDefault="00D15E95" w:rsidP="00D15E95">
      <w:pPr>
        <w:ind w:left="504"/>
        <w:rPr>
          <w:rFonts w:eastAsiaTheme="minorEastAsia"/>
        </w:rPr>
      </w:pPr>
      <w:r>
        <w:rPr>
          <w:rFonts w:cstheme="minorHAnsi"/>
        </w:rPr>
        <w:t xml:space="preserve">Once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t xml:space="preserve">Equation </w:t>
      </w:r>
      <w:r>
        <w:rPr>
          <w:noProof/>
        </w:rPr>
        <w:t>9</w:t>
      </w:r>
      <w:r>
        <w:rPr>
          <w:rFonts w:cstheme="minorHAnsi"/>
        </w:rPr>
        <w:fldChar w:fldCharType="end"/>
      </w:r>
      <w:r>
        <w:rPr>
          <w:rFonts w:cstheme="minorHAnsi"/>
        </w:rPr>
        <w:t xml:space="preserve">  has been simplified, the cross-functional team should review the </w:t>
      </w:r>
      <w:r>
        <w:t xml:space="preserve">risks in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sub>
        </m:sSub>
      </m:oMath>
      <w:r w:rsidRPr="00AB7CCA">
        <w:rPr>
          <w:rFonts w:eastAsiaTheme="minorEastAsia"/>
        </w:rPr>
        <w:t xml:space="preserve">, </w:t>
      </w:r>
      <m:oMath>
        <m:sSub>
          <m:sSubPr>
            <m:ctrlPr>
              <w:rPr>
                <w:rFonts w:ascii="Cambria Math" w:hAnsi="Cambria Math"/>
                <w:i/>
              </w:rPr>
            </m:ctrlPr>
          </m:sSubPr>
          <m:e>
            <m:r>
              <w:rPr>
                <w:rFonts w:ascii="Cambria Math" w:hAnsi="Cambria Math"/>
              </w:rPr>
              <m:t>Table</m:t>
            </m:r>
          </m:e>
          <m: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sub>
        </m:sSub>
      </m:oMath>
      <w:r w:rsidRPr="00AB7CCA">
        <w:rPr>
          <w:rFonts w:eastAsiaTheme="minorEastAsia"/>
        </w:rPr>
        <w:t xml:space="preserve">, and </w:t>
      </w:r>
      <m:oMath>
        <m:sSub>
          <m:sSubPr>
            <m:ctrlPr>
              <w:rPr>
                <w:rFonts w:ascii="Cambria Math" w:hAnsi="Cambria Math"/>
                <w:i/>
              </w:rPr>
            </m:ctrlPr>
          </m:sSubPr>
          <m:e>
            <m:r>
              <w:rPr>
                <w:rFonts w:ascii="Cambria Math" w:hAnsi="Cambria Math"/>
              </w:rPr>
              <m:t>Table</m:t>
            </m:r>
          </m:e>
          <m:sub>
            <m:r>
              <w:rPr>
                <w:rFonts w:ascii="Cambria Math" w:eastAsiaTheme="minorEastAsia" w:hAnsi="Cambria Math"/>
              </w:rPr>
              <m:t>R</m:t>
            </m:r>
          </m:sub>
        </m:sSub>
      </m:oMath>
      <w:r>
        <w:rPr>
          <w:rFonts w:eastAsiaTheme="minorEastAsia"/>
        </w:rPr>
        <w:t xml:space="preserve"> for completeness and concurrence with the risk metrics.  If this review causes changes, then the simplification process will need to be repeated.  If this review does not result in any changes, then the team’s thinking should be documented.  </w:t>
      </w:r>
    </w:p>
    <w:p w14:paraId="01E41378" w14:textId="77777777" w:rsidR="00D15E95" w:rsidRDefault="00D15E95" w:rsidP="00D15E95">
      <w:pPr>
        <w:ind w:left="504"/>
        <w:rPr>
          <w:rFonts w:eastAsiaTheme="minorEastAsia"/>
        </w:rPr>
      </w:pPr>
      <w:r>
        <w:rPr>
          <w:rFonts w:eastAsiaTheme="minorEastAsia"/>
        </w:rPr>
        <w:t xml:space="preserve">Similarly, the cross-functional team should review the steps taken to simplify </w:t>
      </w:r>
      <w:r>
        <w:rPr>
          <w:rFonts w:cstheme="minorHAnsi"/>
        </w:rPr>
        <w:fldChar w:fldCharType="begin"/>
      </w:r>
      <w:r>
        <w:rPr>
          <w:rFonts w:cstheme="minorHAnsi"/>
        </w:rPr>
        <w:instrText xml:space="preserve"> REF _Ref147639186 \h </w:instrText>
      </w:r>
      <w:r>
        <w:rPr>
          <w:rFonts w:cstheme="minorHAnsi"/>
        </w:rPr>
      </w:r>
      <w:r>
        <w:rPr>
          <w:rFonts w:cstheme="minorHAnsi"/>
        </w:rPr>
        <w:fldChar w:fldCharType="separate"/>
      </w:r>
      <w:r>
        <w:t xml:space="preserve">Equation </w:t>
      </w:r>
      <w:r>
        <w:rPr>
          <w:noProof/>
        </w:rPr>
        <w:t>9</w:t>
      </w:r>
      <w:r>
        <w:rPr>
          <w:rFonts w:cstheme="minorHAnsi"/>
        </w:rPr>
        <w:fldChar w:fldCharType="end"/>
      </w:r>
      <w:r>
        <w:rPr>
          <w:rFonts w:cstheme="minorHAnsi"/>
        </w:rPr>
        <w:t xml:space="preserve">.  Considerations for each risk algebra operation are listed ate the end of the explanation of each explanation.  The team should confirm they still agree with each simplification step.  </w:t>
      </w:r>
      <w:r>
        <w:rPr>
          <w:rFonts w:eastAsiaTheme="minorEastAsia"/>
        </w:rPr>
        <w:t xml:space="preserve">If this review causes changes, then the simplification process will need to be repeated.  If this review does not result in any changes, then the team’s thinking should be documented.  </w:t>
      </w:r>
    </w:p>
    <w:p w14:paraId="25CB8211" w14:textId="79D9EE28" w:rsidR="00D15E95" w:rsidRDefault="00D15E95" w:rsidP="00D15E95">
      <w:pPr>
        <w:ind w:left="504"/>
        <w:rPr>
          <w:rFonts w:cstheme="minorHAnsi"/>
        </w:rPr>
      </w:pPr>
      <w:r>
        <w:rPr>
          <w:rFonts w:eastAsiaTheme="minorEastAsia"/>
        </w:rPr>
        <w:t xml:space="preserve">This documentation should be released as part of the </w:t>
      </w:r>
      <w:r w:rsidR="00EC42E0">
        <w:rPr>
          <w:rFonts w:eastAsiaTheme="minorEastAsia"/>
        </w:rPr>
        <w:t>Benefit-Risk</w:t>
      </w:r>
      <w:r>
        <w:rPr>
          <w:rFonts w:eastAsiaTheme="minorEastAsia"/>
        </w:rPr>
        <w:t xml:space="preserve"> Analysis document.  </w:t>
      </w:r>
    </w:p>
    <w:p w14:paraId="0B4984BF" w14:textId="77777777" w:rsidR="00D15E95" w:rsidRDefault="00D15E95" w:rsidP="00D15E95">
      <w:pPr>
        <w:rPr>
          <w:rFonts w:eastAsia="TimesNewRomanPSMT" w:cs="TimesNewRomanPSMT"/>
          <w:b/>
          <w:color w:val="000000"/>
          <w:sz w:val="26"/>
          <w:szCs w:val="26"/>
          <w:u w:val="single"/>
        </w:rPr>
      </w:pPr>
    </w:p>
    <w:p w14:paraId="2EAB2E4B" w14:textId="74578368" w:rsidR="00E94EAF" w:rsidRPr="00843521" w:rsidRDefault="00E94EAF" w:rsidP="00843521">
      <w:pPr>
        <w:rPr>
          <w:rFonts w:eastAsiaTheme="minorEastAsia"/>
        </w:rPr>
        <w:sectPr w:rsidR="00E94EAF" w:rsidRPr="00843521" w:rsidSect="008F1C32">
          <w:pgSz w:w="15840" w:h="12240" w:orient="landscape" w:code="1"/>
          <w:pgMar w:top="1440" w:right="1152" w:bottom="1440" w:left="1152" w:header="720" w:footer="720" w:gutter="0"/>
          <w:cols w:space="720"/>
          <w:docGrid w:linePitch="360"/>
        </w:sectPr>
      </w:pPr>
    </w:p>
    <w:p w14:paraId="08629124" w14:textId="70006C8F" w:rsidR="001639C0" w:rsidRDefault="00B66C73" w:rsidP="00184FB5">
      <w:pPr>
        <w:pStyle w:val="Heading1"/>
        <w:jc w:val="center"/>
        <w:rPr>
          <w:rFonts w:cstheme="minorHAnsi"/>
        </w:rPr>
      </w:pPr>
      <w:bookmarkStart w:id="115" w:name="_Toc156728673"/>
      <w:bookmarkStart w:id="116" w:name="_Hlk149312445"/>
      <w:r w:rsidRPr="00AD69A2">
        <w:rPr>
          <w:b/>
          <w:bCs/>
          <w:u w:val="single"/>
        </w:rPr>
        <w:lastRenderedPageBreak/>
        <w:t xml:space="preserve">Attachment </w:t>
      </w:r>
      <w:r w:rsidR="008D066A">
        <w:rPr>
          <w:b/>
          <w:bCs/>
          <w:u w:val="single"/>
        </w:rPr>
        <w:t>C</w:t>
      </w:r>
      <w:r w:rsidR="00184FB5">
        <w:rPr>
          <w:b/>
          <w:bCs/>
          <w:u w:val="single"/>
        </w:rPr>
        <w:t xml:space="preserve"> - </w:t>
      </w:r>
      <w:r w:rsidR="008D066A">
        <w:rPr>
          <w:b/>
          <w:bCs/>
          <w:u w:val="single"/>
        </w:rPr>
        <w:t xml:space="preserve">Applications of </w:t>
      </w:r>
      <w:r>
        <w:rPr>
          <w:b/>
          <w:bCs/>
          <w:u w:val="single"/>
        </w:rPr>
        <w:t>the Method</w:t>
      </w:r>
      <w:bookmarkEnd w:id="115"/>
    </w:p>
    <w:p w14:paraId="0C1B547D" w14:textId="77777777" w:rsidR="00A37E69" w:rsidRDefault="00A37E69" w:rsidP="00A37E69">
      <w:pPr>
        <w:spacing w:after="0" w:line="240" w:lineRule="auto"/>
        <w:rPr>
          <w:rFonts w:cstheme="minorHAnsi"/>
        </w:rPr>
      </w:pPr>
    </w:p>
    <w:p w14:paraId="0F84E6D3" w14:textId="27DE44DD" w:rsidR="00A37E69" w:rsidRPr="006A4630" w:rsidRDefault="006F3AF2" w:rsidP="00A37E69">
      <w:pPr>
        <w:pStyle w:val="Heading2"/>
        <w:rPr>
          <w:rFonts w:eastAsia="TimesNewRomanPSMT" w:cs="TimesNewRomanPSMT"/>
          <w:b/>
          <w:color w:val="000000"/>
          <w:u w:val="single"/>
        </w:rPr>
      </w:pPr>
      <w:bookmarkStart w:id="117" w:name="_Toc156728674"/>
      <w:r>
        <w:rPr>
          <w:rFonts w:eastAsia="TimesNewRomanPSMT" w:cs="TimesNewRomanPSMT"/>
          <w:b/>
          <w:color w:val="000000"/>
          <w:u w:val="single"/>
        </w:rPr>
        <w:t>Operationalizing</w:t>
      </w:r>
      <w:r w:rsidR="00D66899">
        <w:rPr>
          <w:rFonts w:eastAsia="TimesNewRomanPSMT" w:cs="TimesNewRomanPSMT"/>
          <w:b/>
          <w:color w:val="000000"/>
          <w:u w:val="single"/>
        </w:rPr>
        <w:t xml:space="preserve"> the Method</w:t>
      </w:r>
      <w:bookmarkEnd w:id="117"/>
    </w:p>
    <w:p w14:paraId="5190AC70" w14:textId="77777777" w:rsidR="00CF17B8" w:rsidRDefault="00D66899" w:rsidP="00A37E69">
      <w:pPr>
        <w:spacing w:line="240" w:lineRule="auto"/>
        <w:jc w:val="both"/>
        <w:rPr>
          <w:color w:val="000000"/>
          <w:szCs w:val="24"/>
        </w:rPr>
      </w:pPr>
      <w:r>
        <w:rPr>
          <w:color w:val="000000"/>
          <w:szCs w:val="24"/>
        </w:rPr>
        <w:t xml:space="preserve">The implementation of this method can be best understood within the context of the evolution of risk management.   </w:t>
      </w:r>
    </w:p>
    <w:p w14:paraId="5C21E77A" w14:textId="3A74E04F" w:rsidR="00B66C73" w:rsidRDefault="00CF17B8" w:rsidP="00CF17B8">
      <w:pPr>
        <w:pStyle w:val="ListParagraph"/>
        <w:numPr>
          <w:ilvl w:val="0"/>
          <w:numId w:val="42"/>
        </w:numPr>
        <w:spacing w:line="240" w:lineRule="auto"/>
        <w:jc w:val="both"/>
        <w:rPr>
          <w:color w:val="000000"/>
          <w:szCs w:val="24"/>
        </w:rPr>
      </w:pPr>
      <w:r>
        <w:rPr>
          <w:color w:val="000000"/>
          <w:szCs w:val="24"/>
        </w:rPr>
        <w:t>In</w:t>
      </w:r>
      <w:r w:rsidR="00270DCC" w:rsidRPr="00CF17B8">
        <w:rPr>
          <w:color w:val="000000"/>
          <w:szCs w:val="24"/>
        </w:rPr>
        <w:t xml:space="preserve"> the 1990s, </w:t>
      </w:r>
      <w:r w:rsidRPr="00CF17B8">
        <w:rPr>
          <w:color w:val="000000"/>
          <w:szCs w:val="24"/>
        </w:rPr>
        <w:t xml:space="preserve">there were no </w:t>
      </w:r>
      <w:r>
        <w:rPr>
          <w:color w:val="000000"/>
          <w:szCs w:val="24"/>
        </w:rPr>
        <w:t xml:space="preserve">comprehensive, </w:t>
      </w:r>
      <w:r w:rsidRPr="00CF17B8">
        <w:rPr>
          <w:color w:val="000000"/>
          <w:szCs w:val="24"/>
        </w:rPr>
        <w:t xml:space="preserve">generally-recognized methods for assessing product risk and </w:t>
      </w:r>
      <w:r w:rsidR="00270DCC" w:rsidRPr="00CF17B8">
        <w:rPr>
          <w:color w:val="000000"/>
          <w:szCs w:val="24"/>
        </w:rPr>
        <w:t xml:space="preserve">the risks </w:t>
      </w:r>
      <w:r w:rsidRPr="00CF17B8">
        <w:rPr>
          <w:color w:val="000000"/>
          <w:szCs w:val="24"/>
        </w:rPr>
        <w:t xml:space="preserve">presented by </w:t>
      </w:r>
      <w:r w:rsidR="00270DCC" w:rsidRPr="00CF17B8">
        <w:rPr>
          <w:color w:val="000000"/>
          <w:szCs w:val="24"/>
        </w:rPr>
        <w:t xml:space="preserve">medical devices, and the need for risk mitigations, </w:t>
      </w:r>
      <w:r w:rsidRPr="00CF17B8">
        <w:rPr>
          <w:color w:val="000000"/>
          <w:szCs w:val="24"/>
        </w:rPr>
        <w:t xml:space="preserve">were left to the professional discretion of the engineering team charged with developing the devices.  </w:t>
      </w:r>
    </w:p>
    <w:p w14:paraId="219CB4A0" w14:textId="2F37832C" w:rsidR="00CF17B8" w:rsidRDefault="00CF17B8" w:rsidP="00CF17B8">
      <w:pPr>
        <w:pStyle w:val="ListParagraph"/>
        <w:numPr>
          <w:ilvl w:val="0"/>
          <w:numId w:val="42"/>
        </w:numPr>
        <w:spacing w:line="240" w:lineRule="auto"/>
        <w:jc w:val="both"/>
        <w:rPr>
          <w:color w:val="000000"/>
          <w:szCs w:val="24"/>
        </w:rPr>
      </w:pPr>
      <w:r>
        <w:rPr>
          <w:color w:val="000000"/>
          <w:szCs w:val="24"/>
        </w:rPr>
        <w:t xml:space="preserve">In the 2000s, ISO 14971 provided a comprehensive approach to managing the risks presented by medical devices, including the need for risk mitigations.  However, responsibility for performing this risk work largely remained with engineers. </w:t>
      </w:r>
    </w:p>
    <w:p w14:paraId="1DEAE85D" w14:textId="5193A512" w:rsidR="00CF17B8" w:rsidRDefault="00CF17B8" w:rsidP="00CF17B8">
      <w:pPr>
        <w:pStyle w:val="ListParagraph"/>
        <w:numPr>
          <w:ilvl w:val="0"/>
          <w:numId w:val="42"/>
        </w:numPr>
        <w:spacing w:line="240" w:lineRule="auto"/>
        <w:jc w:val="both"/>
        <w:rPr>
          <w:color w:val="000000"/>
          <w:szCs w:val="24"/>
        </w:rPr>
      </w:pPr>
      <w:r>
        <w:rPr>
          <w:color w:val="000000"/>
          <w:szCs w:val="24"/>
        </w:rPr>
        <w:t xml:space="preserve">In the 2010s, the industry’s risk maturity-level increased significantly.  While the probability and severity events after ISO 14971’s ‘hazardous situation’ were now generally estimated by </w:t>
      </w:r>
      <w:r w:rsidR="00C628BA">
        <w:rPr>
          <w:color w:val="000000"/>
          <w:szCs w:val="24"/>
        </w:rPr>
        <w:t>medical personnel</w:t>
      </w:r>
      <w:r>
        <w:rPr>
          <w:color w:val="000000"/>
          <w:szCs w:val="24"/>
        </w:rPr>
        <w:t xml:space="preserve">, engineers continued to complete the remainder of the Risk Management File. </w:t>
      </w:r>
    </w:p>
    <w:p w14:paraId="30D0191C" w14:textId="71DAD735" w:rsidR="00CF17B8" w:rsidRDefault="00CF17B8" w:rsidP="00CF17B8">
      <w:pPr>
        <w:pStyle w:val="ListParagraph"/>
        <w:numPr>
          <w:ilvl w:val="0"/>
          <w:numId w:val="42"/>
        </w:numPr>
        <w:spacing w:line="240" w:lineRule="auto"/>
        <w:jc w:val="both"/>
        <w:rPr>
          <w:color w:val="000000"/>
          <w:szCs w:val="24"/>
        </w:rPr>
      </w:pPr>
      <w:r>
        <w:rPr>
          <w:color w:val="000000"/>
          <w:szCs w:val="24"/>
        </w:rPr>
        <w:t xml:space="preserve">In the 2020s, </w:t>
      </w:r>
      <w:r w:rsidR="00D01831">
        <w:rPr>
          <w:color w:val="000000"/>
          <w:szCs w:val="24"/>
        </w:rPr>
        <w:t>risk maturity continued to grow</w:t>
      </w:r>
      <w:r>
        <w:rPr>
          <w:color w:val="000000"/>
          <w:szCs w:val="24"/>
        </w:rPr>
        <w:t xml:space="preserve">.  FMEAs were extended to include patient harms and the role of </w:t>
      </w:r>
      <w:r w:rsidR="00C628BA">
        <w:rPr>
          <w:color w:val="000000"/>
          <w:szCs w:val="24"/>
        </w:rPr>
        <w:t>medical personnel</w:t>
      </w:r>
      <w:r>
        <w:rPr>
          <w:color w:val="000000"/>
          <w:szCs w:val="24"/>
        </w:rPr>
        <w:t xml:space="preserve"> expanded to </w:t>
      </w:r>
      <w:r w:rsidR="00D01831">
        <w:rPr>
          <w:color w:val="000000"/>
          <w:szCs w:val="24"/>
        </w:rPr>
        <w:t xml:space="preserve">include non-local effects.  </w:t>
      </w:r>
    </w:p>
    <w:p w14:paraId="4C3AB0A2" w14:textId="77777777" w:rsidR="009C0AA9" w:rsidRDefault="009C0AA9" w:rsidP="009C0AA9">
      <w:pPr>
        <w:spacing w:line="240" w:lineRule="auto"/>
        <w:jc w:val="both"/>
        <w:rPr>
          <w:color w:val="000000"/>
          <w:szCs w:val="24"/>
        </w:rPr>
      </w:pPr>
      <w:r>
        <w:rPr>
          <w:color w:val="000000"/>
          <w:szCs w:val="24"/>
        </w:rPr>
        <w:t xml:space="preserve">Two trends emerge from the previous bullets: </w:t>
      </w:r>
    </w:p>
    <w:p w14:paraId="19AD6F9D" w14:textId="3FC20056" w:rsidR="005E4D84" w:rsidRPr="009C0AA9" w:rsidRDefault="005E4D84" w:rsidP="005E4D84">
      <w:pPr>
        <w:pStyle w:val="ListParagraph"/>
        <w:numPr>
          <w:ilvl w:val="0"/>
          <w:numId w:val="43"/>
        </w:numPr>
        <w:spacing w:line="240" w:lineRule="auto"/>
        <w:jc w:val="both"/>
        <w:rPr>
          <w:color w:val="000000"/>
          <w:szCs w:val="24"/>
        </w:rPr>
      </w:pPr>
      <w:r>
        <w:rPr>
          <w:color w:val="000000"/>
          <w:szCs w:val="24"/>
        </w:rPr>
        <w:t>Risk Management is becoming more formal and detailed</w:t>
      </w:r>
      <w:r w:rsidR="00A45E9E">
        <w:rPr>
          <w:color w:val="000000"/>
          <w:szCs w:val="24"/>
        </w:rPr>
        <w:t xml:space="preserve"> over time</w:t>
      </w:r>
      <w:r>
        <w:rPr>
          <w:color w:val="000000"/>
          <w:szCs w:val="24"/>
        </w:rPr>
        <w:t xml:space="preserve">, and </w:t>
      </w:r>
    </w:p>
    <w:p w14:paraId="2682DF71" w14:textId="6CCE4DA9" w:rsidR="009C0AA9" w:rsidRDefault="005E4D84" w:rsidP="009C0AA9">
      <w:pPr>
        <w:pStyle w:val="ListParagraph"/>
        <w:numPr>
          <w:ilvl w:val="0"/>
          <w:numId w:val="43"/>
        </w:numPr>
        <w:spacing w:line="240" w:lineRule="auto"/>
        <w:jc w:val="both"/>
        <w:rPr>
          <w:color w:val="000000"/>
          <w:szCs w:val="24"/>
        </w:rPr>
      </w:pPr>
      <w:r>
        <w:rPr>
          <w:color w:val="000000"/>
          <w:szCs w:val="24"/>
        </w:rPr>
        <w:t xml:space="preserve">The work performed by </w:t>
      </w:r>
      <w:r w:rsidR="00C628BA">
        <w:rPr>
          <w:color w:val="000000"/>
          <w:szCs w:val="24"/>
        </w:rPr>
        <w:t>medical personnel</w:t>
      </w:r>
      <w:r w:rsidR="009C0AA9">
        <w:rPr>
          <w:color w:val="000000"/>
          <w:szCs w:val="24"/>
        </w:rPr>
        <w:t xml:space="preserve"> is increasing</w:t>
      </w:r>
      <w:r>
        <w:rPr>
          <w:color w:val="000000"/>
          <w:szCs w:val="24"/>
        </w:rPr>
        <w:t>.</w:t>
      </w:r>
      <w:r w:rsidR="009C0AA9">
        <w:rPr>
          <w:color w:val="000000"/>
          <w:szCs w:val="24"/>
        </w:rPr>
        <w:t xml:space="preserve"> </w:t>
      </w:r>
    </w:p>
    <w:p w14:paraId="730BA777" w14:textId="702E8EC3" w:rsidR="009C0AA9" w:rsidRDefault="009C0AA9" w:rsidP="009C0AA9">
      <w:pPr>
        <w:spacing w:line="240" w:lineRule="auto"/>
        <w:jc w:val="both"/>
        <w:rPr>
          <w:color w:val="000000"/>
          <w:szCs w:val="24"/>
        </w:rPr>
      </w:pPr>
      <w:r>
        <w:rPr>
          <w:color w:val="000000"/>
          <w:szCs w:val="24"/>
        </w:rPr>
        <w:t>Because this method establishes the benefit of a medical treatment by looking at the change in the patient population’s health concerns before and after a treatment</w:t>
      </w:r>
      <w:r w:rsidR="005E4D84">
        <w:rPr>
          <w:color w:val="000000"/>
          <w:szCs w:val="24"/>
        </w:rPr>
        <w:t xml:space="preserve">, this method continues both identified trends.  </w:t>
      </w:r>
      <w:r w:rsidR="004359C7">
        <w:rPr>
          <w:color w:val="000000"/>
          <w:szCs w:val="24"/>
        </w:rPr>
        <w:t xml:space="preserve">And just as these trends have required </w:t>
      </w:r>
      <w:r w:rsidR="002041E2">
        <w:rPr>
          <w:color w:val="000000"/>
          <w:szCs w:val="24"/>
        </w:rPr>
        <w:t xml:space="preserve">companies to make resource changes </w:t>
      </w:r>
      <w:r w:rsidR="004359C7">
        <w:rPr>
          <w:color w:val="000000"/>
          <w:szCs w:val="24"/>
        </w:rPr>
        <w:t>to support</w:t>
      </w:r>
      <w:r w:rsidR="00A45E9E">
        <w:rPr>
          <w:color w:val="000000"/>
          <w:szCs w:val="24"/>
        </w:rPr>
        <w:t xml:space="preserve"> these changes</w:t>
      </w:r>
      <w:r w:rsidR="004359C7">
        <w:rPr>
          <w:color w:val="000000"/>
          <w:szCs w:val="24"/>
        </w:rPr>
        <w:t xml:space="preserve">, </w:t>
      </w:r>
      <w:r w:rsidR="00A45E9E">
        <w:rPr>
          <w:color w:val="000000"/>
          <w:szCs w:val="24"/>
        </w:rPr>
        <w:t xml:space="preserve">this method is a significant change from past practice and </w:t>
      </w:r>
      <w:r w:rsidR="004359C7">
        <w:rPr>
          <w:color w:val="000000"/>
          <w:szCs w:val="24"/>
        </w:rPr>
        <w:t xml:space="preserve">may require </w:t>
      </w:r>
      <w:r w:rsidR="00A45E9E">
        <w:rPr>
          <w:color w:val="000000"/>
          <w:szCs w:val="24"/>
        </w:rPr>
        <w:t xml:space="preserve">new </w:t>
      </w:r>
      <w:r w:rsidR="002041E2">
        <w:rPr>
          <w:color w:val="000000"/>
          <w:szCs w:val="24"/>
        </w:rPr>
        <w:t xml:space="preserve">resource </w:t>
      </w:r>
      <w:r w:rsidR="004359C7">
        <w:rPr>
          <w:color w:val="000000"/>
          <w:szCs w:val="24"/>
        </w:rPr>
        <w:t>changes</w:t>
      </w:r>
      <w:r w:rsidR="002041E2">
        <w:rPr>
          <w:color w:val="000000"/>
          <w:szCs w:val="24"/>
        </w:rPr>
        <w:t xml:space="preserve">.  </w:t>
      </w:r>
    </w:p>
    <w:p w14:paraId="6C54259A" w14:textId="4A0E7975" w:rsidR="00A45E9E" w:rsidRDefault="00A45E9E" w:rsidP="009C0AA9">
      <w:pPr>
        <w:spacing w:line="240" w:lineRule="auto"/>
        <w:jc w:val="both"/>
        <w:rPr>
          <w:color w:val="000000"/>
          <w:szCs w:val="24"/>
        </w:rPr>
      </w:pPr>
      <w:r>
        <w:rPr>
          <w:color w:val="000000"/>
          <w:szCs w:val="24"/>
        </w:rPr>
        <w:t xml:space="preserve">With that said, the author wants to acknowledge that most companies hire physicians </w:t>
      </w:r>
      <w:r w:rsidR="00620185">
        <w:rPr>
          <w:color w:val="000000"/>
          <w:szCs w:val="24"/>
        </w:rPr>
        <w:t xml:space="preserve">as the </w:t>
      </w:r>
      <w:r>
        <w:rPr>
          <w:color w:val="000000"/>
          <w:szCs w:val="24"/>
        </w:rPr>
        <w:t xml:space="preserve">medical personnel and highlight alternative resources that </w:t>
      </w:r>
      <w:r w:rsidR="008562EB">
        <w:rPr>
          <w:color w:val="000000"/>
          <w:szCs w:val="24"/>
        </w:rPr>
        <w:t xml:space="preserve">the author has seen </w:t>
      </w:r>
      <w:r w:rsidR="00620185">
        <w:rPr>
          <w:color w:val="000000"/>
          <w:szCs w:val="24"/>
        </w:rPr>
        <w:t xml:space="preserve">both </w:t>
      </w:r>
      <w:r w:rsidR="008562EB">
        <w:rPr>
          <w:color w:val="000000"/>
          <w:szCs w:val="24"/>
        </w:rPr>
        <w:t xml:space="preserve">significantly </w:t>
      </w:r>
      <w:r>
        <w:rPr>
          <w:color w:val="000000"/>
          <w:szCs w:val="24"/>
        </w:rPr>
        <w:t xml:space="preserve">lighten the load on </w:t>
      </w:r>
      <w:r w:rsidR="00620185">
        <w:rPr>
          <w:color w:val="000000"/>
          <w:szCs w:val="24"/>
        </w:rPr>
        <w:t>physicians and improve the quality of work</w:t>
      </w:r>
      <w:r>
        <w:rPr>
          <w:color w:val="000000"/>
          <w:szCs w:val="24"/>
        </w:rPr>
        <w:t xml:space="preserve">.  </w:t>
      </w:r>
    </w:p>
    <w:p w14:paraId="0D768189" w14:textId="46F86466" w:rsidR="00A45E9E" w:rsidRDefault="00A45E9E" w:rsidP="00A45E9E">
      <w:pPr>
        <w:pStyle w:val="ListParagraph"/>
        <w:numPr>
          <w:ilvl w:val="0"/>
          <w:numId w:val="44"/>
        </w:numPr>
        <w:spacing w:line="240" w:lineRule="auto"/>
        <w:jc w:val="both"/>
        <w:rPr>
          <w:color w:val="000000"/>
          <w:szCs w:val="24"/>
        </w:rPr>
      </w:pPr>
      <w:r w:rsidRPr="00A45E9E">
        <w:rPr>
          <w:color w:val="000000"/>
          <w:szCs w:val="24"/>
        </w:rPr>
        <w:t xml:space="preserve">Sales and Marketing personnel very often have intimate knowledge of the literature and practices surrounding patients’ health concerns and, while their contributions may need verification by medical personnel, these people may be able to </w:t>
      </w:r>
      <w:r>
        <w:rPr>
          <w:color w:val="000000"/>
          <w:szCs w:val="24"/>
        </w:rPr>
        <w:t xml:space="preserve">characterize significant portions of the patients’ health risks </w:t>
      </w:r>
      <w:r w:rsidRPr="00A45E9E">
        <w:rPr>
          <w:color w:val="000000"/>
          <w:szCs w:val="24"/>
        </w:rPr>
        <w:t xml:space="preserve">and </w:t>
      </w:r>
      <w:r>
        <w:rPr>
          <w:color w:val="000000"/>
          <w:szCs w:val="24"/>
        </w:rPr>
        <w:t xml:space="preserve">dramatically </w:t>
      </w:r>
      <w:r w:rsidRPr="00A45E9E">
        <w:rPr>
          <w:color w:val="000000"/>
          <w:szCs w:val="24"/>
        </w:rPr>
        <w:t xml:space="preserve">reduce </w:t>
      </w:r>
      <w:r>
        <w:rPr>
          <w:color w:val="000000"/>
          <w:szCs w:val="24"/>
        </w:rPr>
        <w:t xml:space="preserve">the </w:t>
      </w:r>
      <w:r w:rsidRPr="00A45E9E">
        <w:rPr>
          <w:color w:val="000000"/>
          <w:szCs w:val="24"/>
        </w:rPr>
        <w:t xml:space="preserve">work by medical personnel.  </w:t>
      </w:r>
    </w:p>
    <w:p w14:paraId="2DD695C6" w14:textId="53C410F9" w:rsidR="00A45E9E" w:rsidRDefault="00A45E9E" w:rsidP="00A45E9E">
      <w:pPr>
        <w:pStyle w:val="ListParagraph"/>
        <w:numPr>
          <w:ilvl w:val="0"/>
          <w:numId w:val="44"/>
        </w:numPr>
        <w:spacing w:line="240" w:lineRule="auto"/>
        <w:jc w:val="both"/>
        <w:rPr>
          <w:color w:val="000000"/>
          <w:szCs w:val="24"/>
        </w:rPr>
      </w:pPr>
      <w:r>
        <w:rPr>
          <w:color w:val="000000"/>
          <w:szCs w:val="24"/>
        </w:rPr>
        <w:t xml:space="preserve">Similarly, nursing staff who specialize in relevant health concerns can also </w:t>
      </w:r>
      <w:r w:rsidRPr="00A45E9E">
        <w:rPr>
          <w:color w:val="000000"/>
          <w:szCs w:val="24"/>
        </w:rPr>
        <w:t xml:space="preserve">the work and </w:t>
      </w:r>
      <w:r w:rsidR="00340C8B" w:rsidRPr="00A45E9E">
        <w:rPr>
          <w:color w:val="000000"/>
          <w:szCs w:val="24"/>
        </w:rPr>
        <w:t xml:space="preserve">may be able to </w:t>
      </w:r>
      <w:r w:rsidR="00340C8B">
        <w:rPr>
          <w:color w:val="000000"/>
          <w:szCs w:val="24"/>
        </w:rPr>
        <w:t>characterize significant portions of the patients’ health risks</w:t>
      </w:r>
      <w:r w:rsidRPr="00A45E9E">
        <w:rPr>
          <w:color w:val="000000"/>
          <w:szCs w:val="24"/>
        </w:rPr>
        <w:t xml:space="preserve">.  </w:t>
      </w:r>
    </w:p>
    <w:p w14:paraId="158EDA67" w14:textId="1604A62E" w:rsidR="00A45E9E" w:rsidRPr="00A45E9E" w:rsidRDefault="00340C8B" w:rsidP="00A45E9E">
      <w:pPr>
        <w:pStyle w:val="ListParagraph"/>
        <w:numPr>
          <w:ilvl w:val="0"/>
          <w:numId w:val="44"/>
        </w:numPr>
        <w:spacing w:line="240" w:lineRule="auto"/>
        <w:jc w:val="both"/>
        <w:rPr>
          <w:color w:val="000000"/>
          <w:szCs w:val="24"/>
        </w:rPr>
      </w:pPr>
      <w:r>
        <w:rPr>
          <w:color w:val="000000"/>
          <w:szCs w:val="24"/>
        </w:rPr>
        <w:t>A third group who can lighten the load that is often given to physicians are c</w:t>
      </w:r>
      <w:r w:rsidR="00A45E9E">
        <w:rPr>
          <w:color w:val="000000"/>
          <w:szCs w:val="24"/>
        </w:rPr>
        <w:t>linicians</w:t>
      </w:r>
      <w:r>
        <w:rPr>
          <w:color w:val="000000"/>
          <w:szCs w:val="24"/>
        </w:rPr>
        <w:t xml:space="preserve"> and/or clinical researchers. </w:t>
      </w:r>
    </w:p>
    <w:p w14:paraId="00ECB52D" w14:textId="72468B99" w:rsidR="008562EB" w:rsidRDefault="008562EB" w:rsidP="009C0AA9">
      <w:pPr>
        <w:spacing w:line="240" w:lineRule="auto"/>
        <w:jc w:val="both"/>
        <w:rPr>
          <w:color w:val="000000"/>
          <w:szCs w:val="24"/>
        </w:rPr>
      </w:pPr>
      <w:r>
        <w:rPr>
          <w:color w:val="000000"/>
          <w:szCs w:val="24"/>
        </w:rPr>
        <w:t xml:space="preserve">If addition to </w:t>
      </w:r>
      <w:r w:rsidR="00C61C45">
        <w:rPr>
          <w:color w:val="000000"/>
          <w:szCs w:val="24"/>
        </w:rPr>
        <w:t xml:space="preserve">the people in the previous three bullets </w:t>
      </w:r>
      <w:r>
        <w:rPr>
          <w:color w:val="000000"/>
          <w:szCs w:val="24"/>
        </w:rPr>
        <w:t>providing additional resources, it should be emphasized that Risk Management is an activity that is best performed cross-functionally</w:t>
      </w:r>
      <w:r>
        <w:rPr>
          <w:rStyle w:val="FootnoteReference"/>
          <w:color w:val="000000"/>
          <w:szCs w:val="24"/>
        </w:rPr>
        <w:footnoteReference w:id="33"/>
      </w:r>
      <w:r>
        <w:rPr>
          <w:color w:val="000000"/>
          <w:szCs w:val="24"/>
        </w:rPr>
        <w:t xml:space="preserve">, so that </w:t>
      </w:r>
      <w:r w:rsidR="00C61C45">
        <w:rPr>
          <w:color w:val="000000"/>
          <w:szCs w:val="24"/>
        </w:rPr>
        <w:t xml:space="preserve">the varied </w:t>
      </w:r>
      <w:r>
        <w:rPr>
          <w:color w:val="000000"/>
          <w:szCs w:val="24"/>
        </w:rPr>
        <w:t>perspective</w:t>
      </w:r>
      <w:r w:rsidR="00C61C45">
        <w:rPr>
          <w:color w:val="000000"/>
          <w:szCs w:val="24"/>
        </w:rPr>
        <w:t>s</w:t>
      </w:r>
      <w:r>
        <w:rPr>
          <w:color w:val="000000"/>
          <w:szCs w:val="24"/>
        </w:rPr>
        <w:t xml:space="preserve"> of a variety of </w:t>
      </w:r>
      <w:r w:rsidR="00C61C45">
        <w:rPr>
          <w:color w:val="000000"/>
          <w:szCs w:val="24"/>
        </w:rPr>
        <w:t>people</w:t>
      </w:r>
      <w:r>
        <w:rPr>
          <w:color w:val="000000"/>
          <w:szCs w:val="24"/>
        </w:rPr>
        <w:t xml:space="preserve">, are all fed into a common understanding of the risk.  For this reason, determinations of the benefit of a treatment get stronger when the work of physicians </w:t>
      </w:r>
      <w:r w:rsidR="00C61C45">
        <w:rPr>
          <w:color w:val="000000"/>
          <w:szCs w:val="24"/>
        </w:rPr>
        <w:t>are</w:t>
      </w:r>
      <w:r>
        <w:rPr>
          <w:color w:val="000000"/>
          <w:szCs w:val="24"/>
        </w:rPr>
        <w:t xml:space="preserve"> augmented by the people in the previous three bullets.  </w:t>
      </w:r>
    </w:p>
    <w:p w14:paraId="126B5FE2" w14:textId="77777777" w:rsidR="00A37E69" w:rsidRPr="00424731" w:rsidRDefault="00A37E69" w:rsidP="00A37E69">
      <w:pPr>
        <w:spacing w:after="0" w:line="240" w:lineRule="auto"/>
        <w:rPr>
          <w:color w:val="000000"/>
          <w:szCs w:val="24"/>
        </w:rPr>
      </w:pPr>
    </w:p>
    <w:p w14:paraId="5AEA8188" w14:textId="2849FEEE" w:rsidR="00E937BB" w:rsidRPr="006A4630" w:rsidRDefault="00E937BB" w:rsidP="00E937BB">
      <w:pPr>
        <w:pStyle w:val="Heading2"/>
        <w:rPr>
          <w:rFonts w:eastAsia="TimesNewRomanPSMT" w:cs="TimesNewRomanPSMT"/>
          <w:b/>
          <w:color w:val="000000"/>
          <w:u w:val="single"/>
        </w:rPr>
      </w:pPr>
      <w:bookmarkStart w:id="118" w:name="_Toc156728675"/>
      <w:r w:rsidRPr="006A4630">
        <w:rPr>
          <w:rFonts w:eastAsia="TimesNewRomanPSMT" w:cs="TimesNewRomanPSMT"/>
          <w:b/>
          <w:color w:val="000000"/>
          <w:u w:val="single"/>
        </w:rPr>
        <w:lastRenderedPageBreak/>
        <w:t>Using th</w:t>
      </w:r>
      <w:r w:rsidR="00E51421">
        <w:rPr>
          <w:rFonts w:eastAsia="TimesNewRomanPSMT" w:cs="TimesNewRomanPSMT"/>
          <w:b/>
          <w:color w:val="000000"/>
          <w:u w:val="single"/>
        </w:rPr>
        <w:t>e</w:t>
      </w:r>
      <w:r w:rsidRPr="006A4630">
        <w:rPr>
          <w:rFonts w:eastAsia="TimesNewRomanPSMT" w:cs="TimesNewRomanPSMT"/>
          <w:b/>
          <w:color w:val="000000"/>
          <w:u w:val="single"/>
        </w:rPr>
        <w:t xml:space="preserve"> Method for </w:t>
      </w:r>
      <w:r w:rsidR="0029080F">
        <w:rPr>
          <w:rFonts w:eastAsia="TimesNewRomanPSMT" w:cs="TimesNewRomanPSMT"/>
          <w:b/>
          <w:color w:val="000000"/>
          <w:u w:val="single"/>
        </w:rPr>
        <w:t xml:space="preserve">a </w:t>
      </w:r>
      <w:r w:rsidRPr="006A4630">
        <w:rPr>
          <w:rFonts w:eastAsia="TimesNewRomanPSMT" w:cs="TimesNewRomanPSMT"/>
          <w:b/>
          <w:color w:val="000000"/>
          <w:u w:val="single"/>
        </w:rPr>
        <w:t>PMA or 510(k)</w:t>
      </w:r>
      <w:bookmarkEnd w:id="118"/>
    </w:p>
    <w:p w14:paraId="717829ED" w14:textId="6208CAE9" w:rsidR="00E937BB" w:rsidRPr="00424731" w:rsidRDefault="00E937BB" w:rsidP="00E937BB">
      <w:pPr>
        <w:autoSpaceDE w:val="0"/>
        <w:spacing w:line="240" w:lineRule="auto"/>
        <w:jc w:val="both"/>
        <w:rPr>
          <w:color w:val="000000"/>
          <w:szCs w:val="24"/>
        </w:rPr>
      </w:pPr>
      <w:r w:rsidRPr="00424731">
        <w:rPr>
          <w:color w:val="000000"/>
          <w:szCs w:val="24"/>
        </w:rPr>
        <w:t xml:space="preserve">Submissions to FDA to obtain 510(k) clearance to market a medical device are based on a company’s ability to show equivalence </w:t>
      </w:r>
      <w:r>
        <w:rPr>
          <w:color w:val="000000"/>
          <w:szCs w:val="24"/>
        </w:rPr>
        <w:t xml:space="preserve">of the product they want to market with </w:t>
      </w:r>
      <w:r w:rsidRPr="00424731">
        <w:rPr>
          <w:color w:val="000000"/>
          <w:szCs w:val="24"/>
        </w:rPr>
        <w:t xml:space="preserve">a predicate device that was </w:t>
      </w:r>
      <w:r>
        <w:rPr>
          <w:color w:val="000000"/>
          <w:szCs w:val="24"/>
        </w:rPr>
        <w:t xml:space="preserve">already </w:t>
      </w:r>
      <w:r w:rsidRPr="00424731">
        <w:rPr>
          <w:color w:val="000000"/>
          <w:szCs w:val="24"/>
        </w:rPr>
        <w:t xml:space="preserve">on market in 1976 and whose </w:t>
      </w:r>
      <w:r>
        <w:rPr>
          <w:color w:val="000000"/>
          <w:szCs w:val="24"/>
        </w:rPr>
        <w:t xml:space="preserve">efficacy (i.e., ‘benefit’) and </w:t>
      </w:r>
      <w:r w:rsidRPr="00424731">
        <w:rPr>
          <w:color w:val="000000"/>
          <w:szCs w:val="24"/>
        </w:rPr>
        <w:t xml:space="preserve">safety </w:t>
      </w:r>
      <w:r>
        <w:rPr>
          <w:color w:val="000000"/>
          <w:szCs w:val="24"/>
        </w:rPr>
        <w:t xml:space="preserve">(i.e., ‘risk’) have </w:t>
      </w:r>
      <w:r w:rsidRPr="00424731">
        <w:rPr>
          <w:color w:val="000000"/>
          <w:szCs w:val="24"/>
        </w:rPr>
        <w:t xml:space="preserve">been shown over time to be acceptable.  For this reason, a </w:t>
      </w:r>
      <w:r w:rsidR="00EC42E0">
        <w:rPr>
          <w:color w:val="000000"/>
          <w:szCs w:val="24"/>
        </w:rPr>
        <w:t>Benefit-Risk</w:t>
      </w:r>
      <w:r w:rsidRPr="00424731">
        <w:rPr>
          <w:color w:val="000000"/>
          <w:szCs w:val="24"/>
        </w:rPr>
        <w:t xml:space="preserve"> Analysis is not nearly as important for a 510(k) as for </w:t>
      </w:r>
      <w:r>
        <w:rPr>
          <w:color w:val="000000"/>
          <w:szCs w:val="24"/>
        </w:rPr>
        <w:t xml:space="preserve">other submission to obtain clearance to market a device; e.g., </w:t>
      </w:r>
      <w:r w:rsidRPr="00424731">
        <w:rPr>
          <w:color w:val="000000"/>
          <w:szCs w:val="24"/>
        </w:rPr>
        <w:t xml:space="preserve">a PMA (Pre-Market Authorization). </w:t>
      </w:r>
    </w:p>
    <w:p w14:paraId="29ED5C0A" w14:textId="3F43CD17" w:rsidR="00E937BB" w:rsidRPr="00424731" w:rsidRDefault="00E937BB" w:rsidP="00E937BB">
      <w:pPr>
        <w:autoSpaceDE w:val="0"/>
        <w:spacing w:line="240" w:lineRule="auto"/>
        <w:jc w:val="both"/>
        <w:rPr>
          <w:color w:val="000000"/>
          <w:szCs w:val="24"/>
        </w:rPr>
      </w:pPr>
      <w:r w:rsidRPr="00424731">
        <w:rPr>
          <w:color w:val="000000"/>
          <w:szCs w:val="24"/>
        </w:rPr>
        <w:t xml:space="preserve">PMA submissions are for products that were introduced since 1976 and, for this reason, their </w:t>
      </w:r>
      <w:r>
        <w:rPr>
          <w:color w:val="000000"/>
          <w:szCs w:val="24"/>
        </w:rPr>
        <w:t xml:space="preserve">efficacy and </w:t>
      </w:r>
      <w:r w:rsidRPr="00424731">
        <w:rPr>
          <w:color w:val="000000"/>
          <w:szCs w:val="24"/>
        </w:rPr>
        <w:t xml:space="preserve">safety record is </w:t>
      </w:r>
      <w:r>
        <w:rPr>
          <w:color w:val="000000"/>
          <w:szCs w:val="24"/>
        </w:rPr>
        <w:t xml:space="preserve">considered </w:t>
      </w:r>
      <w:r w:rsidRPr="00424731">
        <w:rPr>
          <w:color w:val="000000"/>
          <w:szCs w:val="24"/>
        </w:rPr>
        <w:t xml:space="preserve">insufficient to gain approval to market based on the safety record of other PMA products.  For PMA products, a </w:t>
      </w:r>
      <w:r w:rsidR="00EC42E0">
        <w:rPr>
          <w:color w:val="000000"/>
          <w:szCs w:val="24"/>
        </w:rPr>
        <w:t>Benefit-Risk</w:t>
      </w:r>
      <w:r w:rsidRPr="00424731">
        <w:rPr>
          <w:color w:val="000000"/>
          <w:szCs w:val="24"/>
        </w:rPr>
        <w:t xml:space="preserve"> Analysis is key to showing the product </w:t>
      </w:r>
      <w:r>
        <w:rPr>
          <w:color w:val="000000"/>
          <w:szCs w:val="24"/>
        </w:rPr>
        <w:t>may be marketed</w:t>
      </w:r>
      <w:r w:rsidRPr="00424731">
        <w:rPr>
          <w:color w:val="000000"/>
          <w:szCs w:val="24"/>
        </w:rPr>
        <w:t xml:space="preserve">. </w:t>
      </w:r>
    </w:p>
    <w:p w14:paraId="11F0B7B0" w14:textId="77777777" w:rsidR="00E937BB" w:rsidRPr="00424731" w:rsidRDefault="00E937BB" w:rsidP="00E937BB">
      <w:pPr>
        <w:autoSpaceDE w:val="0"/>
        <w:spacing w:line="240" w:lineRule="auto"/>
        <w:jc w:val="both"/>
        <w:rPr>
          <w:color w:val="000000"/>
          <w:szCs w:val="24"/>
        </w:rPr>
      </w:pPr>
      <w:r w:rsidRPr="00424731">
        <w:rPr>
          <w:color w:val="000000"/>
          <w:szCs w:val="24"/>
        </w:rPr>
        <w:t xml:space="preserve">Many products are based primarily on pre-1976 product technology but have added some new feature or </w:t>
      </w:r>
      <w:r>
        <w:rPr>
          <w:color w:val="000000"/>
          <w:szCs w:val="24"/>
        </w:rPr>
        <w:t xml:space="preserve">medical </w:t>
      </w:r>
      <w:r w:rsidRPr="00424731">
        <w:rPr>
          <w:color w:val="000000"/>
          <w:szCs w:val="24"/>
        </w:rPr>
        <w:t xml:space="preserve">treatment that did not exist prior to 1976.  These products submission to FDA for clearance to market the product should be a blend of the methods in the two previous paragraphs: </w:t>
      </w:r>
    </w:p>
    <w:p w14:paraId="5AC39C6C" w14:textId="77777777" w:rsidR="00E937BB" w:rsidRPr="00424731" w:rsidRDefault="00E937BB" w:rsidP="00E937BB">
      <w:pPr>
        <w:autoSpaceDE w:val="0"/>
        <w:spacing w:line="240" w:lineRule="auto"/>
        <w:jc w:val="both"/>
        <w:rPr>
          <w:color w:val="000000"/>
          <w:szCs w:val="24"/>
        </w:rPr>
      </w:pPr>
      <w:r w:rsidRPr="00424731">
        <w:rPr>
          <w:color w:val="000000"/>
          <w:szCs w:val="24"/>
        </w:rPr>
        <w:t xml:space="preserve">For those features that are equivalent to pre-1976 products with an acceptable safety record, a 510(k) submission is appropriate. </w:t>
      </w:r>
    </w:p>
    <w:p w14:paraId="1D54D200" w14:textId="06DA57FD" w:rsidR="00E937BB" w:rsidRPr="00424731" w:rsidRDefault="00E937BB" w:rsidP="00E937BB">
      <w:pPr>
        <w:autoSpaceDE w:val="0"/>
        <w:spacing w:line="240" w:lineRule="auto"/>
        <w:jc w:val="both"/>
        <w:rPr>
          <w:color w:val="000000"/>
          <w:szCs w:val="24"/>
        </w:rPr>
      </w:pPr>
      <w:r w:rsidRPr="00424731">
        <w:rPr>
          <w:color w:val="000000"/>
          <w:szCs w:val="24"/>
        </w:rPr>
        <w:t xml:space="preserve">For those features that were </w:t>
      </w:r>
      <w:r w:rsidRPr="00424731">
        <w:rPr>
          <w:i/>
          <w:iCs/>
          <w:color w:val="000000"/>
          <w:szCs w:val="24"/>
        </w:rPr>
        <w:t>not</w:t>
      </w:r>
      <w:r w:rsidRPr="00424731">
        <w:rPr>
          <w:color w:val="000000"/>
          <w:szCs w:val="24"/>
        </w:rPr>
        <w:t xml:space="preserve"> present on any pre-1976 product with an acceptable safety record, a </w:t>
      </w:r>
      <w:r w:rsidR="00EC42E0">
        <w:rPr>
          <w:color w:val="000000"/>
          <w:szCs w:val="24"/>
        </w:rPr>
        <w:t>Benefit-Risk</w:t>
      </w:r>
      <w:r w:rsidRPr="00424731">
        <w:rPr>
          <w:color w:val="000000"/>
          <w:szCs w:val="24"/>
        </w:rPr>
        <w:t xml:space="preserve"> Analysis of these features is appropriate. </w:t>
      </w:r>
    </w:p>
    <w:p w14:paraId="5A08F9A7" w14:textId="77777777" w:rsidR="00E937BB" w:rsidRPr="00424731" w:rsidRDefault="00E937BB" w:rsidP="00E937BB">
      <w:pPr>
        <w:spacing w:line="240" w:lineRule="auto"/>
        <w:jc w:val="both"/>
        <w:rPr>
          <w:color w:val="000000"/>
          <w:szCs w:val="24"/>
        </w:rPr>
      </w:pPr>
      <w:r w:rsidRPr="00424731">
        <w:rPr>
          <w:color w:val="000000"/>
          <w:szCs w:val="24"/>
        </w:rPr>
        <w:t xml:space="preserve">The submission for market clearance would, then, have elements of both 510(k) and PMA clearances to market a medical device. </w:t>
      </w:r>
    </w:p>
    <w:p w14:paraId="255E6997" w14:textId="77777777" w:rsidR="00E937BB" w:rsidRPr="00424731" w:rsidRDefault="00E937BB" w:rsidP="00E937BB">
      <w:pPr>
        <w:spacing w:after="0" w:line="240" w:lineRule="auto"/>
        <w:rPr>
          <w:color w:val="000000"/>
          <w:szCs w:val="24"/>
        </w:rPr>
      </w:pPr>
    </w:p>
    <w:p w14:paraId="32058B3E" w14:textId="77777777" w:rsidR="00E937BB" w:rsidRPr="006A4630" w:rsidRDefault="00E937BB" w:rsidP="00E937BB">
      <w:pPr>
        <w:pStyle w:val="Heading2"/>
        <w:rPr>
          <w:rFonts w:eastAsia="TimesNewRomanPSMT" w:cs="TimesNewRomanPSMT"/>
          <w:b/>
          <w:color w:val="000000"/>
          <w:u w:val="single"/>
        </w:rPr>
      </w:pPr>
      <w:bookmarkStart w:id="119" w:name="_Toc156728676"/>
      <w:r w:rsidRPr="006A4630">
        <w:rPr>
          <w:rFonts w:eastAsia="TimesNewRomanPSMT" w:cs="TimesNewRomanPSMT"/>
          <w:b/>
          <w:color w:val="000000"/>
          <w:u w:val="single"/>
        </w:rPr>
        <w:t>ISO 14971</w:t>
      </w:r>
      <w:bookmarkEnd w:id="119"/>
    </w:p>
    <w:p w14:paraId="19BB84A5" w14:textId="7DB51147" w:rsidR="00E937BB" w:rsidRPr="00424731" w:rsidRDefault="00E937BB" w:rsidP="00E937BB">
      <w:pPr>
        <w:keepNext/>
        <w:autoSpaceDE w:val="0"/>
        <w:spacing w:line="240" w:lineRule="auto"/>
        <w:jc w:val="both"/>
        <w:rPr>
          <w:rFonts w:eastAsia="TimesNewRomanPSMT" w:cs="TimesNewRomanPSMT"/>
          <w:bCs/>
          <w:color w:val="000000"/>
          <w:szCs w:val="24"/>
        </w:rPr>
      </w:pPr>
      <w:r>
        <w:rPr>
          <w:rFonts w:eastAsiaTheme="minorEastAsia"/>
        </w:rPr>
        <w:t xml:space="preserve">ISO 14971 defines the concept of ‘acceptable’ and ‘unacceptable’ risks, based on a Risk Policy that is approved Top Management and </w:t>
      </w:r>
      <w:r w:rsidRPr="009944CE">
        <w:rPr>
          <w:rFonts w:eastAsiaTheme="minorEastAsia"/>
        </w:rPr>
        <w:t>establish</w:t>
      </w:r>
      <w:r>
        <w:rPr>
          <w:rFonts w:eastAsiaTheme="minorEastAsia"/>
        </w:rPr>
        <w:t>es</w:t>
      </w:r>
      <w:r w:rsidRPr="009944CE">
        <w:rPr>
          <w:rFonts w:eastAsiaTheme="minorEastAsia"/>
        </w:rPr>
        <w:t xml:space="preserve"> criteria for risk acceptability</w:t>
      </w:r>
      <w:r>
        <w:rPr>
          <w:rStyle w:val="FootnoteReference"/>
          <w:rFonts w:eastAsiaTheme="minorEastAsia"/>
        </w:rPr>
        <w:footnoteReference w:id="34"/>
      </w:r>
      <w:r>
        <w:rPr>
          <w:rFonts w:eastAsiaTheme="minorEastAsia"/>
        </w:rPr>
        <w:t xml:space="preserve">.  If this policy allows Risk Management decisions without considering acceptable risks, then the </w:t>
      </w:r>
      <w:r w:rsidR="00EC42E0">
        <w:rPr>
          <w:rFonts w:eastAsiaTheme="minorEastAsia"/>
        </w:rPr>
        <w:t>Benefit-Risk</w:t>
      </w:r>
      <w:r>
        <w:rPr>
          <w:rFonts w:eastAsiaTheme="minorEastAsia"/>
        </w:rPr>
        <w:t xml:space="preserve"> analysis in this method can be simplified to only unacceptable risks.  </w:t>
      </w:r>
    </w:p>
    <w:p w14:paraId="49DC6D7B" w14:textId="77777777" w:rsidR="00E937BB" w:rsidRPr="00424731" w:rsidRDefault="00E937BB" w:rsidP="00E937BB">
      <w:pPr>
        <w:spacing w:after="0" w:line="240" w:lineRule="auto"/>
        <w:rPr>
          <w:rFonts w:eastAsia="TimesNewRomanPSMT" w:cs="TimesNewRomanPSMT"/>
          <w:color w:val="000000"/>
          <w:szCs w:val="24"/>
        </w:rPr>
      </w:pPr>
    </w:p>
    <w:p w14:paraId="264AB29E" w14:textId="77777777" w:rsidR="00B66C73" w:rsidRPr="006A4630" w:rsidRDefault="00B66C73" w:rsidP="00184FB5">
      <w:pPr>
        <w:pStyle w:val="Heading2"/>
        <w:rPr>
          <w:rFonts w:eastAsia="TimesNewRomanPSMT" w:cs="TimesNewRomanPSMT"/>
          <w:b/>
          <w:color w:val="000000"/>
          <w:u w:val="single"/>
        </w:rPr>
      </w:pPr>
      <w:bookmarkStart w:id="120" w:name="_Toc156728677"/>
      <w:r w:rsidRPr="006A4630">
        <w:rPr>
          <w:rFonts w:eastAsia="TimesNewRomanPSMT" w:cs="TimesNewRomanPSMT"/>
          <w:b/>
          <w:color w:val="000000"/>
          <w:u w:val="single"/>
        </w:rPr>
        <w:t>Dominant Risks</w:t>
      </w:r>
      <w:bookmarkEnd w:id="120"/>
    </w:p>
    <w:p w14:paraId="1AB31810" w14:textId="1654609B" w:rsidR="00B66C73" w:rsidRDefault="00B66C73" w:rsidP="00B66C73">
      <w:pPr>
        <w:autoSpaceDE w:val="0"/>
        <w:spacing w:line="240" w:lineRule="auto"/>
        <w:jc w:val="both"/>
        <w:rPr>
          <w:rFonts w:eastAsia="TimesNewRomanPSMT" w:cs="TimesNewRomanPSMT"/>
          <w:bCs/>
          <w:color w:val="000000"/>
          <w:szCs w:val="24"/>
        </w:rPr>
      </w:pPr>
      <w:r w:rsidRPr="00424731">
        <w:rPr>
          <w:rFonts w:eastAsia="TimesNewRomanPSMT" w:cs="TimesNewRomanPSMT"/>
          <w:bCs/>
          <w:color w:val="000000"/>
          <w:szCs w:val="24"/>
        </w:rPr>
        <w:t>While</w:t>
      </w:r>
      <w:r>
        <w:rPr>
          <w:rFonts w:eastAsia="TimesNewRomanPSMT" w:cs="TimesNewRomanPSMT"/>
          <w:bCs/>
          <w:color w:val="000000"/>
          <w:szCs w:val="24"/>
        </w:rPr>
        <w:t xml:space="preserv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00DB3F76">
        <w:t xml:space="preserve"> </w:t>
      </w:r>
      <w:r w:rsidRPr="00424731">
        <w:rPr>
          <w:rFonts w:eastAsia="TimesNewRomanPSMT" w:cs="TimesNewRomanPSMT"/>
          <w:bCs/>
          <w:color w:val="000000"/>
          <w:szCs w:val="24"/>
        </w:rPr>
        <w:t>allows for a large number of risks to be considered</w:t>
      </w:r>
      <w:r>
        <w:rPr>
          <w:rFonts w:eastAsia="TimesNewRomanPSMT" w:cs="TimesNewRomanPSMT"/>
          <w:bCs/>
          <w:color w:val="000000"/>
          <w:szCs w:val="24"/>
        </w:rPr>
        <w:t>,</w:t>
      </w:r>
      <w:r w:rsidRPr="00424731">
        <w:rPr>
          <w:rFonts w:eastAsia="TimesNewRomanPSMT" w:cs="TimesNewRomanPSMT"/>
          <w:bCs/>
          <w:color w:val="000000"/>
          <w:szCs w:val="24"/>
        </w:rPr>
        <w:t xml:space="preserve"> and while this can be necessary to show whether benefit exceeds risk for products whe</w:t>
      </w:r>
      <w:r>
        <w:rPr>
          <w:rFonts w:eastAsia="TimesNewRomanPSMT" w:cs="TimesNewRomanPSMT"/>
          <w:bCs/>
          <w:color w:val="000000"/>
          <w:szCs w:val="24"/>
        </w:rPr>
        <w:t>n</w:t>
      </w:r>
      <w:r w:rsidRPr="00424731">
        <w:rPr>
          <w:rFonts w:eastAsia="TimesNewRomanPSMT" w:cs="TimesNewRomanPSMT"/>
          <w:bCs/>
          <w:color w:val="000000"/>
          <w:szCs w:val="24"/>
        </w:rPr>
        <w:t xml:space="preserve"> the amount of benefit and risk are nearly equal,</w:t>
      </w:r>
      <w:r>
        <w:rPr>
          <w:rFonts w:eastAsia="TimesNewRomanPSMT" w:cs="TimesNewRomanPSMT"/>
          <w:bCs/>
          <w:color w:val="000000"/>
          <w:szCs w:val="24"/>
        </w:rPr>
        <w:t xml:space="preserv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Pr="00424731">
        <w:rPr>
          <w:rFonts w:eastAsia="TimesNewRomanPSMT" w:cs="TimesNewRomanPSMT"/>
          <w:bCs/>
          <w:color w:val="000000"/>
          <w:szCs w:val="24"/>
        </w:rPr>
        <w:t xml:space="preserve"> can be quite simple if a few risks dominate the other </w:t>
      </w:r>
      <w:r>
        <w:rPr>
          <w:rFonts w:eastAsia="TimesNewRomanPSMT" w:cs="TimesNewRomanPSMT"/>
          <w:bCs/>
          <w:color w:val="000000"/>
          <w:szCs w:val="24"/>
        </w:rPr>
        <w:t>Risks</w:t>
      </w:r>
      <w:r w:rsidRPr="00424731">
        <w:rPr>
          <w:rFonts w:eastAsia="TimesNewRomanPSMT" w:cs="TimesNewRomanPSMT"/>
          <w:bCs/>
          <w:color w:val="000000"/>
          <w:szCs w:val="24"/>
        </w:rPr>
        <w:t xml:space="preserve"> and the risk difference between the two sides of</w:t>
      </w:r>
      <w:r>
        <w:rPr>
          <w:rFonts w:eastAsia="TimesNewRomanPSMT" w:cs="TimesNewRomanPSMT"/>
          <w:bCs/>
          <w:color w:val="000000"/>
          <w:szCs w:val="24"/>
        </w:rPr>
        <w:t xml:space="preserv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00DB3F76">
        <w:rPr>
          <w:rFonts w:eastAsia="TimesNewRomanPSMT" w:cs="TimesNewRomanPSMT"/>
          <w:bCs/>
          <w:color w:val="000000"/>
          <w:szCs w:val="24"/>
        </w:rPr>
        <w:t xml:space="preserve"> </w:t>
      </w:r>
      <w:r w:rsidRPr="00424731">
        <w:rPr>
          <w:rFonts w:eastAsia="TimesNewRomanPSMT" w:cs="TimesNewRomanPSMT"/>
          <w:bCs/>
          <w:color w:val="000000"/>
          <w:szCs w:val="24"/>
        </w:rPr>
        <w:t xml:space="preserve">exceeds the size of those other </w:t>
      </w:r>
      <w:r>
        <w:rPr>
          <w:rFonts w:eastAsia="TimesNewRomanPSMT" w:cs="TimesNewRomanPSMT"/>
          <w:bCs/>
          <w:color w:val="000000"/>
          <w:szCs w:val="24"/>
        </w:rPr>
        <w:t>Risks</w:t>
      </w:r>
      <w:r w:rsidRPr="00424731">
        <w:rPr>
          <w:rFonts w:eastAsia="TimesNewRomanPSMT" w:cs="TimesNewRomanPSMT"/>
          <w:bCs/>
          <w:color w:val="000000"/>
          <w:szCs w:val="24"/>
        </w:rPr>
        <w:t>.  In this case</w:t>
      </w:r>
      <w:r>
        <w:rPr>
          <w:rFonts w:eastAsia="TimesNewRomanPSMT" w:cs="TimesNewRomanPSMT"/>
          <w:bCs/>
          <w:color w:val="000000"/>
          <w:szCs w:val="24"/>
        </w:rPr>
        <w:t xml:space="preserv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Pr="00424731">
        <w:rPr>
          <w:rFonts w:eastAsia="TimesNewRomanPSMT" w:cs="TimesNewRomanPSMT"/>
          <w:bCs/>
          <w:color w:val="000000"/>
          <w:szCs w:val="24"/>
        </w:rPr>
        <w:t xml:space="preserve"> can be simplified to only use a few, dominant </w:t>
      </w:r>
      <w:r>
        <w:rPr>
          <w:rFonts w:eastAsia="TimesNewRomanPSMT" w:cs="TimesNewRomanPSMT"/>
          <w:bCs/>
          <w:color w:val="000000"/>
          <w:szCs w:val="24"/>
        </w:rPr>
        <w:t>Risks</w:t>
      </w:r>
      <w:r w:rsidRPr="00424731">
        <w:rPr>
          <w:rFonts w:eastAsia="TimesNewRomanPSMT" w:cs="TimesNewRomanPSMT"/>
          <w:bCs/>
          <w:color w:val="000000"/>
          <w:szCs w:val="24"/>
        </w:rPr>
        <w:t>,</w:t>
      </w:r>
      <w:r>
        <w:rPr>
          <w:rFonts w:eastAsia="TimesNewRomanPSMT" w:cs="TimesNewRomanPSMT"/>
          <w:bCs/>
          <w:color w:val="000000"/>
          <w:szCs w:val="24"/>
        </w:rPr>
        <w:t xml:space="preserve"> although</w:t>
      </w:r>
      <w:r w:rsidRPr="00424731">
        <w:rPr>
          <w:rFonts w:eastAsia="TimesNewRomanPSMT" w:cs="TimesNewRomanPSMT"/>
          <w:bCs/>
          <w:color w:val="000000"/>
          <w:szCs w:val="24"/>
        </w:rPr>
        <w:t xml:space="preserv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Pr="00424731">
        <w:rPr>
          <w:rFonts w:eastAsia="TimesNewRomanPSMT" w:cs="TimesNewRomanPSMT"/>
          <w:bCs/>
          <w:color w:val="000000"/>
          <w:szCs w:val="24"/>
        </w:rPr>
        <w:t xml:space="preserve"> would still </w:t>
      </w:r>
      <w:r w:rsidR="00DB3F76">
        <w:rPr>
          <w:rFonts w:eastAsia="TimesNewRomanPSMT" w:cs="TimesNewRomanPSMT"/>
          <w:bCs/>
          <w:color w:val="000000"/>
          <w:szCs w:val="24"/>
        </w:rPr>
        <w:t xml:space="preserve">need to </w:t>
      </w:r>
      <w:r w:rsidRPr="00424731">
        <w:rPr>
          <w:rFonts w:eastAsia="TimesNewRomanPSMT" w:cs="TimesNewRomanPSMT"/>
          <w:bCs/>
          <w:color w:val="000000"/>
          <w:szCs w:val="24"/>
        </w:rPr>
        <w:t xml:space="preserve">be accompanied by a justification for omitting the other </w:t>
      </w:r>
      <w:r>
        <w:rPr>
          <w:rFonts w:eastAsia="TimesNewRomanPSMT" w:cs="TimesNewRomanPSMT"/>
          <w:bCs/>
          <w:color w:val="000000"/>
          <w:szCs w:val="24"/>
        </w:rPr>
        <w:t>Risks</w:t>
      </w:r>
      <w:r w:rsidRPr="00424731">
        <w:rPr>
          <w:rFonts w:eastAsia="TimesNewRomanPSMT" w:cs="TimesNewRomanPSMT"/>
          <w:bCs/>
          <w:color w:val="000000"/>
          <w:szCs w:val="24"/>
        </w:rPr>
        <w:t>.</w:t>
      </w:r>
      <w:r>
        <w:rPr>
          <w:rFonts w:eastAsia="TimesNewRomanPSMT" w:cs="TimesNewRomanPSMT"/>
          <w:bCs/>
          <w:color w:val="000000"/>
          <w:szCs w:val="24"/>
        </w:rPr>
        <w:t xml:space="preserve"> </w:t>
      </w:r>
      <w:r w:rsidRPr="00424731">
        <w:rPr>
          <w:rFonts w:eastAsia="TimesNewRomanPSMT" w:cs="TimesNewRomanPSMT"/>
          <w:bCs/>
          <w:color w:val="000000"/>
          <w:szCs w:val="24"/>
        </w:rPr>
        <w:t xml:space="preserve"> </w:t>
      </w:r>
    </w:p>
    <w:p w14:paraId="63AEEE49" w14:textId="1A5C2850" w:rsidR="00B66C73" w:rsidRDefault="00B66C73" w:rsidP="00B66C73">
      <w:pPr>
        <w:autoSpaceDE w:val="0"/>
        <w:spacing w:line="240" w:lineRule="auto"/>
        <w:jc w:val="both"/>
        <w:rPr>
          <w:rFonts w:eastAsiaTheme="minorEastAsia"/>
        </w:rPr>
      </w:pPr>
      <w:r>
        <w:rPr>
          <w:rFonts w:eastAsia="TimesNewRomanPSMT" w:cs="TimesNewRomanPSMT"/>
          <w:bCs/>
          <w:color w:val="000000"/>
          <w:szCs w:val="24"/>
        </w:rPr>
        <w:t xml:space="preserve">In at least one example,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can have several large risks on the left-hand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eastAsiaTheme="minorEastAsia"/>
        </w:rPr>
        <w:t xml:space="preserve">, that the medical treatment reduces to small risks on the right-hand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(e.g.,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Pr>
          <w:rFonts w:eastAsiaTheme="minorEastAsia"/>
        </w:rPr>
        <w:t>,</w:t>
      </w:r>
      <w:r>
        <w:rPr>
          <w:rFonts w:eastAsiaTheme="minorEastAsia" w:cs="Arial"/>
        </w:rPr>
        <w:t xml:space="preserve"> </w:t>
      </w:r>
      <w:r>
        <w:rPr>
          <w:rFonts w:eastAsiaTheme="minorEastAsia"/>
        </w:rPr>
        <w:t xml:space="preserve">for the case of a highly effective medical therapy).  In this case, it may immediately (or after a very few steps of ‘risk algebra’) be intuitively obvious that a few of the large risks on the left-hand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sidRPr="00424731">
        <w:rPr>
          <w:rFonts w:eastAsia="TimesNewRomanPSMT" w:cs="TimesNewRomanPSMT"/>
          <w:bCs/>
          <w:color w:val="000000"/>
          <w:szCs w:val="24"/>
        </w:rPr>
        <w:t xml:space="preserve"> </w:t>
      </w:r>
      <w:r>
        <w:rPr>
          <w:rFonts w:eastAsiaTheme="minorEastAsia"/>
        </w:rPr>
        <w:t xml:space="preserve">are far bigger than all of the risks on the right-hand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 xml:space="preserve"> ⋃ R</m:t>
        </m:r>
      </m:oMath>
      <w:r>
        <w:rPr>
          <w:rFonts w:eastAsiaTheme="minorEastAsia"/>
        </w:rPr>
        <w:t xml:space="preserve">.  </w:t>
      </w:r>
    </w:p>
    <w:p w14:paraId="48F84381" w14:textId="05117F95" w:rsidR="00B66C73" w:rsidRPr="00424731" w:rsidRDefault="00B66C73" w:rsidP="00B66C73">
      <w:pPr>
        <w:autoSpaceDE w:val="0"/>
        <w:spacing w:line="240" w:lineRule="auto"/>
        <w:jc w:val="both"/>
        <w:rPr>
          <w:rFonts w:eastAsia="TimesNewRomanPSMT" w:cs="TimesNewRomanPSMT"/>
          <w:color w:val="000000"/>
          <w:szCs w:val="24"/>
        </w:rPr>
      </w:pPr>
      <w:r>
        <w:rPr>
          <w:rFonts w:eastAsiaTheme="minorEastAsia"/>
        </w:rPr>
        <w:lastRenderedPageBreak/>
        <w:t xml:space="preserve">If this is the case, then the documentation of the </w:t>
      </w:r>
      <w:r w:rsidR="00EC42E0">
        <w:rPr>
          <w:rFonts w:eastAsiaTheme="minorEastAsia"/>
        </w:rPr>
        <w:t>Benefit-Risk</w:t>
      </w:r>
      <w:r>
        <w:rPr>
          <w:rFonts w:eastAsiaTheme="minorEastAsia"/>
        </w:rPr>
        <w:t xml:space="preserve"> analysis can use these dominant Risks to establish a maximum bound for all of the risks on the right-hand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and reach the conclusion that ‘benefit exceeds risk’ by arguing that all of the risks on the right-hand side of </w:t>
      </w:r>
      <w:r w:rsidR="00DB3F76">
        <w:rPr>
          <w:rFonts w:eastAsia="TimesNewRomanPSMT" w:cs="TimesNewRomanPSMT"/>
          <w:bCs/>
          <w:color w:val="000000"/>
          <w:szCs w:val="24"/>
        </w:rPr>
        <w:fldChar w:fldCharType="begin"/>
      </w:r>
      <w:r w:rsidR="00DB3F76">
        <w:rPr>
          <w:rFonts w:eastAsia="TimesNewRomanPSMT" w:cs="TimesNewRomanPSMT"/>
          <w:bCs/>
          <w:color w:val="000000"/>
          <w:szCs w:val="24"/>
        </w:rPr>
        <w:instrText xml:space="preserve"> REF _Ref147639186 \h </w:instrText>
      </w:r>
      <w:r w:rsidR="00DB3F76">
        <w:rPr>
          <w:rFonts w:eastAsia="TimesNewRomanPSMT" w:cs="TimesNewRomanPSMT"/>
          <w:bCs/>
          <w:color w:val="000000"/>
          <w:szCs w:val="24"/>
        </w:rPr>
      </w:r>
      <w:r w:rsidR="00DB3F76">
        <w:rPr>
          <w:rFonts w:eastAsia="TimesNewRomanPSMT" w:cs="TimesNewRomanPSMT"/>
          <w:bCs/>
          <w:color w:val="000000"/>
          <w:szCs w:val="24"/>
        </w:rPr>
        <w:fldChar w:fldCharType="separate"/>
      </w:r>
      <w:r w:rsidR="001E41EA">
        <w:t xml:space="preserve">Equation </w:t>
      </w:r>
      <w:r w:rsidR="001E41EA">
        <w:rPr>
          <w:noProof/>
        </w:rPr>
        <w:t>9</w:t>
      </w:r>
      <w:r w:rsidR="00DB3F76">
        <w:rPr>
          <w:rFonts w:eastAsia="TimesNewRomanPSMT" w:cs="TimesNewRomanPSMT"/>
          <w:bCs/>
          <w:color w:val="000000"/>
          <w:szCs w:val="24"/>
        </w:rPr>
        <w:fldChar w:fldCharType="end"/>
      </w:r>
      <w:r>
        <w:rPr>
          <w:rFonts w:eastAsiaTheme="minorEastAsia"/>
        </w:rPr>
        <w:t xml:space="preserve"> are smaller than the maximum bound.  (This can be formalized </w:t>
      </w:r>
      <w:r w:rsidR="00DB3F76">
        <w:rPr>
          <w:rFonts w:eastAsiaTheme="minorEastAsia"/>
        </w:rPr>
        <w:t>using</w:t>
      </w:r>
      <w:r>
        <w:rPr>
          <w:rFonts w:eastAsiaTheme="minorEastAsia"/>
        </w:rPr>
        <w:t xml:space="preserve"> ‘risk algebra’ by combining the removal of repeated Risks with the removal of unequal Risks.)  </w:t>
      </w:r>
    </w:p>
    <w:p w14:paraId="774295A9" w14:textId="77777777" w:rsidR="00B66C73" w:rsidRPr="00424731" w:rsidRDefault="00B66C73" w:rsidP="00806685">
      <w:pPr>
        <w:spacing w:after="0" w:line="240" w:lineRule="auto"/>
        <w:rPr>
          <w:rFonts w:eastAsia="TimesNewRomanPSMT" w:cs="TimesNewRomanPSMT"/>
          <w:bCs/>
          <w:color w:val="000000"/>
          <w:szCs w:val="24"/>
        </w:rPr>
      </w:pPr>
    </w:p>
    <w:p w14:paraId="50746084" w14:textId="77777777" w:rsidR="00B66C73" w:rsidRPr="00424731" w:rsidRDefault="00B66C73" w:rsidP="00BE3AFD">
      <w:pPr>
        <w:pStyle w:val="Heading2"/>
        <w:rPr>
          <w:rFonts w:eastAsia="TimesNewRomanPSMT" w:cs="TimesNewRomanPSMT"/>
          <w:bCs/>
          <w:color w:val="000000"/>
          <w:szCs w:val="24"/>
          <w:u w:val="single"/>
        </w:rPr>
      </w:pPr>
      <w:bookmarkStart w:id="121" w:name="_Toc156728678"/>
      <w:r w:rsidRPr="006A4630">
        <w:rPr>
          <w:rFonts w:eastAsia="TimesNewRomanPSMT" w:cs="TimesNewRomanPSMT"/>
          <w:b/>
          <w:color w:val="000000"/>
          <w:u w:val="single"/>
        </w:rPr>
        <w:t>Selecting the Best Therapy from a List of Alternative Therapies</w:t>
      </w:r>
      <w:bookmarkEnd w:id="121"/>
    </w:p>
    <w:p w14:paraId="1BA785FE" w14:textId="6B432DEB" w:rsidR="00B66C73" w:rsidRDefault="00B66C73" w:rsidP="00B66C73">
      <w:pPr>
        <w:spacing w:line="240" w:lineRule="auto"/>
        <w:jc w:val="both"/>
      </w:pPr>
      <w:r w:rsidRPr="00424731">
        <w:rPr>
          <w:rFonts w:cs="Arial"/>
          <w:iCs/>
        </w:rPr>
        <w:t xml:space="preserve">In at least one example of the present disclosure, a method for selecting the best therapy from a list of alternative therapies is disclosed. </w:t>
      </w:r>
      <w:r>
        <w:rPr>
          <w:rFonts w:cs="Arial"/>
          <w:iCs/>
        </w:rPr>
        <w:t xml:space="preserve"> </w:t>
      </w:r>
      <w:r>
        <w:rPr>
          <w:rFonts w:cs="Arial"/>
          <w:iCs/>
        </w:rPr>
        <w:fldChar w:fldCharType="begin"/>
      </w:r>
      <w:r>
        <w:rPr>
          <w:rFonts w:cs="Arial"/>
          <w:iCs/>
        </w:rPr>
        <w:instrText xml:space="preserve"> REF _Ref132964494 \h </w:instrText>
      </w:r>
      <w:r>
        <w:rPr>
          <w:rFonts w:cs="Arial"/>
          <w:iCs/>
        </w:rPr>
      </w:r>
      <w:r>
        <w:rPr>
          <w:rFonts w:cs="Arial"/>
          <w:iCs/>
        </w:rPr>
        <w:fldChar w:fldCharType="separate"/>
      </w:r>
      <w:r w:rsidR="001E41EA" w:rsidRPr="00F60A9B">
        <w:t xml:space="preserve">Equation </w:t>
      </w:r>
      <w:r w:rsidR="001E41EA">
        <w:rPr>
          <w:noProof/>
        </w:rPr>
        <w:t>4</w:t>
      </w:r>
      <w:r>
        <w:rPr>
          <w:rFonts w:cs="Arial"/>
          <w:iCs/>
        </w:rPr>
        <w:fldChar w:fldCharType="end"/>
      </w:r>
      <w:r>
        <w:t xml:space="preserve"> has an interesting interpretation for selecting the best therapy from a list of alternative therapies:  </w:t>
      </w:r>
    </w:p>
    <w:p w14:paraId="04CC132E" w14:textId="77777777" w:rsidR="00B66C73" w:rsidRPr="006D260B" w:rsidRDefault="00000000" w:rsidP="00B66C73">
      <w:pPr>
        <w:spacing w:line="240" w:lineRule="auto"/>
        <w:jc w:val="both"/>
      </w:pPr>
      <m:oMath>
        <m:sSup>
          <m:sSupPr>
            <m:ctrlPr>
              <w:rPr>
                <w:rFonts w:ascii="Cambria Math" w:hAnsi="Cambria Math" w:cs="Arial"/>
                <w:iCs/>
              </w:rPr>
            </m:ctrlPr>
          </m:sSupPr>
          <m:e>
            <m:r>
              <w:rPr>
                <w:rFonts w:ascii="Cambria Math" w:hAnsi="Cambria Math" w:cs="Arial"/>
              </w:rPr>
              <m:t>R</m:t>
            </m:r>
          </m:e>
          <m:sup>
            <m:r>
              <w:rPr>
                <w:rFonts w:ascii="Cambria Math" w:hAnsi="Cambria Math" w:cs="Arial"/>
              </w:rPr>
              <m:t>B</m:t>
            </m:r>
          </m:sup>
        </m:sSup>
      </m:oMath>
      <w:r w:rsidR="00B66C73" w:rsidRPr="00424731">
        <w:rPr>
          <w:rFonts w:eastAsiaTheme="minorEastAsia"/>
          <w:iCs/>
        </w:rPr>
        <w:t xml:space="preserve"> can be interpreted as the patient’s likely health outcome if nothing is done. </w:t>
      </w:r>
    </w:p>
    <w:p w14:paraId="24087E24" w14:textId="77777777" w:rsidR="00B66C73" w:rsidRDefault="00000000" w:rsidP="00B66C73">
      <w:pPr>
        <w:spacing w:line="240" w:lineRule="auto"/>
        <w:jc w:val="both"/>
      </w:pP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rsidR="00B66C73" w:rsidRPr="00424731">
        <w:rPr>
          <w:rFonts w:eastAsiaTheme="minorEastAsia"/>
        </w:rPr>
        <w:t xml:space="preserve"> can be interpreted as the patient’s likely health outcome if a therapy is performed</w:t>
      </w:r>
      <w:r w:rsidR="00B66C73">
        <w:t xml:space="preserve">. </w:t>
      </w:r>
    </w:p>
    <w:p w14:paraId="74DBE7EB" w14:textId="71232C94" w:rsidR="00B66C73" w:rsidRDefault="00B66C73" w:rsidP="00B66C73">
      <w:pPr>
        <w:spacing w:line="240" w:lineRule="auto"/>
        <w:jc w:val="both"/>
      </w:pPr>
      <w:r>
        <w:t xml:space="preserve">Therefore, assuming </w:t>
      </w:r>
      <w:r w:rsidR="003040E2">
        <w:fldChar w:fldCharType="begin"/>
      </w:r>
      <w:r w:rsidR="003040E2">
        <w:instrText xml:space="preserve"> REF _Ref147639186 \h </w:instrText>
      </w:r>
      <w:r w:rsidR="003040E2">
        <w:fldChar w:fldCharType="separate"/>
      </w:r>
      <w:r w:rsidR="001E41EA">
        <w:t xml:space="preserve">Equation </w:t>
      </w:r>
      <w:r w:rsidR="001E41EA">
        <w:rPr>
          <w:noProof/>
        </w:rPr>
        <w:t>9</w:t>
      </w:r>
      <w:r w:rsidR="003040E2">
        <w:fldChar w:fldCharType="end"/>
      </w:r>
      <w:r>
        <w:t xml:space="preserve"> is met for each alternative therapy, selecting the best therapy from a list of alternative therapies is equivalent to determining </w:t>
      </w: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t xml:space="preserve"> for each therapy and then selecting the therapy with the minimum value for </w:t>
      </w:r>
      <m:oMath>
        <m:sSup>
          <m:sSupPr>
            <m:ctrlPr>
              <w:rPr>
                <w:rFonts w:ascii="Cambria Math" w:hAnsi="Cambria Math" w:cs="Arial"/>
                <w:iCs/>
              </w:rPr>
            </m:ctrlPr>
          </m:sSupPr>
          <m:e>
            <m:r>
              <w:rPr>
                <w:rFonts w:ascii="Cambria Math" w:hAnsi="Cambria Math" w:cs="Arial"/>
              </w:rPr>
              <m:t>R</m:t>
            </m:r>
          </m:e>
          <m:sup>
            <m:r>
              <w:rPr>
                <w:rFonts w:ascii="Cambria Math" w:hAnsi="Cambria Math" w:cs="Arial"/>
              </w:rPr>
              <m:t>A</m:t>
            </m:r>
          </m:sup>
        </m:sSup>
        <m:r>
          <w:rPr>
            <w:rFonts w:ascii="Cambria Math" w:hAnsi="Cambria Math" w:cs="Arial"/>
          </w:rPr>
          <m:t>+R</m:t>
        </m:r>
      </m:oMath>
      <w:r>
        <w:t xml:space="preserve">.  </w:t>
      </w:r>
    </w:p>
    <w:p w14:paraId="335D0F18" w14:textId="77777777" w:rsidR="00B66C73" w:rsidRDefault="00B66C73" w:rsidP="00806685">
      <w:pPr>
        <w:spacing w:after="0" w:line="240" w:lineRule="auto"/>
      </w:pPr>
    </w:p>
    <w:p w14:paraId="1418D4C7" w14:textId="77777777" w:rsidR="00B66C73" w:rsidRPr="00E87C61" w:rsidRDefault="00B66C73" w:rsidP="00BE3AFD">
      <w:pPr>
        <w:pStyle w:val="Heading2"/>
        <w:rPr>
          <w:rFonts w:eastAsia="TimesNewRomanPSMT" w:cs="TimesNewRomanPSMT"/>
          <w:bCs/>
          <w:color w:val="000000"/>
          <w:szCs w:val="24"/>
          <w:u w:val="single"/>
        </w:rPr>
      </w:pPr>
      <w:bookmarkStart w:id="122" w:name="_Toc156728679"/>
      <w:r w:rsidRPr="006A4630">
        <w:rPr>
          <w:rFonts w:eastAsia="TimesNewRomanPSMT" w:cs="TimesNewRomanPSMT"/>
          <w:b/>
          <w:color w:val="000000"/>
          <w:u w:val="single"/>
        </w:rPr>
        <w:t>Adjusting the Weight given to Each Risk</w:t>
      </w:r>
      <w:bookmarkEnd w:id="122"/>
    </w:p>
    <w:p w14:paraId="17A78D98" w14:textId="77777777" w:rsidR="00B66C73" w:rsidRPr="006A4630" w:rsidRDefault="00B66C73" w:rsidP="00BE3AFD">
      <w:pPr>
        <w:pStyle w:val="Heading3"/>
        <w:rPr>
          <w:color w:val="000000"/>
          <w:u w:val="single"/>
        </w:rPr>
      </w:pPr>
      <w:bookmarkStart w:id="123" w:name="_Toc156728680"/>
      <w:r w:rsidRPr="006A4630">
        <w:rPr>
          <w:color w:val="000000"/>
          <w:u w:val="single"/>
        </w:rPr>
        <w:t>Adapting to Individual Patient Preference</w:t>
      </w:r>
      <w:bookmarkEnd w:id="123"/>
    </w:p>
    <w:p w14:paraId="11EFB5A5" w14:textId="11DC61BF" w:rsidR="00B66C73" w:rsidRPr="00424731" w:rsidRDefault="00B66C73" w:rsidP="00B66C73">
      <w:pPr>
        <w:keepNext/>
        <w:autoSpaceDE w:val="0"/>
        <w:spacing w:line="240" w:lineRule="auto"/>
        <w:jc w:val="both"/>
        <w:rPr>
          <w:rFonts w:eastAsia="TimesNewRomanPSMT" w:cs="TimesNewRomanPSMT"/>
          <w:color w:val="000000"/>
          <w:szCs w:val="24"/>
        </w:rPr>
      </w:pPr>
      <w:r w:rsidRPr="00424731">
        <w:rPr>
          <w:rFonts w:cs="Arial"/>
          <w:iCs/>
        </w:rPr>
        <w:t xml:space="preserve">In at least one example of the present disclosure, a method to customize the </w:t>
      </w:r>
      <w:r w:rsidR="00EC42E0">
        <w:rPr>
          <w:rFonts w:cs="Arial"/>
          <w:iCs/>
        </w:rPr>
        <w:t>Benefit-Risk</w:t>
      </w:r>
      <w:r w:rsidRPr="00424731">
        <w:rPr>
          <w:rFonts w:cs="Arial"/>
          <w:iCs/>
        </w:rPr>
        <w:t xml:space="preserve"> Analysis to an individual patient is disclosed.  </w:t>
      </w:r>
      <w:r w:rsidRPr="00424731">
        <w:rPr>
          <w:rFonts w:eastAsia="TimesNewRomanPSMT" w:cs="TimesNewRomanPSMT"/>
          <w:color w:val="000000"/>
          <w:szCs w:val="24"/>
        </w:rPr>
        <w:t xml:space="preserve">We can use these weights to customize a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to individual patients.  Just as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was shown, above, to facilitate selecting the best therapy from among alternative therapies, customizing a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to an individual patient’s preferences can be invaluable to facilitate holistic discussions with a patient about </w:t>
      </w:r>
      <w:r>
        <w:rPr>
          <w:rFonts w:eastAsia="TimesNewRomanPSMT" w:cs="TimesNewRomanPSMT"/>
          <w:color w:val="000000"/>
          <w:szCs w:val="24"/>
        </w:rPr>
        <w:t xml:space="preserve">medical </w:t>
      </w:r>
      <w:r w:rsidRPr="00424731">
        <w:rPr>
          <w:rFonts w:eastAsia="TimesNewRomanPSMT" w:cs="TimesNewRomanPSMT"/>
          <w:color w:val="000000"/>
          <w:szCs w:val="24"/>
        </w:rPr>
        <w:t xml:space="preserve">treatment options – ensuring that all factors are considered, and specific factors were not given excessive weight.  </w:t>
      </w:r>
    </w:p>
    <w:p w14:paraId="341841F9"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For example, a patient might prefer to maximize their quality of life during one or more upcoming life-events ((e.g., a birth or marriage) at the expense of quality of life after those life-events.  Since the patient’s preferences are time-based, we can multiply the 3-D plots of time-varying description of risks by a function that captures the patient’s time-preferences.  (The integration of the point-by-point product of two functions is a standard operation in calculus, referred to as a ‘convolution integral’.)  </w:t>
      </w:r>
    </w:p>
    <w:p w14:paraId="21A7CECB"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For a simple case, if a patient cares only about their health for the next two years, the patient’s time-preference is simply a ‘box function’ that is 1 unit high for the next two years and zero for all other times.  Convoluting this ‘box function’ with the 3-D plot of each risk will provide a weight for each risk that is customized to the patient’s preferences.  Once the patient-specific weights are calculated, the weights for each cell in Tables 10 and 11 can be calculated and then simplified to determine whether the Benefit exceeds the Risk (for one therapy) or determine the best therapy (from a list of alternative therapies).  </w:t>
      </w:r>
    </w:p>
    <w:p w14:paraId="3DB4F359" w14:textId="77777777" w:rsidR="00B66C73" w:rsidRDefault="00B66C73" w:rsidP="00806685">
      <w:pPr>
        <w:spacing w:after="0" w:line="240" w:lineRule="auto"/>
        <w:rPr>
          <w:rFonts w:eastAsia="TimesNewRomanPSMT" w:cs="TimesNewRomanPSMT"/>
          <w:bCs/>
          <w:i/>
          <w:iCs/>
          <w:color w:val="000000"/>
          <w:szCs w:val="24"/>
        </w:rPr>
      </w:pPr>
    </w:p>
    <w:p w14:paraId="61E8809C" w14:textId="77777777" w:rsidR="00B66C73" w:rsidRPr="00424731" w:rsidRDefault="00B66C73" w:rsidP="00BE3AFD">
      <w:pPr>
        <w:pStyle w:val="Heading3"/>
        <w:rPr>
          <w:rFonts w:eastAsia="TimesNewRomanPSMT" w:cs="TimesNewRomanPSMT"/>
          <w:bCs/>
          <w:color w:val="000000"/>
        </w:rPr>
      </w:pPr>
      <w:bookmarkStart w:id="124" w:name="_Toc156728681"/>
      <w:r w:rsidRPr="006A4630">
        <w:rPr>
          <w:color w:val="000000"/>
          <w:u w:val="single"/>
        </w:rPr>
        <w:t>Accounting for Time-Varying Benefits and Risks</w:t>
      </w:r>
      <w:bookmarkEnd w:id="124"/>
    </w:p>
    <w:p w14:paraId="2F9AD45D" w14:textId="4DC6F79A" w:rsidR="00B66C73" w:rsidRDefault="00B66C73" w:rsidP="00B66C73">
      <w:pPr>
        <w:autoSpaceDE w:val="0"/>
        <w:spacing w:line="240" w:lineRule="auto"/>
        <w:jc w:val="both"/>
        <w:rPr>
          <w:rFonts w:eastAsia="TimesNewRomanPSMT" w:cs="TimesNewRomanPSMT"/>
          <w:bCs/>
          <w:color w:val="000000"/>
          <w:szCs w:val="24"/>
        </w:rPr>
      </w:pPr>
      <w:r>
        <w:rPr>
          <w:rFonts w:eastAsia="TimesNewRomanPSMT" w:cs="TimesNewRomanPSMT"/>
          <w:bCs/>
          <w:color w:val="000000"/>
          <w:szCs w:val="24"/>
        </w:rPr>
        <w:t>While, per section 3.18, ISO 14971 defines ‘risk’ as a combination of ‘severity’ and ‘probability, FDA defines both risk and benefit a combination of ‘severity’, ‘probability’, and ‘duration’</w:t>
      </w:r>
      <w:r w:rsidRPr="001F7D7C">
        <w:rPr>
          <w:rFonts w:eastAsia="TimesNewRomanPSMT" w:cs="TimesNewRomanPSMT"/>
          <w:bCs/>
          <w:color w:val="000000"/>
          <w:szCs w:val="24"/>
          <w:vertAlign w:val="superscript"/>
        </w:rPr>
        <w:fldChar w:fldCharType="begin"/>
      </w:r>
      <w:r w:rsidRPr="001F7D7C">
        <w:rPr>
          <w:rFonts w:eastAsia="TimesNewRomanPSMT" w:cs="TimesNewRomanPSMT"/>
          <w:bCs/>
          <w:color w:val="000000"/>
          <w:szCs w:val="24"/>
          <w:vertAlign w:val="superscript"/>
        </w:rPr>
        <w:instrText xml:space="preserve"> NOTEREF _Ref146116270 \h </w:instrText>
      </w:r>
      <w:r>
        <w:rPr>
          <w:rFonts w:eastAsia="TimesNewRomanPSMT" w:cs="TimesNewRomanPSMT"/>
          <w:bCs/>
          <w:color w:val="000000"/>
          <w:szCs w:val="24"/>
          <w:vertAlign w:val="superscript"/>
        </w:rPr>
        <w:instrText xml:space="preserve"> \* MERGEFORMAT </w:instrText>
      </w:r>
      <w:r w:rsidRPr="001F7D7C">
        <w:rPr>
          <w:rFonts w:eastAsia="TimesNewRomanPSMT" w:cs="TimesNewRomanPSMT"/>
          <w:bCs/>
          <w:color w:val="000000"/>
          <w:szCs w:val="24"/>
          <w:vertAlign w:val="superscript"/>
        </w:rPr>
      </w:r>
      <w:r w:rsidRPr="001F7D7C">
        <w:rPr>
          <w:rFonts w:eastAsia="TimesNewRomanPSMT" w:cs="TimesNewRomanPSMT"/>
          <w:bCs/>
          <w:color w:val="000000"/>
          <w:szCs w:val="24"/>
          <w:vertAlign w:val="superscript"/>
        </w:rPr>
        <w:fldChar w:fldCharType="separate"/>
      </w:r>
      <w:r w:rsidR="001E41EA">
        <w:rPr>
          <w:rFonts w:eastAsia="TimesNewRomanPSMT" w:cs="TimesNewRomanPSMT"/>
          <w:bCs/>
          <w:color w:val="000000"/>
          <w:szCs w:val="24"/>
          <w:vertAlign w:val="superscript"/>
        </w:rPr>
        <w:t>5</w:t>
      </w:r>
      <w:r w:rsidRPr="001F7D7C">
        <w:rPr>
          <w:rFonts w:eastAsia="TimesNewRomanPSMT" w:cs="TimesNewRomanPSMT"/>
          <w:bCs/>
          <w:color w:val="000000"/>
          <w:szCs w:val="24"/>
          <w:vertAlign w:val="superscript"/>
        </w:rPr>
        <w:fldChar w:fldCharType="end"/>
      </w:r>
      <w:r>
        <w:rPr>
          <w:rFonts w:eastAsia="TimesNewRomanPSMT" w:cs="TimesNewRomanPSMT"/>
          <w:bCs/>
          <w:color w:val="000000"/>
          <w:szCs w:val="24"/>
        </w:rPr>
        <w:t xml:space="preserve">.  This paper has previously provided a systematic framework for the first two of these factors:  Severity and Probability.  This section will expand that previous work to provide a systematic framework for all three factors:  Severity, Probability, </w:t>
      </w:r>
      <w:r w:rsidRPr="003606D7">
        <w:rPr>
          <w:rFonts w:eastAsia="TimesNewRomanPSMT" w:cs="TimesNewRomanPSMT"/>
          <w:bCs/>
          <w:i/>
          <w:iCs/>
          <w:color w:val="000000"/>
          <w:szCs w:val="24"/>
        </w:rPr>
        <w:t>and</w:t>
      </w:r>
      <w:r>
        <w:rPr>
          <w:rFonts w:eastAsia="TimesNewRomanPSMT" w:cs="TimesNewRomanPSMT"/>
          <w:bCs/>
          <w:color w:val="000000"/>
          <w:szCs w:val="24"/>
        </w:rPr>
        <w:t xml:space="preserve"> Duration. </w:t>
      </w:r>
    </w:p>
    <w:p w14:paraId="61D1B8A4" w14:textId="6BF54758" w:rsidR="00B66C73" w:rsidRDefault="00B66C73" w:rsidP="00B66C73">
      <w:pPr>
        <w:keepNext/>
        <w:autoSpaceDE w:val="0"/>
        <w:spacing w:line="240" w:lineRule="auto"/>
        <w:jc w:val="both"/>
        <w:rPr>
          <w:rFonts w:eastAsia="TimesNewRomanPSMT" w:cs="TimesNewRomanPSMT"/>
          <w:color w:val="000000"/>
          <w:szCs w:val="24"/>
        </w:rPr>
      </w:pPr>
      <w:r w:rsidRPr="00424731">
        <w:rPr>
          <w:rFonts w:cs="Arial"/>
          <w:iCs/>
        </w:rPr>
        <w:lastRenderedPageBreak/>
        <w:t xml:space="preserve">In at least one example of the present disclosure, a method to account for the effect of time on risk is disclosed. </w:t>
      </w:r>
      <w:r w:rsidRPr="00424731">
        <w:rPr>
          <w:rFonts w:cs="Arial"/>
        </w:rPr>
        <w:t xml:space="preserve">‘Time’ is an important, and </w:t>
      </w:r>
      <w:r>
        <w:rPr>
          <w:rFonts w:cs="Arial"/>
        </w:rPr>
        <w:t xml:space="preserve">usually </w:t>
      </w:r>
      <w:r w:rsidRPr="00424731">
        <w:rPr>
          <w:rFonts w:cs="Arial"/>
        </w:rPr>
        <w:t xml:space="preserve">under-accounted for, factor of in risk management.  While </w:t>
      </w:r>
      <w:r w:rsidRPr="00424731">
        <w:rPr>
          <w:rFonts w:cs="Arial"/>
          <w:iCs/>
        </w:rPr>
        <w:t xml:space="preserve">the duration of a risk is </w:t>
      </w:r>
      <w:r>
        <w:rPr>
          <w:rFonts w:cs="Arial"/>
          <w:iCs/>
        </w:rPr>
        <w:t xml:space="preserve">mentioned briefly in the ‘Minor’ level of severity in Table 4 of ISO / TR 24971 (documented in </w:t>
      </w:r>
      <w:r>
        <w:rPr>
          <w:rFonts w:cs="Arial"/>
          <w:iCs/>
        </w:rPr>
        <w:fldChar w:fldCharType="begin"/>
      </w:r>
      <w:r>
        <w:rPr>
          <w:rFonts w:cs="Arial"/>
          <w:iCs/>
        </w:rPr>
        <w:instrText xml:space="preserve"> REF _Ref132959722 \h </w:instrText>
      </w:r>
      <w:r>
        <w:rPr>
          <w:rFonts w:cs="Arial"/>
          <w:iCs/>
        </w:rPr>
      </w:r>
      <w:r>
        <w:rPr>
          <w:rFonts w:cs="Arial"/>
          <w:iCs/>
        </w:rPr>
        <w:fldChar w:fldCharType="separate"/>
      </w:r>
      <w:r w:rsidR="001E41EA" w:rsidRPr="00F60A9B">
        <w:t xml:space="preserve">Table </w:t>
      </w:r>
      <w:r w:rsidR="001E41EA">
        <w:rPr>
          <w:noProof/>
        </w:rPr>
        <w:t>2</w:t>
      </w:r>
      <w:r>
        <w:rPr>
          <w:rFonts w:cs="Arial"/>
          <w:iCs/>
        </w:rPr>
        <w:fldChar w:fldCharType="end"/>
      </w:r>
      <w:r>
        <w:rPr>
          <w:rFonts w:cs="Arial"/>
          <w:iCs/>
        </w:rPr>
        <w:t xml:space="preserve"> of this paper</w:t>
      </w:r>
      <w:r>
        <w:rPr>
          <w:rFonts w:eastAsia="TimesNewRomanPSMT" w:cs="TimesNewRomanPSMT"/>
          <w:color w:val="000000"/>
          <w:szCs w:val="24"/>
        </w:rPr>
        <w:t>)</w:t>
      </w:r>
      <w:r w:rsidRPr="00424731">
        <w:rPr>
          <w:rFonts w:cs="Arial"/>
          <w:iCs/>
        </w:rPr>
        <w:t xml:space="preserve">, any accounting for time </w:t>
      </w:r>
      <w:r>
        <w:rPr>
          <w:rFonts w:cs="Arial"/>
          <w:iCs/>
        </w:rPr>
        <w:t xml:space="preserve">using ISO / TR 249971 </w:t>
      </w:r>
      <w:r w:rsidRPr="00424731">
        <w:rPr>
          <w:rFonts w:cs="Arial"/>
          <w:iCs/>
        </w:rPr>
        <w:t xml:space="preserve">becomes muddled because </w:t>
      </w:r>
      <w:r>
        <w:rPr>
          <w:rFonts w:cs="Arial"/>
          <w:iCs/>
        </w:rPr>
        <w:t xml:space="preserve">this </w:t>
      </w:r>
      <w:r w:rsidRPr="00424731">
        <w:rPr>
          <w:rFonts w:cs="Arial"/>
          <w:iCs/>
        </w:rPr>
        <w:t xml:space="preserve">same table also describe severities which are independent of time.  In addition, some </w:t>
      </w:r>
      <w:r>
        <w:rPr>
          <w:rFonts w:cs="Arial"/>
          <w:iCs/>
        </w:rPr>
        <w:t>medical treatments</w:t>
      </w:r>
      <w:r w:rsidRPr="00424731">
        <w:rPr>
          <w:rFonts w:cs="Arial"/>
          <w:iCs/>
        </w:rPr>
        <w:t xml:space="preserve"> require a significant amount of time before they produce benefits, and many such benefits may wear out and/or diminish over time</w:t>
      </w:r>
      <w:r>
        <w:rPr>
          <w:rFonts w:cs="Arial"/>
          <w:iCs/>
        </w:rPr>
        <w:t>.  None</w:t>
      </w:r>
      <w:r w:rsidRPr="00424731">
        <w:rPr>
          <w:rFonts w:cs="Arial"/>
          <w:iCs/>
        </w:rPr>
        <w:t xml:space="preserve"> of these factors are accounted for in</w:t>
      </w:r>
      <w:r>
        <w:rPr>
          <w:rFonts w:cs="Arial"/>
          <w:iCs/>
        </w:rPr>
        <w:t xml:space="preserve"> Table 4 of ISO / TR 24971</w:t>
      </w:r>
      <w:r w:rsidRPr="00424731">
        <w:rPr>
          <w:rFonts w:cs="Arial"/>
          <w:iCs/>
        </w:rPr>
        <w:t xml:space="preserve">. </w:t>
      </w:r>
      <w:r w:rsidRPr="00424731">
        <w:rPr>
          <w:rFonts w:eastAsia="TimesNewRomanPSMT" w:cs="TimesNewRomanPSMT"/>
          <w:color w:val="000000"/>
          <w:szCs w:val="24"/>
        </w:rPr>
        <w:t xml:space="preserve"> </w:t>
      </w:r>
    </w:p>
    <w:p w14:paraId="45A56902" w14:textId="698F5C08"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Turning now to</w:t>
      </w:r>
      <w:r>
        <w:rPr>
          <w:rFonts w:eastAsia="TimesNewRomanPSMT" w:cs="TimesNewRomanPSMT"/>
          <w:color w:val="000000"/>
          <w:szCs w:val="24"/>
        </w:rPr>
        <w:t xml:space="preserve"> </w:t>
      </w:r>
      <w:r>
        <w:rPr>
          <w:rFonts w:eastAsia="TimesNewRomanPSMT" w:cs="TimesNewRomanPSMT"/>
          <w:color w:val="000000"/>
          <w:szCs w:val="24"/>
        </w:rPr>
        <w:fldChar w:fldCharType="begin"/>
      </w:r>
      <w:r>
        <w:rPr>
          <w:rFonts w:eastAsia="TimesNewRomanPSMT" w:cs="TimesNewRomanPSMT"/>
          <w:color w:val="000000"/>
          <w:szCs w:val="24"/>
        </w:rPr>
        <w:instrText xml:space="preserve"> REF _Ref144992593 \h </w:instrText>
      </w:r>
      <w:r>
        <w:rPr>
          <w:rFonts w:eastAsia="TimesNewRomanPSMT" w:cs="TimesNewRomanPSMT"/>
          <w:color w:val="000000"/>
          <w:szCs w:val="24"/>
        </w:rPr>
      </w:r>
      <w:r>
        <w:rPr>
          <w:rFonts w:eastAsia="TimesNewRomanPSMT" w:cs="TimesNewRomanPSMT"/>
          <w:color w:val="000000"/>
          <w:szCs w:val="24"/>
        </w:rPr>
        <w:fldChar w:fldCharType="separate"/>
      </w:r>
      <w:r w:rsidR="001E41EA">
        <w:t xml:space="preserve">Figure </w:t>
      </w:r>
      <w:r w:rsidR="001E41EA">
        <w:rPr>
          <w:noProof/>
        </w:rPr>
        <w:t>4</w:t>
      </w:r>
      <w:r>
        <w:rPr>
          <w:rFonts w:eastAsia="TimesNewRomanPSMT" w:cs="TimesNewRomanPSMT"/>
          <w:color w:val="000000"/>
          <w:szCs w:val="24"/>
        </w:rPr>
        <w:fldChar w:fldCharType="end"/>
      </w:r>
      <w:r w:rsidRPr="00424731">
        <w:rPr>
          <w:rFonts w:eastAsia="TimesNewRomanPSMT" w:cs="TimesNewRomanPSMT"/>
          <w:color w:val="000000"/>
          <w:szCs w:val="24"/>
        </w:rPr>
        <w:t xml:space="preserve">, we see a three-dimensional (3D) plot 100 of probability </w:t>
      </w:r>
      <w:r w:rsidRPr="00424731">
        <w:rPr>
          <w:rFonts w:eastAsia="TimesNewRomanPSMT" w:cs="TimesNewRomanPSMT"/>
          <w:i/>
          <w:color w:val="000000"/>
          <w:szCs w:val="24"/>
        </w:rPr>
        <w:t>P</w:t>
      </w:r>
      <w:r w:rsidRPr="00424731">
        <w:rPr>
          <w:rFonts w:eastAsia="TimesNewRomanPSMT" w:cs="TimesNewRomanPSMT"/>
          <w:color w:val="000000"/>
          <w:szCs w:val="24"/>
        </w:rPr>
        <w:t xml:space="preserve">, severity </w:t>
      </w:r>
      <w:r w:rsidRPr="00424731">
        <w:rPr>
          <w:rFonts w:eastAsia="TimesNewRomanPSMT" w:cs="TimesNewRomanPSMT"/>
          <w:i/>
          <w:color w:val="000000"/>
          <w:szCs w:val="24"/>
        </w:rPr>
        <w:t>S</w:t>
      </w:r>
      <w:r w:rsidRPr="00424731">
        <w:rPr>
          <w:rFonts w:eastAsia="TimesNewRomanPSMT" w:cs="TimesNewRomanPSMT"/>
          <w:color w:val="000000"/>
          <w:szCs w:val="24"/>
        </w:rPr>
        <w:t xml:space="preserve">, and time </w:t>
      </w:r>
      <w:r w:rsidRPr="00424731">
        <w:rPr>
          <w:rFonts w:eastAsia="TimesNewRomanPSMT" w:cs="TimesNewRomanPSMT"/>
          <w:i/>
          <w:color w:val="000000"/>
          <w:szCs w:val="24"/>
        </w:rPr>
        <w:t>T</w:t>
      </w:r>
      <w:r w:rsidRPr="00424731">
        <w:rPr>
          <w:rFonts w:eastAsia="TimesNewRomanPSMT" w:cs="TimesNewRomanPSMT"/>
          <w:color w:val="000000"/>
          <w:szCs w:val="24"/>
        </w:rPr>
        <w:t xml:space="preserve">.  Specifically, probability </w:t>
      </w:r>
      <w:r w:rsidRPr="00424731">
        <w:rPr>
          <w:rFonts w:eastAsia="TimesNewRomanPSMT" w:cs="TimesNewRomanPSMT"/>
          <w:i/>
          <w:color w:val="000000"/>
          <w:szCs w:val="24"/>
        </w:rPr>
        <w:t xml:space="preserve">P </w:t>
      </w:r>
      <w:r w:rsidRPr="00424731">
        <w:rPr>
          <w:rFonts w:eastAsia="TimesNewRomanPSMT" w:cs="TimesNewRomanPSMT"/>
          <w:color w:val="000000"/>
          <w:szCs w:val="24"/>
        </w:rPr>
        <w:t xml:space="preserve">is shown on y-axis 102, severity </w:t>
      </w:r>
      <w:r w:rsidRPr="00424731">
        <w:rPr>
          <w:rFonts w:eastAsia="TimesNewRomanPSMT" w:cs="TimesNewRomanPSMT"/>
          <w:i/>
          <w:color w:val="000000"/>
          <w:szCs w:val="24"/>
        </w:rPr>
        <w:t xml:space="preserve">S </w:t>
      </w:r>
      <w:r w:rsidRPr="00424731">
        <w:rPr>
          <w:rFonts w:eastAsia="TimesNewRomanPSMT" w:cs="TimesNewRomanPSMT"/>
          <w:color w:val="000000"/>
          <w:szCs w:val="24"/>
        </w:rPr>
        <w:t xml:space="preserve">is shown on x-axis 104, and time </w:t>
      </w:r>
      <w:r w:rsidRPr="00424731">
        <w:rPr>
          <w:rFonts w:eastAsia="TimesNewRomanPSMT" w:cs="TimesNewRomanPSMT"/>
          <w:i/>
          <w:color w:val="000000"/>
          <w:szCs w:val="24"/>
        </w:rPr>
        <w:t xml:space="preserve">T </w:t>
      </w:r>
      <w:r w:rsidRPr="00424731">
        <w:rPr>
          <w:rFonts w:eastAsia="TimesNewRomanPSMT" w:cs="TimesNewRomanPSMT"/>
          <w:color w:val="000000"/>
          <w:szCs w:val="24"/>
        </w:rPr>
        <w:t xml:space="preserve">is shown on z-axis 106.  Various risks </w:t>
      </w:r>
      <w:r w:rsidRPr="00424731">
        <w:rPr>
          <w:rFonts w:eastAsia="TimesNewRomanPSMT" w:cs="TimesNewRomanPSMT"/>
          <w:i/>
          <w:color w:val="000000"/>
          <w:szCs w:val="24"/>
        </w:rPr>
        <w:t xml:space="preserve">R </w:t>
      </w:r>
      <w:r w:rsidRPr="00424731">
        <w:rPr>
          <w:rFonts w:eastAsia="TimesNewRomanPSMT" w:cs="TimesNewRomanPSMT"/>
          <w:color w:val="000000"/>
          <w:szCs w:val="24"/>
        </w:rPr>
        <w:t xml:space="preserve">are shown (specifically,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1</w:t>
      </w:r>
      <w:r w:rsidRPr="00424731">
        <w:rPr>
          <w:rFonts w:eastAsia="TimesNewRomanPSMT" w:cs="TimesNewRomanPSMT"/>
          <w:color w:val="000000"/>
          <w:szCs w:val="24"/>
        </w:rPr>
        <w:t xml:space="preserve"> 108,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2</w:t>
      </w:r>
      <w:r w:rsidRPr="00424731">
        <w:rPr>
          <w:rFonts w:eastAsia="TimesNewRomanPSMT" w:cs="TimesNewRomanPSMT"/>
          <w:color w:val="000000"/>
          <w:szCs w:val="24"/>
        </w:rPr>
        <w:t xml:space="preserve"> 110,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3</w:t>
      </w:r>
      <w:r w:rsidRPr="00424731">
        <w:rPr>
          <w:rFonts w:eastAsia="TimesNewRomanPSMT" w:cs="TimesNewRomanPSMT"/>
          <w:color w:val="000000"/>
          <w:szCs w:val="24"/>
        </w:rPr>
        <w:t xml:space="preserve"> 112,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114, and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5</w:t>
      </w:r>
      <w:r w:rsidRPr="00424731">
        <w:rPr>
          <w:rFonts w:eastAsia="TimesNewRomanPSMT" w:cs="TimesNewRomanPSMT"/>
          <w:color w:val="000000"/>
          <w:szCs w:val="24"/>
        </w:rPr>
        <w:t xml:space="preserve"> 116, each of which are, as described above herein, combinations of a specific probability </w:t>
      </w:r>
      <w:r w:rsidRPr="00424731">
        <w:rPr>
          <w:rFonts w:eastAsia="TimesNewRomanPSMT" w:cs="TimesNewRomanPSMT"/>
          <w:i/>
          <w:color w:val="000000"/>
          <w:szCs w:val="24"/>
        </w:rPr>
        <w:t xml:space="preserve">P </w:t>
      </w:r>
      <w:r w:rsidRPr="00424731">
        <w:rPr>
          <w:rFonts w:eastAsia="TimesNewRomanPSMT" w:cs="TimesNewRomanPSMT"/>
          <w:color w:val="000000"/>
          <w:szCs w:val="24"/>
        </w:rPr>
        <w:t xml:space="preserve">and a severity </w:t>
      </w:r>
      <w:r w:rsidRPr="00424731">
        <w:rPr>
          <w:rFonts w:eastAsia="TimesNewRomanPSMT" w:cs="TimesNewRomanPSMT"/>
          <w:i/>
          <w:color w:val="000000"/>
          <w:szCs w:val="24"/>
        </w:rPr>
        <w:t>S</w:t>
      </w:r>
      <w:r w:rsidRPr="00424731">
        <w:rPr>
          <w:rFonts w:eastAsia="TimesNewRomanPSMT" w:cs="TimesNewRomanPSMT"/>
          <w:color w:val="000000"/>
          <w:szCs w:val="24"/>
        </w:rPr>
        <w:t xml:space="preserve">.  Thus,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114 is the combination of </w:t>
      </w:r>
      <w:r w:rsidRPr="00424731">
        <w:rPr>
          <w:rFonts w:eastAsia="TimesNewRomanPSMT" w:cs="TimesNewRomanPSMT"/>
          <w:i/>
          <w:color w:val="000000"/>
          <w:szCs w:val="24"/>
        </w:rPr>
        <w:t>P</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118 and </w:t>
      </w:r>
      <w:r w:rsidRPr="00424731">
        <w:rPr>
          <w:rFonts w:eastAsia="TimesNewRomanPSMT" w:cs="TimesNewRomanPSMT"/>
          <w:i/>
          <w:color w:val="000000"/>
          <w:szCs w:val="24"/>
        </w:rPr>
        <w:t>S</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120.  To account for the changes in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over time,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can be extended along axis 106 to a point 122 at a time </w:t>
      </w:r>
      <w:r w:rsidRPr="00424731">
        <w:rPr>
          <w:rFonts w:eastAsia="TimesNewRomanPSMT" w:cs="TimesNewRomanPSMT"/>
          <w:i/>
          <w:color w:val="000000"/>
          <w:szCs w:val="24"/>
        </w:rPr>
        <w:t>T</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124.  The area 126 bounded by these axes therefore represents the weight based on time, </w:t>
      </w:r>
      <w:r w:rsidRPr="00424731">
        <w:rPr>
          <w:rFonts w:eastAsia="TimesNewRomanPSMT" w:cs="TimesNewRomanPSMT"/>
          <w:i/>
          <w:iCs/>
          <w:color w:val="000000"/>
          <w:szCs w:val="24"/>
        </w:rPr>
        <w:t>W</w:t>
      </w:r>
      <w:r w:rsidRPr="00424731">
        <w:rPr>
          <w:rFonts w:eastAsia="TimesNewRomanPSMT" w:cs="TimesNewRomanPSMT"/>
          <w:color w:val="000000"/>
          <w:szCs w:val="24"/>
        </w:rPr>
        <w:t xml:space="preserve">, given to a particular benefit or risk (in this example, </w:t>
      </w:r>
      <w:r w:rsidRPr="00424731">
        <w:rPr>
          <w:rFonts w:eastAsia="TimesNewRomanPSMT" w:cs="TimesNewRomanPSMT"/>
          <w:i/>
          <w:color w:val="000000"/>
          <w:szCs w:val="24"/>
        </w:rPr>
        <w:t>R</w:t>
      </w:r>
      <w:r w:rsidRPr="00424731">
        <w:rPr>
          <w:rFonts w:eastAsia="TimesNewRomanPSMT" w:cs="TimesNewRomanPSMT"/>
          <w:color w:val="000000"/>
          <w:szCs w:val="24"/>
          <w:vertAlign w:val="subscript"/>
        </w:rPr>
        <w:t>4</w:t>
      </w:r>
      <w:r w:rsidRPr="00424731">
        <w:rPr>
          <w:rFonts w:eastAsia="TimesNewRomanPSMT" w:cs="TimesNewRomanPSMT"/>
          <w:color w:val="000000"/>
          <w:szCs w:val="24"/>
        </w:rPr>
        <w:t xml:space="preserve">) over time.  </w:t>
      </w:r>
    </w:p>
    <w:p w14:paraId="75BA4E1C" w14:textId="77777777" w:rsidR="00B66C73" w:rsidRDefault="00B66C73" w:rsidP="00B66C73">
      <w:pPr>
        <w:keepNext/>
        <w:autoSpaceDE w:val="0"/>
        <w:spacing w:line="240" w:lineRule="auto"/>
        <w:jc w:val="center"/>
      </w:pPr>
      <w:r>
        <w:rPr>
          <w:rFonts w:eastAsia="TimesNewRomanPSMT" w:cs="TimesNewRomanPSMT"/>
          <w:noProof/>
          <w:color w:val="000000"/>
          <w:szCs w:val="24"/>
        </w:rPr>
        <w:drawing>
          <wp:inline distT="0" distB="0" distL="0" distR="0" wp14:anchorId="457A5F7B" wp14:editId="02ADD0B2">
            <wp:extent cx="4305374" cy="3937000"/>
            <wp:effectExtent l="0" t="0" r="0" b="6350"/>
            <wp:docPr id="1953933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7755" cy="3939177"/>
                    </a:xfrm>
                    <a:prstGeom prst="rect">
                      <a:avLst/>
                    </a:prstGeom>
                    <a:noFill/>
                    <a:ln>
                      <a:noFill/>
                    </a:ln>
                  </pic:spPr>
                </pic:pic>
              </a:graphicData>
            </a:graphic>
          </wp:inline>
        </w:drawing>
      </w:r>
    </w:p>
    <w:p w14:paraId="075386F4" w14:textId="4A2D47A6" w:rsidR="00B66C73" w:rsidRDefault="00B66C73" w:rsidP="00B66C73">
      <w:pPr>
        <w:pStyle w:val="Caption"/>
        <w:jc w:val="center"/>
        <w:rPr>
          <w:rFonts w:eastAsia="TimesNewRomanPSMT" w:cs="TimesNewRomanPSMT"/>
          <w:color w:val="000000"/>
          <w:szCs w:val="24"/>
        </w:rPr>
      </w:pPr>
      <w:bookmarkStart w:id="125" w:name="_Ref144992593"/>
      <w:r>
        <w:t xml:space="preserve">Figure </w:t>
      </w:r>
      <w:r>
        <w:fldChar w:fldCharType="begin"/>
      </w:r>
      <w:r>
        <w:instrText xml:space="preserve"> SEQ Figure \* ARABIC </w:instrText>
      </w:r>
      <w:r>
        <w:fldChar w:fldCharType="separate"/>
      </w:r>
      <w:r w:rsidR="00C55FF6">
        <w:rPr>
          <w:noProof/>
        </w:rPr>
        <w:t>6</w:t>
      </w:r>
      <w:r>
        <w:rPr>
          <w:noProof/>
        </w:rPr>
        <w:fldChar w:fldCharType="end"/>
      </w:r>
      <w:bookmarkEnd w:id="125"/>
      <w:r>
        <w:t xml:space="preserve"> - Modeling the Effect of Time on Risk</w:t>
      </w:r>
    </w:p>
    <w:p w14:paraId="2A6CFF01"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We can generalize the area 126 to more complex shapes; e.g., where both the probability and severity are functions of time and </w:t>
      </w:r>
      <w:r>
        <w:rPr>
          <w:rFonts w:eastAsia="TimesNewRomanPSMT" w:cs="TimesNewRomanPSMT"/>
          <w:color w:val="000000"/>
          <w:szCs w:val="24"/>
        </w:rPr>
        <w:t xml:space="preserve">the </w:t>
      </w:r>
      <w:r w:rsidRPr="00424731">
        <w:rPr>
          <w:rFonts w:eastAsia="TimesNewRomanPSMT" w:cs="TimesNewRomanPSMT"/>
          <w:color w:val="000000"/>
          <w:szCs w:val="24"/>
        </w:rPr>
        <w:t xml:space="preserve">principles of integration, from calculus, </w:t>
      </w:r>
      <w:r>
        <w:rPr>
          <w:rFonts w:eastAsia="TimesNewRomanPSMT" w:cs="TimesNewRomanPSMT"/>
          <w:color w:val="000000"/>
          <w:szCs w:val="24"/>
        </w:rPr>
        <w:t xml:space="preserve">are needed </w:t>
      </w:r>
      <w:r w:rsidRPr="00424731">
        <w:rPr>
          <w:rFonts w:eastAsia="TimesNewRomanPSMT" w:cs="TimesNewRomanPSMT"/>
          <w:color w:val="000000"/>
          <w:szCs w:val="24"/>
        </w:rPr>
        <w:t xml:space="preserve">to determine the area (for two dimensions – time and either probability or severity) or volume (for three dimensions – probability, severity, and time).  We will note that, since integration is available to handle arbitrarily complex changes over time, this </w:t>
      </w:r>
      <w:r>
        <w:rPr>
          <w:rFonts w:eastAsia="TimesNewRomanPSMT" w:cs="TimesNewRomanPSMT"/>
          <w:color w:val="000000"/>
          <w:szCs w:val="24"/>
        </w:rPr>
        <w:t>paper</w:t>
      </w:r>
      <w:r w:rsidRPr="00424731">
        <w:rPr>
          <w:rFonts w:eastAsia="TimesNewRomanPSMT" w:cs="TimesNewRomanPSMT"/>
          <w:color w:val="000000"/>
          <w:szCs w:val="24"/>
        </w:rPr>
        <w:t xml:space="preserve"> will use only 2-dimensional, rectangular shapes in its examples. </w:t>
      </w:r>
    </w:p>
    <w:p w14:paraId="327FA454" w14:textId="77777777" w:rsidR="00B66C73" w:rsidRDefault="00B66C73" w:rsidP="00B66C73">
      <w:pPr>
        <w:autoSpaceDE w:val="0"/>
        <w:spacing w:line="240" w:lineRule="auto"/>
        <w:jc w:val="both"/>
        <w:rPr>
          <w:rFonts w:eastAsiaTheme="minorEastAsia" w:cs="Arial"/>
          <w:iCs/>
        </w:rPr>
      </w:pPr>
      <w:r w:rsidRPr="00424731">
        <w:rPr>
          <w:rFonts w:eastAsia="TimesNewRomanPSMT" w:cs="TimesNewRomanPSMT"/>
          <w:color w:val="000000"/>
          <w:szCs w:val="24"/>
        </w:rPr>
        <w:t xml:space="preserve">While other embodiments are available, this </w:t>
      </w:r>
      <w:r>
        <w:rPr>
          <w:rFonts w:eastAsia="TimesNewRomanPSMT" w:cs="TimesNewRomanPSMT"/>
          <w:color w:val="000000"/>
          <w:szCs w:val="24"/>
        </w:rPr>
        <w:t>paper</w:t>
      </w:r>
      <w:r w:rsidRPr="00424731">
        <w:rPr>
          <w:rFonts w:eastAsia="TimesNewRomanPSMT" w:cs="TimesNewRomanPSMT"/>
          <w:color w:val="000000"/>
          <w:szCs w:val="24"/>
        </w:rPr>
        <w:t xml:space="preserve"> will use area (or volume) as the weight for each risk</w:t>
      </w:r>
      <w:r>
        <w:rPr>
          <w:rFonts w:eastAsia="TimesNewRomanPSMT" w:cs="TimesNewRomanPSMT"/>
          <w:color w:val="000000"/>
          <w:szCs w:val="24"/>
        </w:rPr>
        <w:t xml:space="preserve"> to account for time</w:t>
      </w:r>
      <w:r w:rsidRPr="00424731">
        <w:rPr>
          <w:rFonts w:eastAsia="TimesNewRomanPSMT" w:cs="TimesNewRomanPSMT"/>
          <w:color w:val="000000"/>
          <w:szCs w:val="24"/>
        </w:rPr>
        <w:t xml:space="preserve">; i.e., </w:t>
      </w:r>
      <w:r w:rsidRPr="00424731">
        <w:rPr>
          <w:rFonts w:cs="Arial"/>
          <w:iCs/>
        </w:rPr>
        <w:t xml:space="preserve">the </w:t>
      </w:r>
      <w:proofErr w:type="spellStart"/>
      <w:r w:rsidRPr="00424731">
        <w:rPr>
          <w:rFonts w:cs="Arial"/>
          <w:iCs/>
        </w:rPr>
        <w:t>i</w:t>
      </w:r>
      <w:r w:rsidRPr="00424731">
        <w:rPr>
          <w:rFonts w:cs="Arial"/>
          <w:i/>
          <w:vertAlign w:val="superscript"/>
        </w:rPr>
        <w:t>th</w:t>
      </w:r>
      <w:proofErr w:type="spellEnd"/>
      <w:r w:rsidRPr="00424731">
        <w:rPr>
          <w:rFonts w:cs="Arial"/>
          <w:iCs/>
        </w:rPr>
        <w:t xml:space="preserve"> risk, </w:t>
      </w:r>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oMath>
      <w:r w:rsidRPr="00424731">
        <w:rPr>
          <w:rFonts w:cs="Arial"/>
          <w:iCs/>
        </w:rPr>
        <w:t xml:space="preserve">, is represented by the ordered triplet, </w:t>
      </w:r>
    </w:p>
    <w:p w14:paraId="65CFF19F" w14:textId="77777777" w:rsidR="00B66C73" w:rsidRDefault="00000000" w:rsidP="00B66C73">
      <w:pPr>
        <w:keepNext/>
        <w:autoSpaceDE w:val="0"/>
        <w:spacing w:line="240" w:lineRule="auto"/>
        <w:jc w:val="both"/>
      </w:pPr>
      <m:oMathPara>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r>
            <w:rPr>
              <w:rFonts w:ascii="Cambria Math" w:hAnsi="Cambria Math" w:cs="Arial"/>
            </w:rPr>
            <m:t xml:space="preserve">= </m:t>
          </m:r>
          <m:d>
            <m:dPr>
              <m:ctrlPr>
                <w:rPr>
                  <w:rFonts w:ascii="Cambria Math" w:hAnsi="Cambria Math" w:cs="Arial"/>
                  <w:i/>
                  <w:iCs/>
                </w:rPr>
              </m:ctrlPr>
            </m:dPr>
            <m:e>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W</m:t>
                  </m:r>
                </m:e>
                <m:sub>
                  <m:r>
                    <w:rPr>
                      <w:rFonts w:ascii="Cambria Math" w:hAnsi="Cambria Math" w:cs="Arial"/>
                    </w:rPr>
                    <m:t>i</m:t>
                  </m:r>
                </m:sub>
              </m:sSub>
            </m:e>
          </m:d>
        </m:oMath>
      </m:oMathPara>
    </w:p>
    <w:p w14:paraId="7575490F" w14:textId="4E4E6210" w:rsidR="00B66C73" w:rsidRDefault="00B66C73" w:rsidP="00B66C73">
      <w:pPr>
        <w:pStyle w:val="Caption"/>
        <w:jc w:val="right"/>
        <w:rPr>
          <w:rFonts w:eastAsiaTheme="minorEastAsia" w:cs="Arial"/>
          <w:iCs w:val="0"/>
        </w:rPr>
      </w:pPr>
      <w:bookmarkStart w:id="126" w:name="_Ref146787084"/>
      <w:r>
        <w:t xml:space="preserve">Equation </w:t>
      </w:r>
      <w:r>
        <w:fldChar w:fldCharType="begin"/>
      </w:r>
      <w:r>
        <w:instrText xml:space="preserve"> SEQ Equation \* ARABIC </w:instrText>
      </w:r>
      <w:r>
        <w:fldChar w:fldCharType="separate"/>
      </w:r>
      <w:r w:rsidR="003468AE">
        <w:rPr>
          <w:noProof/>
        </w:rPr>
        <w:t>30</w:t>
      </w:r>
      <w:r>
        <w:rPr>
          <w:noProof/>
        </w:rPr>
        <w:fldChar w:fldCharType="end"/>
      </w:r>
      <w:bookmarkEnd w:id="126"/>
    </w:p>
    <w:p w14:paraId="2F80BEA9"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iCs/>
        </w:rPr>
        <w:t xml:space="preserve">and </w:t>
      </w:r>
      <w:r>
        <w:rPr>
          <w:rFonts w:cs="Arial"/>
          <w:iCs/>
        </w:rPr>
        <w:t xml:space="preserve">the equation for </w:t>
      </w:r>
      <m:oMath>
        <m:r>
          <w:rPr>
            <w:rFonts w:ascii="Cambria Math" w:hAnsi="Cambria Math" w:cs="Arial"/>
          </w:rPr>
          <m:t>R</m:t>
        </m:r>
      </m:oMath>
      <w:r>
        <w:rPr>
          <w:rFonts w:cs="Arial"/>
          <w:iCs/>
        </w:rPr>
        <w:t xml:space="preserve"> </w:t>
      </w:r>
      <w:r w:rsidRPr="00424731">
        <w:rPr>
          <w:rFonts w:cs="Arial"/>
          <w:iCs/>
        </w:rPr>
        <w:t>becomes</w:t>
      </w:r>
      <w:r>
        <w:rPr>
          <w:rFonts w:cs="Arial"/>
          <w:iCs/>
        </w:rPr>
        <w:t xml:space="preserve">: </w:t>
      </w:r>
    </w:p>
    <w:p w14:paraId="791F16C2" w14:textId="77777777" w:rsidR="00B66C73" w:rsidRPr="00DB6CFB" w:rsidRDefault="00B66C73" w:rsidP="00B66C73">
      <w:pPr>
        <w:pStyle w:val="Caption"/>
        <w:rPr>
          <w:rFonts w:eastAsiaTheme="minorEastAsia"/>
          <w:sz w:val="22"/>
          <w:szCs w:val="22"/>
        </w:rPr>
      </w:pPr>
      <m:oMathPara>
        <m:oMath>
          <m:r>
            <w:rPr>
              <w:rFonts w:ascii="Cambria Math" w:hAnsi="Cambria Math" w:cs="Arial"/>
              <w:sz w:val="22"/>
              <w:szCs w:val="22"/>
            </w:rPr>
            <m:t>R=</m:t>
          </m:r>
          <m:d>
            <m:dPr>
              <m:begChr m:val="{"/>
              <m:endChr m:val="}"/>
              <m:ctrlPr>
                <w:rPr>
                  <w:rFonts w:ascii="Cambria Math" w:eastAsiaTheme="minorEastAsia" w:hAnsi="Cambria Math"/>
                  <w:sz w:val="22"/>
                  <w:szCs w:val="22"/>
                </w:rPr>
              </m:ctrlPr>
            </m:dPr>
            <m:e>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1</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1</m:t>
                      </m:r>
                    </m:sub>
                  </m:sSub>
                </m:e>
              </m:d>
              <m:r>
                <w:rPr>
                  <w:rFonts w:ascii="Cambria Math" w:eastAsiaTheme="minorEastAsia" w:hAnsi="Cambria Math"/>
                  <w:sz w:val="22"/>
                  <w:szCs w:val="22"/>
                </w:rPr>
                <m:t xml:space="preserve">,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2</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2</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2</m:t>
                      </m:r>
                    </m:sub>
                  </m:sSub>
                </m:e>
              </m:d>
              <m:r>
                <w:rPr>
                  <w:rFonts w:ascii="Cambria Math" w:eastAsiaTheme="minorEastAsia" w:hAnsi="Cambria Math"/>
                  <w:sz w:val="22"/>
                  <w:szCs w:val="22"/>
                </w:rPr>
                <m:t xml:space="preserve">,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3</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3</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5</m:t>
                      </m:r>
                    </m:sub>
                  </m:sSub>
                </m:e>
              </m:d>
              <m:r>
                <w:rPr>
                  <w:rFonts w:ascii="Cambria Math" w:eastAsiaTheme="minorEastAsia" w:hAnsi="Cambria Math"/>
                  <w:sz w:val="22"/>
                  <w:szCs w:val="22"/>
                </w:rPr>
                <m:t xml:space="preserve">, …, </m:t>
              </m:r>
              <m:d>
                <m:dPr>
                  <m:ctrlPr>
                    <w:rPr>
                      <w:rFonts w:ascii="Cambria Math" w:eastAsiaTheme="minorEastAsia" w:hAnsi="Cambria Math"/>
                      <w:sz w:val="22"/>
                      <w:szCs w:val="22"/>
                    </w:rPr>
                  </m:ctrlPr>
                </m:dPr>
                <m:e>
                  <m:sSub>
                    <m:sSubPr>
                      <m:ctrlPr>
                        <w:rPr>
                          <w:rFonts w:ascii="Cambria Math" w:eastAsiaTheme="minorEastAsia" w:hAnsi="Cambria Math"/>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n</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n</m:t>
                      </m:r>
                    </m:sub>
                  </m:sSub>
                  <m:r>
                    <w:rPr>
                      <w:rFonts w:ascii="Cambria Math" w:eastAsiaTheme="minorEastAsia" w:hAnsi="Cambria Math"/>
                      <w:sz w:val="22"/>
                      <w:szCs w:val="22"/>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rPr>
                        <m:t>W</m:t>
                      </m:r>
                    </m:e>
                    <m:sub>
                      <m:r>
                        <w:rPr>
                          <w:rFonts w:ascii="Cambria Math" w:eastAsiaTheme="minorEastAsia" w:hAnsi="Cambria Math"/>
                          <w:sz w:val="22"/>
                          <w:szCs w:val="22"/>
                        </w:rPr>
                        <m:t>n</m:t>
                      </m:r>
                    </m:sub>
                  </m:sSub>
                </m:e>
              </m:d>
            </m:e>
          </m:d>
        </m:oMath>
      </m:oMathPara>
    </w:p>
    <w:p w14:paraId="38B9079D" w14:textId="65B355DE" w:rsidR="00B66C73" w:rsidRPr="00B17109" w:rsidRDefault="00B66C73" w:rsidP="00B66C73">
      <w:pPr>
        <w:pStyle w:val="Caption"/>
        <w:jc w:val="right"/>
        <w:rPr>
          <w:rFonts w:eastAsia="TimesNewRomanPSMT" w:cs="TimesNewRomanPSMT"/>
          <w:color w:val="000000"/>
          <w:szCs w:val="24"/>
        </w:rPr>
      </w:pPr>
      <w:bookmarkStart w:id="127" w:name="_Ref144301892"/>
      <w:r>
        <w:t xml:space="preserve">Equation </w:t>
      </w:r>
      <w:r>
        <w:fldChar w:fldCharType="begin"/>
      </w:r>
      <w:r>
        <w:instrText xml:space="preserve"> SEQ Equation \* ARABIC </w:instrText>
      </w:r>
      <w:r>
        <w:fldChar w:fldCharType="separate"/>
      </w:r>
      <w:r w:rsidR="003468AE">
        <w:rPr>
          <w:noProof/>
        </w:rPr>
        <w:t>31</w:t>
      </w:r>
      <w:r>
        <w:rPr>
          <w:noProof/>
        </w:rPr>
        <w:fldChar w:fldCharType="end"/>
      </w:r>
      <w:bookmarkEnd w:id="127"/>
    </w:p>
    <w:p w14:paraId="2D65E4AF"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iCs/>
        </w:rPr>
        <w:t>While there are different embodiments available for adding time-dependent weights to each risk, in an example address</w:t>
      </w:r>
      <w:r>
        <w:rPr>
          <w:rFonts w:cs="Arial"/>
          <w:iCs/>
        </w:rPr>
        <w:t>es</w:t>
      </w:r>
      <w:r w:rsidRPr="00424731">
        <w:rPr>
          <w:rFonts w:cs="Arial"/>
          <w:iCs/>
        </w:rPr>
        <w:t xml:space="preserve"> the case of modeling a benefit that does not begin until after a period of time has passed and then continues, unchanged, for the rest of the patient’s life, we will define the following additional terms: </w:t>
      </w:r>
    </w:p>
    <w:p w14:paraId="3902CE76" w14:textId="77777777" w:rsidR="00B66C73" w:rsidRPr="0016542D" w:rsidRDefault="00B66C73">
      <w:pPr>
        <w:pStyle w:val="ListParagraph"/>
        <w:numPr>
          <w:ilvl w:val="0"/>
          <w:numId w:val="12"/>
        </w:numPr>
        <w:autoSpaceDE w:val="0"/>
        <w:spacing w:line="240" w:lineRule="auto"/>
        <w:contextualSpacing w:val="0"/>
        <w:jc w:val="both"/>
        <w:rPr>
          <w:rFonts w:eastAsia="TimesNewRomanPSMT" w:cs="TimesNewRomanPSMT"/>
          <w:color w:val="000000"/>
          <w:szCs w:val="24"/>
        </w:rPr>
      </w:pPr>
      <w:r w:rsidRPr="0016542D">
        <w:rPr>
          <w:rFonts w:ascii="Cambria Math" w:hAnsi="Cambria Math" w:cs="Arial"/>
          <w:i/>
          <w:iCs/>
        </w:rPr>
        <w:t>L</w:t>
      </w:r>
      <w:r w:rsidRPr="0016542D">
        <w:rPr>
          <w:rFonts w:cs="Arial"/>
          <w:iCs/>
        </w:rPr>
        <w:t xml:space="preserve"> is th</w:t>
      </w:r>
      <w:r w:rsidRPr="0016542D">
        <w:rPr>
          <w:rFonts w:eastAsiaTheme="minorEastAsia" w:cs="Arial"/>
        </w:rPr>
        <w:t xml:space="preserve">e patient’s expected remaining lifetime, </w:t>
      </w:r>
    </w:p>
    <w:p w14:paraId="3BB76A3F" w14:textId="77777777" w:rsidR="00B66C73" w:rsidRPr="0016542D" w:rsidRDefault="00000000">
      <w:pPr>
        <w:pStyle w:val="ListParagraph"/>
        <w:numPr>
          <w:ilvl w:val="0"/>
          <w:numId w:val="12"/>
        </w:numPr>
        <w:autoSpaceDE w:val="0"/>
        <w:spacing w:line="240" w:lineRule="auto"/>
        <w:contextualSpacing w:val="0"/>
        <w:jc w:val="both"/>
        <w:rPr>
          <w:rFonts w:eastAsia="TimesNewRomanPSMT" w:cs="TimesNewRomanPSMT"/>
          <w:color w:val="000000"/>
          <w:szCs w:val="24"/>
        </w:rPr>
      </w:pPr>
      <m:oMath>
        <m:sSub>
          <m:sSubPr>
            <m:ctrlPr>
              <w:rPr>
                <w:rFonts w:ascii="Cambria Math" w:hAnsi="Cambria Math" w:cs="Arial"/>
              </w:rPr>
            </m:ctrlPr>
          </m:sSubPr>
          <m:e>
            <m:r>
              <w:rPr>
                <w:rFonts w:ascii="Cambria Math" w:hAnsi="Cambria Math" w:cs="Arial"/>
              </w:rPr>
              <m:t>T</m:t>
            </m:r>
          </m:e>
          <m:sub>
            <m:r>
              <w:rPr>
                <w:rFonts w:ascii="Cambria Math" w:hAnsi="Cambria Math" w:cs="Arial"/>
              </w:rPr>
              <m:t>i</m:t>
            </m:r>
          </m:sub>
        </m:sSub>
      </m:oMath>
      <w:r w:rsidR="00B66C73" w:rsidRPr="0016542D">
        <w:rPr>
          <w:rFonts w:eastAsiaTheme="minorEastAsia" w:cs="Arial"/>
        </w:rPr>
        <w:t xml:space="preserve"> is the period of time before the benefit starts, and </w:t>
      </w:r>
    </w:p>
    <w:p w14:paraId="0673C383" w14:textId="77777777" w:rsidR="00B66C73" w:rsidRPr="0016542D" w:rsidRDefault="00B66C73">
      <w:pPr>
        <w:pStyle w:val="ListParagraph"/>
        <w:numPr>
          <w:ilvl w:val="0"/>
          <w:numId w:val="12"/>
        </w:numPr>
        <w:autoSpaceDE w:val="0"/>
        <w:spacing w:line="240" w:lineRule="auto"/>
        <w:contextualSpacing w:val="0"/>
        <w:jc w:val="both"/>
        <w:rPr>
          <w:rFonts w:eastAsia="TimesNewRomanPSMT" w:cs="TimesNewRomanPSMT"/>
          <w:color w:val="000000"/>
          <w:szCs w:val="24"/>
        </w:rPr>
      </w:pPr>
      <w:r w:rsidRPr="0016542D">
        <w:rPr>
          <w:rFonts w:eastAsiaTheme="minorEastAsia" w:cs="Arial"/>
        </w:rPr>
        <w:t xml:space="preserve">the model will linearly weight the benefit over time, based on how long the patient is expected to experience those benefits. </w:t>
      </w:r>
    </w:p>
    <w:p w14:paraId="22203D27" w14:textId="77777777" w:rsidR="00B66C73" w:rsidRPr="00424731" w:rsidRDefault="00B66C73" w:rsidP="00B66C73">
      <w:pPr>
        <w:autoSpaceDE w:val="0"/>
        <w:spacing w:line="240" w:lineRule="auto"/>
        <w:jc w:val="both"/>
        <w:rPr>
          <w:rFonts w:eastAsia="TimesNewRomanPSMT" w:cs="TimesNewRomanPSMT"/>
          <w:color w:val="000000"/>
          <w:szCs w:val="24"/>
        </w:rPr>
      </w:pPr>
      <w:r>
        <w:t xml:space="preserve">In this case, </w:t>
      </w:r>
      <w:r w:rsidRPr="00424731">
        <w:rPr>
          <w:rFonts w:eastAsiaTheme="minorEastAsia" w:cs="Arial"/>
        </w:rPr>
        <w:t xml:space="preserve">for </w:t>
      </w:r>
      <w:r w:rsidRPr="00424731">
        <w:rPr>
          <w:rFonts w:cs="Arial"/>
          <w:iCs/>
        </w:rPr>
        <w:t xml:space="preserve">the </w:t>
      </w:r>
      <w:proofErr w:type="spellStart"/>
      <w:r w:rsidRPr="00424731">
        <w:rPr>
          <w:rFonts w:cs="Arial"/>
          <w:iCs/>
        </w:rPr>
        <w:t>i</w:t>
      </w:r>
      <w:r w:rsidRPr="00424731">
        <w:rPr>
          <w:rFonts w:cs="Arial"/>
          <w:i/>
          <w:vertAlign w:val="superscript"/>
        </w:rPr>
        <w:t>th</w:t>
      </w:r>
      <w:proofErr w:type="spellEnd"/>
      <w:r w:rsidRPr="00424731">
        <w:rPr>
          <w:rFonts w:cs="Arial"/>
          <w:iCs/>
        </w:rPr>
        <w:t xml:space="preserve"> risk,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r>
          <w:rPr>
            <w:rFonts w:ascii="Cambria Math" w:hAnsi="Cambria Math" w:cs="Arial"/>
          </w:rPr>
          <m:t>=</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i</m:t>
            </m:r>
          </m:sub>
        </m:sSub>
        <m:r>
          <w:rPr>
            <w:rFonts w:ascii="Cambria Math" w:eastAsia="TimesNewRomanPSMT" w:hAnsi="Cambria Math" w:cs="TimesNewRomanPSMT"/>
          </w:rPr>
          <m:t xml:space="preserve"> </m:t>
        </m:r>
      </m:oMath>
      <w:r w:rsidRPr="00424731">
        <w:rPr>
          <w:rFonts w:cs="Arial"/>
          <w:iCs/>
        </w:rPr>
        <w:t xml:space="preserve"> and </w:t>
      </w:r>
      <m:oMath>
        <m:sSub>
          <m:sSubPr>
            <m:ctrlPr>
              <w:rPr>
                <w:rFonts w:ascii="Cambria Math" w:hAnsi="Cambria Math" w:cs="Arial"/>
                <w:iCs/>
              </w:rPr>
            </m:ctrlPr>
          </m:sSubPr>
          <m:e>
            <m:r>
              <w:rPr>
                <w:rFonts w:ascii="Cambria Math" w:hAnsi="Cambria Math" w:cs="Arial"/>
              </w:rPr>
              <m:t>R</m:t>
            </m:r>
          </m:e>
          <m:sub>
            <m:r>
              <w:rPr>
                <w:rFonts w:ascii="Cambria Math" w:hAnsi="Cambria Math" w:cs="Arial"/>
              </w:rPr>
              <m:t>i</m:t>
            </m:r>
          </m:sub>
        </m:sSub>
        <m:r>
          <w:rPr>
            <w:rFonts w:ascii="Cambria Math" w:hAnsi="Cambria Math" w:cs="Arial"/>
          </w:rPr>
          <m:t xml:space="preserve">= </m:t>
        </m:r>
        <m:d>
          <m:dPr>
            <m:ctrlPr>
              <w:rPr>
                <w:rFonts w:ascii="Cambria Math" w:hAnsi="Cambria Math" w:cs="Arial"/>
                <w:i/>
                <w:iCs/>
              </w:rPr>
            </m:ctrlPr>
          </m:dPr>
          <m:e>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r>
              <w:rPr>
                <w:rFonts w:ascii="Cambria Math" w:hAnsi="Cambria Math" w:cs="Arial"/>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i</m:t>
                </m:r>
              </m:sub>
            </m:sSub>
            <m:r>
              <w:rPr>
                <w:rFonts w:ascii="Cambria Math" w:eastAsia="TimesNewRomanPSMT" w:hAnsi="Cambria Math" w:cs="TimesNewRomanPSMT"/>
              </w:rPr>
              <m:t xml:space="preserve"> </m:t>
            </m:r>
          </m:e>
        </m:d>
      </m:oMath>
      <w:r w:rsidRPr="00424731">
        <w:rPr>
          <w:rFonts w:cs="Arial"/>
          <w:iCs/>
        </w:rPr>
        <w:t>.</w:t>
      </w:r>
      <w:r>
        <w:rPr>
          <w:rFonts w:cs="Arial"/>
          <w:iCs/>
        </w:rPr>
        <w:t xml:space="preserve">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Pr>
          <w:rFonts w:eastAsiaTheme="minorEastAsia" w:cs="Arial"/>
          <w:iCs/>
        </w:rPr>
        <w:t xml:space="preserve"> can be modified to reflect the deferred value of the benefit not beginning immediately, but this modification may need to account for Patient Preference, as is described in the next section, titled “</w:t>
      </w:r>
      <w:r w:rsidRPr="00424731">
        <w:rPr>
          <w:rFonts w:eastAsia="TimesNewRomanPSMT" w:cs="TimesNewRomanPSMT"/>
          <w:bCs/>
          <w:i/>
          <w:iCs/>
          <w:color w:val="000000"/>
          <w:szCs w:val="24"/>
        </w:rPr>
        <w:t>Adapting to Individual Patient Preference</w:t>
      </w:r>
      <w:r>
        <w:rPr>
          <w:rFonts w:eastAsiaTheme="minorEastAsia" w:cs="Arial"/>
          <w:iCs/>
        </w:rPr>
        <w:t xml:space="preserve">”. </w:t>
      </w:r>
    </w:p>
    <w:p w14:paraId="49D6BC5C" w14:textId="33C081B1"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iCs/>
        </w:rPr>
        <w:t xml:space="preserve">While, in general, each value of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sidRPr="00424731">
        <w:rPr>
          <w:rFonts w:cs="Arial"/>
          <w:iCs/>
        </w:rPr>
        <w:t xml:space="preserve"> will be calculated by a different equation, in the special case where every risk does not begin until after a period of time has passed,</w:t>
      </w:r>
      <w:r w:rsidRPr="00424731">
        <w:rPr>
          <w:rFonts w:eastAsia="TimesNewRomanPSMT" w:cs="TimesNewRomanPSMT"/>
          <w:color w:val="000000"/>
          <w:szCs w:val="24"/>
        </w:rPr>
        <w:t xml:space="preserve"> and </w:t>
      </w:r>
      <w:r>
        <w:rPr>
          <w:rFonts w:eastAsia="TimesNewRomanPSMT" w:cs="TimesNewRomanPSMT"/>
          <w:color w:val="000000"/>
          <w:szCs w:val="24"/>
        </w:rPr>
        <w:fldChar w:fldCharType="begin"/>
      </w:r>
      <w:r>
        <w:rPr>
          <w:rFonts w:eastAsia="TimesNewRomanPSMT" w:cs="TimesNewRomanPSMT"/>
          <w:color w:val="000000"/>
          <w:szCs w:val="24"/>
        </w:rPr>
        <w:instrText xml:space="preserve"> REF _Ref144301892 \h </w:instrText>
      </w:r>
      <w:r>
        <w:rPr>
          <w:rFonts w:eastAsia="TimesNewRomanPSMT" w:cs="TimesNewRomanPSMT"/>
          <w:color w:val="000000"/>
          <w:szCs w:val="24"/>
        </w:rPr>
      </w:r>
      <w:r>
        <w:rPr>
          <w:rFonts w:eastAsia="TimesNewRomanPSMT" w:cs="TimesNewRomanPSMT"/>
          <w:color w:val="000000"/>
          <w:szCs w:val="24"/>
        </w:rPr>
        <w:fldChar w:fldCharType="separate"/>
      </w:r>
      <w:r w:rsidR="001E41EA">
        <w:t xml:space="preserve">Equation </w:t>
      </w:r>
      <w:r w:rsidR="001E41EA">
        <w:rPr>
          <w:noProof/>
        </w:rPr>
        <w:t>37</w:t>
      </w:r>
      <w:r>
        <w:rPr>
          <w:rFonts w:eastAsia="TimesNewRomanPSMT" w:cs="TimesNewRomanPSMT"/>
          <w:color w:val="000000"/>
          <w:szCs w:val="24"/>
        </w:rPr>
        <w:fldChar w:fldCharType="end"/>
      </w:r>
      <w:r>
        <w:rPr>
          <w:rFonts w:eastAsia="TimesNewRomanPSMT" w:cs="TimesNewRomanPSMT"/>
          <w:color w:val="000000"/>
          <w:szCs w:val="24"/>
        </w:rPr>
        <w:t xml:space="preserve"> </w:t>
      </w:r>
      <w:r w:rsidRPr="00424731">
        <w:rPr>
          <w:rFonts w:eastAsia="TimesNewRomanPSMT" w:cs="TimesNewRomanPSMT"/>
          <w:color w:val="000000"/>
          <w:szCs w:val="24"/>
        </w:rPr>
        <w:t>becomes</w:t>
      </w:r>
      <w:r>
        <w:rPr>
          <w:rFonts w:eastAsia="TimesNewRomanPSMT" w:cs="TimesNewRomanPSMT"/>
          <w:color w:val="000000"/>
          <w:szCs w:val="24"/>
        </w:rPr>
        <w:t>:</w:t>
      </w:r>
      <w:r w:rsidRPr="00424731">
        <w:rPr>
          <w:rFonts w:eastAsia="TimesNewRomanPSMT" w:cs="TimesNewRomanPSMT"/>
          <w:color w:val="000000"/>
          <w:szCs w:val="24"/>
        </w:rPr>
        <w:t xml:space="preserve"> </w:t>
      </w:r>
    </w:p>
    <w:p w14:paraId="4E05024B" w14:textId="77777777" w:rsidR="00B66C73" w:rsidRPr="00424731" w:rsidRDefault="00B66C73" w:rsidP="00B66C73">
      <w:pPr>
        <w:spacing w:line="240" w:lineRule="auto"/>
        <w:rPr>
          <w:rFonts w:eastAsia="TimesNewRomanPSMT" w:cs="TimesNewRomanPSMT"/>
          <w:color w:val="000000"/>
          <w:szCs w:val="24"/>
        </w:rPr>
      </w:pPr>
      <m:oMathPara>
        <m:oMath>
          <m:r>
            <w:rPr>
              <w:rFonts w:ascii="Cambria Math" w:hAnsi="Cambria Math" w:cs="Arial"/>
            </w:rPr>
            <m:t>R=</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1</m:t>
                      </m:r>
                    </m:sub>
                  </m:sSub>
                  <m:r>
                    <w:rPr>
                      <w:rFonts w:ascii="Cambria Math" w:eastAsia="TimesNewRomanPSMT" w:hAnsi="Cambria Math" w:cs="TimesNewRomanPSMT"/>
                    </w:rPr>
                    <m:t xml:space="preserve"> </m:t>
                  </m:r>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2</m:t>
                      </m:r>
                    </m:sub>
                  </m:sSub>
                  <m:r>
                    <w:rPr>
                      <w:rFonts w:ascii="Cambria Math" w:eastAsia="TimesNewRomanPSMT" w:hAnsi="Cambria Math" w:cs="TimesNewRomanPSMT"/>
                    </w:rPr>
                    <m:t xml:space="preserve"> </m:t>
                  </m:r>
                </m:e>
              </m:d>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3</m:t>
                      </m:r>
                    </m:sub>
                  </m:sSub>
                  <m:r>
                    <w:rPr>
                      <w:rFonts w:ascii="Cambria Math" w:eastAsia="TimesNewRomanPSMT" w:hAnsi="Cambria Math" w:cs="TimesNewRomanPSMT"/>
                    </w:rPr>
                    <m:t xml:space="preserve"> </m:t>
                  </m:r>
                </m:e>
              </m:d>
              <m:r>
                <w:rPr>
                  <w:rFonts w:ascii="Cambria Math" w:eastAsiaTheme="minorEastAsia" w:hAnsi="Cambria Math"/>
                </w:rPr>
                <m:t xml:space="preserve">, …,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 xml:space="preserve">, </m:t>
                  </m:r>
                  <m:r>
                    <w:rPr>
                      <w:rFonts w:ascii="Cambria Math" w:eastAsia="TimesNewRomanPSMT" w:hAnsi="Cambria Math" w:cs="TimesNewRomanPSMT"/>
                    </w:rPr>
                    <m:t>L-</m:t>
                  </m:r>
                  <m:sSub>
                    <m:sSubPr>
                      <m:ctrlPr>
                        <w:rPr>
                          <w:rFonts w:ascii="Cambria Math" w:eastAsia="TimesNewRomanPSMT" w:hAnsi="Cambria Math" w:cs="TimesNewRomanPSMT"/>
                          <w:i/>
                        </w:rPr>
                      </m:ctrlPr>
                    </m:sSubPr>
                    <m:e>
                      <m:r>
                        <w:rPr>
                          <w:rFonts w:ascii="Cambria Math" w:eastAsia="TimesNewRomanPSMT" w:hAnsi="Cambria Math" w:cs="TimesNewRomanPSMT"/>
                        </w:rPr>
                        <m:t>T</m:t>
                      </m:r>
                    </m:e>
                    <m:sub>
                      <m:r>
                        <w:rPr>
                          <w:rFonts w:ascii="Cambria Math" w:eastAsia="TimesNewRomanPSMT" w:hAnsi="Cambria Math" w:cs="TimesNewRomanPSMT"/>
                        </w:rPr>
                        <m:t>n</m:t>
                      </m:r>
                    </m:sub>
                  </m:sSub>
                  <m:r>
                    <w:rPr>
                      <w:rFonts w:ascii="Cambria Math" w:eastAsia="TimesNewRomanPSMT" w:hAnsi="Cambria Math" w:cs="TimesNewRomanPSMT"/>
                    </w:rPr>
                    <m:t xml:space="preserve"> </m:t>
                  </m:r>
                </m:e>
              </m:d>
            </m:e>
          </m:d>
        </m:oMath>
      </m:oMathPara>
    </w:p>
    <w:p w14:paraId="3135CE2A" w14:textId="77777777" w:rsidR="00B66C73" w:rsidRDefault="00B66C73" w:rsidP="00B66C73">
      <w:pPr>
        <w:autoSpaceDE w:val="0"/>
        <w:spacing w:line="240" w:lineRule="auto"/>
        <w:jc w:val="both"/>
        <w:rPr>
          <w:rFonts w:eastAsiaTheme="minorEastAsia"/>
        </w:rPr>
      </w:pPr>
      <w:r w:rsidRPr="00424731">
        <w:rPr>
          <w:rFonts w:eastAsiaTheme="minorEastAsia"/>
        </w:rPr>
        <w:t xml:space="preserve">To perform ‘risk algebra’ for risks with a weight that accounts for the variation of risk over time, first ensure that all of the risks have weights with the same dimension for time.  Then, for each cell in Table 10, note the probability for that cell’s row, the severity for that cell’s column, add the weights for each risk </w:t>
      </w:r>
      <w:r w:rsidRPr="00F60A9B">
        <w:t xml:space="preserve">in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sidRPr="00424731">
        <w:rPr>
          <w:rFonts w:eastAsiaTheme="minorEastAsia"/>
        </w:rPr>
        <w:t xml:space="preserve"> with that same combination of probability and severity, and populated that cell with the sum of the weights for that combination probability and severity.  Repeat this for Table 14</w:t>
      </w:r>
      <w:r>
        <w:rPr>
          <w:rFonts w:eastAsiaTheme="minorEastAsia"/>
        </w:rPr>
        <w:t>,</w:t>
      </w:r>
      <w:r w:rsidRPr="00424731">
        <w:rPr>
          <w:rFonts w:eastAsiaTheme="minorEastAsia"/>
        </w:rPr>
        <w:t xml:space="preserve"> with the risks in </w:t>
      </w:r>
      <m:oMath>
        <m:sSub>
          <m:sSubPr>
            <m:ctrlPr>
              <w:rPr>
                <w:rFonts w:ascii="Cambria Math" w:hAnsi="Cambria Math"/>
                <w:i/>
              </w:rPr>
            </m:ctrlPr>
          </m:sSubPr>
          <m:e>
            <m:r>
              <w:rPr>
                <w:rFonts w:ascii="Cambria Math" w:hAnsi="Cambria Math"/>
              </w:rPr>
              <m:t>R</m:t>
            </m:r>
          </m:e>
          <m:sub>
            <m:r>
              <w:rPr>
                <w:rFonts w:ascii="Cambria Math" w:hAnsi="Cambria Math"/>
              </w:rPr>
              <m:t>A</m:t>
            </m:r>
          </m:sub>
        </m:sSub>
        <m:nary>
          <m:naryPr>
            <m:chr m:val="⋃"/>
            <m:subHide m:val="1"/>
            <m:supHide m:val="1"/>
            <m:ctrlPr>
              <w:rPr>
                <w:rFonts w:ascii="Cambria Math" w:eastAsiaTheme="minorEastAsia" w:hAnsi="Cambria Math"/>
                <w:i/>
              </w:rPr>
            </m:ctrlPr>
          </m:naryPr>
          <m:sub/>
          <m:sup/>
          <m:e>
            <m:r>
              <w:rPr>
                <w:rFonts w:ascii="Cambria Math" w:eastAsiaTheme="minorEastAsia" w:hAnsi="Cambria Math"/>
              </w:rPr>
              <m:t>R</m:t>
            </m:r>
          </m:e>
        </m:nary>
      </m:oMath>
      <w:r w:rsidRPr="00424731">
        <w:rPr>
          <w:rFonts w:eastAsiaTheme="minorEastAsia"/>
        </w:rPr>
        <w:t xml:space="preserve">.  (This is equivalent to what was described for risks without a weight for time if we assign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r>
          <w:rPr>
            <w:rFonts w:ascii="Cambria Math" w:hAnsi="Cambria Math" w:cs="Arial"/>
          </w:rPr>
          <m:t>=1</m:t>
        </m:r>
      </m:oMath>
      <w:r w:rsidRPr="00424731">
        <w:rPr>
          <w:rFonts w:eastAsiaTheme="minorEastAsia"/>
        </w:rPr>
        <w:t xml:space="preserve"> for all values of </w:t>
      </w:r>
      <w:proofErr w:type="spellStart"/>
      <w:r w:rsidRPr="00424731">
        <w:rPr>
          <w:rFonts w:eastAsiaTheme="minorEastAsia"/>
          <w:i/>
          <w:iCs/>
        </w:rPr>
        <w:t>i</w:t>
      </w:r>
      <w:proofErr w:type="spellEnd"/>
      <w:r w:rsidRPr="00424731">
        <w:rPr>
          <w:rFonts w:eastAsiaTheme="minorEastAsia"/>
        </w:rPr>
        <w:t xml:space="preserve">.)  </w:t>
      </w:r>
    </w:p>
    <w:p w14:paraId="7832EFB4" w14:textId="7A008976" w:rsidR="00B66C73" w:rsidRPr="001E2E78" w:rsidRDefault="00B66C73" w:rsidP="00B66C73">
      <w:pPr>
        <w:autoSpaceDE w:val="0"/>
        <w:spacing w:line="240" w:lineRule="auto"/>
        <w:jc w:val="both"/>
        <w:rPr>
          <w:rFonts w:eastAsiaTheme="minorEastAsia"/>
        </w:rPr>
      </w:pPr>
      <w:r>
        <w:rPr>
          <w:rFonts w:eastAsiaTheme="minorEastAsia"/>
        </w:rPr>
        <w:t xml:space="preserve">The previously described ‘risk algebra’ rules works when risk is represented by a triplet (per </w:t>
      </w:r>
      <w:r>
        <w:rPr>
          <w:rFonts w:eastAsiaTheme="minorEastAsia"/>
        </w:rPr>
        <w:fldChar w:fldCharType="begin"/>
      </w:r>
      <w:r>
        <w:rPr>
          <w:rFonts w:eastAsiaTheme="minorEastAsia"/>
        </w:rPr>
        <w:instrText xml:space="preserve"> REF _Ref146787084 \h </w:instrText>
      </w:r>
      <w:r>
        <w:rPr>
          <w:rFonts w:eastAsiaTheme="minorEastAsia"/>
        </w:rPr>
      </w:r>
      <w:r>
        <w:rPr>
          <w:rFonts w:eastAsiaTheme="minorEastAsia"/>
        </w:rPr>
        <w:fldChar w:fldCharType="separate"/>
      </w:r>
      <w:r w:rsidR="001E41EA">
        <w:t xml:space="preserve">Equation </w:t>
      </w:r>
      <w:r w:rsidR="001E41EA">
        <w:rPr>
          <w:noProof/>
        </w:rPr>
        <w:t>36</w:t>
      </w:r>
      <w:r>
        <w:rPr>
          <w:rFonts w:eastAsiaTheme="minorEastAsia"/>
        </w:rPr>
        <w:fldChar w:fldCharType="end"/>
      </w:r>
      <w:r>
        <w:rPr>
          <w:rFonts w:eastAsiaTheme="minorEastAsia"/>
        </w:rPr>
        <w:t xml:space="preserve">), as it did when risk was represented as an ordered pair (per </w:t>
      </w:r>
      <w:r>
        <w:rPr>
          <w:rFonts w:eastAsiaTheme="minorEastAsia"/>
        </w:rPr>
        <w:fldChar w:fldCharType="begin"/>
      </w:r>
      <w:r>
        <w:rPr>
          <w:rFonts w:eastAsiaTheme="minorEastAsia"/>
        </w:rPr>
        <w:instrText xml:space="preserve"> REF _Ref141191908 \h </w:instrText>
      </w:r>
      <w:r>
        <w:rPr>
          <w:rFonts w:eastAsiaTheme="minorEastAsia"/>
        </w:rPr>
      </w:r>
      <w:r>
        <w:rPr>
          <w:rFonts w:eastAsiaTheme="minorEastAsia"/>
        </w:rPr>
        <w:fldChar w:fldCharType="separate"/>
      </w:r>
      <w:r w:rsidR="001E41EA">
        <w:t xml:space="preserve">Equation </w:t>
      </w:r>
      <w:r w:rsidR="001E41EA">
        <w:rPr>
          <w:noProof/>
        </w:rPr>
        <w:t>3</w:t>
      </w:r>
      <w:r>
        <w:rPr>
          <w:rFonts w:eastAsiaTheme="minorEastAsia"/>
        </w:rPr>
        <w:fldChar w:fldCharType="end"/>
      </w:r>
      <w:r>
        <w:rPr>
          <w:rFonts w:eastAsiaTheme="minorEastAsia"/>
        </w:rPr>
        <w:t xml:space="preserve">).  The complication with </w:t>
      </w:r>
      <w:r>
        <w:rPr>
          <w:rFonts w:eastAsiaTheme="minorEastAsia"/>
        </w:rPr>
        <w:fldChar w:fldCharType="begin"/>
      </w:r>
      <w:r>
        <w:rPr>
          <w:rFonts w:eastAsiaTheme="minorEastAsia"/>
        </w:rPr>
        <w:instrText xml:space="preserve"> REF _Ref146787084 \h </w:instrText>
      </w:r>
      <w:r>
        <w:rPr>
          <w:rFonts w:eastAsiaTheme="minorEastAsia"/>
        </w:rPr>
      </w:r>
      <w:r>
        <w:rPr>
          <w:rFonts w:eastAsiaTheme="minorEastAsia"/>
        </w:rPr>
        <w:fldChar w:fldCharType="separate"/>
      </w:r>
      <w:r w:rsidR="001E41EA">
        <w:t xml:space="preserve">Equation </w:t>
      </w:r>
      <w:r w:rsidR="001E41EA">
        <w:rPr>
          <w:noProof/>
        </w:rPr>
        <w:t>36</w:t>
      </w:r>
      <w:r>
        <w:rPr>
          <w:rFonts w:eastAsiaTheme="minorEastAsia"/>
        </w:rPr>
        <w:fldChar w:fldCharType="end"/>
      </w:r>
      <w:r>
        <w:rPr>
          <w:rFonts w:eastAsiaTheme="minorEastAsia"/>
        </w:rPr>
        <w:t xml:space="preserve"> is that simplifying risks, e.g., with the “Removing Identical Risks” rule, may result in the term remaining, with some amount of time associated with the Probability – Severity combination.  The algebraic risk rule for simplifying risks by “Removing Unequal Risks” is useful for cleaning out probability – severity combinations with small amounts of time remaining.  </w:t>
      </w:r>
    </w:p>
    <w:p w14:paraId="5522D369" w14:textId="77777777" w:rsidR="00B66C73" w:rsidRPr="00424731" w:rsidRDefault="00B66C73" w:rsidP="00806685">
      <w:pPr>
        <w:spacing w:after="0" w:line="240" w:lineRule="auto"/>
        <w:rPr>
          <w:rFonts w:eastAsia="TimesNewRomanPSMT" w:cs="TimesNewRomanPSMT"/>
          <w:color w:val="000000"/>
          <w:szCs w:val="24"/>
        </w:rPr>
      </w:pPr>
      <w:bookmarkStart w:id="128" w:name="_Hlk132057639"/>
    </w:p>
    <w:p w14:paraId="22D3ADC7" w14:textId="33442B7E" w:rsidR="00B66C73" w:rsidRPr="006A4630" w:rsidRDefault="00B66C73" w:rsidP="0087428B">
      <w:pPr>
        <w:pStyle w:val="Heading2"/>
        <w:rPr>
          <w:rFonts w:eastAsia="TimesNewRomanPSMT" w:cs="TimesNewRomanPSMT"/>
          <w:b/>
          <w:color w:val="000000"/>
          <w:u w:val="single"/>
        </w:rPr>
      </w:pPr>
      <w:bookmarkStart w:id="129" w:name="_Toc156728682"/>
      <w:r w:rsidRPr="006A4630">
        <w:rPr>
          <w:rFonts w:eastAsia="TimesNewRomanPSMT" w:cs="TimesNewRomanPSMT"/>
          <w:b/>
          <w:color w:val="000000"/>
          <w:u w:val="single"/>
        </w:rPr>
        <w:t xml:space="preserve">Uncertainty in the </w:t>
      </w:r>
      <w:r w:rsidR="00EC42E0">
        <w:rPr>
          <w:rFonts w:eastAsia="TimesNewRomanPSMT" w:cs="TimesNewRomanPSMT"/>
          <w:b/>
          <w:color w:val="000000"/>
          <w:u w:val="single"/>
        </w:rPr>
        <w:t>Benefit-Risk</w:t>
      </w:r>
      <w:r w:rsidRPr="006A4630">
        <w:rPr>
          <w:rFonts w:eastAsia="TimesNewRomanPSMT" w:cs="TimesNewRomanPSMT"/>
          <w:b/>
          <w:color w:val="000000"/>
          <w:u w:val="single"/>
        </w:rPr>
        <w:t xml:space="preserve"> Analysis</w:t>
      </w:r>
      <w:bookmarkEnd w:id="129"/>
    </w:p>
    <w:p w14:paraId="2DBE74F3" w14:textId="5C9FBE5A"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Because the inputs to the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have uncertainty intervals around them, the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also has an uncertainty interval around its conclusion that the Benefit outweighs the Risk.  Knowing this uncertainty interval can inform decisions about how much the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decision can be trusted</w:t>
      </w:r>
      <w:r w:rsidR="006D0A92">
        <w:rPr>
          <w:rFonts w:eastAsia="TimesNewRomanPSMT" w:cs="TimesNewRomanPSMT"/>
          <w:color w:val="000000"/>
          <w:szCs w:val="24"/>
        </w:rPr>
        <w:t>;</w:t>
      </w:r>
      <w:r w:rsidRPr="00424731">
        <w:rPr>
          <w:rFonts w:eastAsia="TimesNewRomanPSMT" w:cs="TimesNewRomanPSMT"/>
          <w:color w:val="000000"/>
          <w:szCs w:val="24"/>
        </w:rPr>
        <w:t xml:space="preserve"> e.g., if the uncertainty interval of each Table in</w:t>
      </w:r>
      <w:r>
        <w:rPr>
          <w:rFonts w:eastAsia="TimesNewRomanPSMT" w:cs="TimesNewRomanPSMT"/>
          <w:color w:val="000000"/>
          <w:szCs w:val="24"/>
        </w:rPr>
        <w:t xml:space="preserve"> </w:t>
      </w:r>
      <w:r w:rsidR="006D0A92">
        <w:rPr>
          <w:rFonts w:eastAsia="TimesNewRomanPSMT" w:cs="TimesNewRomanPSMT"/>
          <w:color w:val="000000"/>
          <w:szCs w:val="24"/>
        </w:rPr>
        <w:fldChar w:fldCharType="begin"/>
      </w:r>
      <w:r w:rsidR="006D0A92">
        <w:rPr>
          <w:rFonts w:eastAsia="TimesNewRomanPSMT" w:cs="TimesNewRomanPSMT"/>
          <w:color w:val="000000"/>
          <w:szCs w:val="24"/>
        </w:rPr>
        <w:instrText xml:space="preserve"> REF _Ref147639186 \h </w:instrText>
      </w:r>
      <w:r w:rsidR="006D0A92">
        <w:rPr>
          <w:rFonts w:eastAsia="TimesNewRomanPSMT" w:cs="TimesNewRomanPSMT"/>
          <w:color w:val="000000"/>
          <w:szCs w:val="24"/>
        </w:rPr>
      </w:r>
      <w:r w:rsidR="006D0A92">
        <w:rPr>
          <w:rFonts w:eastAsia="TimesNewRomanPSMT" w:cs="TimesNewRomanPSMT"/>
          <w:color w:val="000000"/>
          <w:szCs w:val="24"/>
        </w:rPr>
        <w:fldChar w:fldCharType="separate"/>
      </w:r>
      <w:r w:rsidR="001E41EA">
        <w:t xml:space="preserve">Equation </w:t>
      </w:r>
      <w:r w:rsidR="001E41EA">
        <w:rPr>
          <w:noProof/>
        </w:rPr>
        <w:t>9</w:t>
      </w:r>
      <w:r w:rsidR="006D0A92">
        <w:rPr>
          <w:rFonts w:eastAsia="TimesNewRomanPSMT" w:cs="TimesNewRomanPSMT"/>
          <w:color w:val="000000"/>
          <w:szCs w:val="24"/>
        </w:rPr>
        <w:fldChar w:fldCharType="end"/>
      </w:r>
      <w:r w:rsidR="006D0A92">
        <w:rPr>
          <w:rFonts w:eastAsia="TimesNewRomanPSMT" w:cs="TimesNewRomanPSMT"/>
          <w:color w:val="000000"/>
          <w:szCs w:val="24"/>
        </w:rPr>
        <w:t xml:space="preserve"> </w:t>
      </w:r>
      <w:r w:rsidRPr="00424731">
        <w:rPr>
          <w:rFonts w:eastAsia="TimesNewRomanPSMT" w:cs="TimesNewRomanPSMT"/>
          <w:color w:val="000000"/>
          <w:szCs w:val="24"/>
        </w:rPr>
        <w:t>is much smaller than the difference between the right and left sides of</w:t>
      </w:r>
      <w:r>
        <w:rPr>
          <w:rFonts w:eastAsia="TimesNewRomanPSMT" w:cs="TimesNewRomanPSMT"/>
          <w:color w:val="000000"/>
          <w:szCs w:val="24"/>
        </w:rPr>
        <w:t xml:space="preserve"> </w:t>
      </w:r>
      <w:r>
        <w:fldChar w:fldCharType="begin"/>
      </w:r>
      <w:r>
        <w:instrText xml:space="preserve"> REF _Ref147639186 \h </w:instrText>
      </w:r>
      <w:r>
        <w:fldChar w:fldCharType="separate"/>
      </w:r>
      <w:r w:rsidR="001E41EA">
        <w:t xml:space="preserve">Equation </w:t>
      </w:r>
      <w:r w:rsidR="001E41EA">
        <w:rPr>
          <w:noProof/>
        </w:rPr>
        <w:t>9</w:t>
      </w:r>
      <w:r>
        <w:fldChar w:fldCharType="end"/>
      </w:r>
      <w:r w:rsidRPr="00424731">
        <w:rPr>
          <w:rFonts w:eastAsia="TimesNewRomanPSMT" w:cs="TimesNewRomanPSMT"/>
          <w:color w:val="000000"/>
          <w:szCs w:val="24"/>
        </w:rPr>
        <w:t xml:space="preserve">, then conclusion of the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can be trusted.  Conversely, if the uncertainty interval of each Table in </w:t>
      </w:r>
      <w:r w:rsidR="006D0A92">
        <w:fldChar w:fldCharType="begin"/>
      </w:r>
      <w:r w:rsidR="006D0A92">
        <w:instrText xml:space="preserve"> REF _Ref147639186 \h </w:instrText>
      </w:r>
      <w:r w:rsidR="006D0A92">
        <w:fldChar w:fldCharType="separate"/>
      </w:r>
      <w:r w:rsidR="001E41EA">
        <w:t xml:space="preserve">Equation </w:t>
      </w:r>
      <w:r w:rsidR="001E41EA">
        <w:rPr>
          <w:noProof/>
        </w:rPr>
        <w:t>9</w:t>
      </w:r>
      <w:r w:rsidR="006D0A92">
        <w:fldChar w:fldCharType="end"/>
      </w:r>
      <w:r w:rsidRPr="00424731">
        <w:rPr>
          <w:rFonts w:eastAsia="TimesNewRomanPSMT" w:cs="TimesNewRomanPSMT"/>
          <w:color w:val="000000"/>
          <w:szCs w:val="24"/>
        </w:rPr>
        <w:t xml:space="preserve"> is much greater than the </w:t>
      </w:r>
      <w:r w:rsidRPr="00424731">
        <w:rPr>
          <w:rFonts w:eastAsia="TimesNewRomanPSMT" w:cs="TimesNewRomanPSMT"/>
          <w:color w:val="000000"/>
          <w:szCs w:val="24"/>
        </w:rPr>
        <w:lastRenderedPageBreak/>
        <w:t>difference between the right and left sides of</w:t>
      </w:r>
      <w:r>
        <w:rPr>
          <w:rFonts w:eastAsia="TimesNewRomanPSMT" w:cs="TimesNewRomanPSMT"/>
          <w:color w:val="000000"/>
          <w:szCs w:val="24"/>
        </w:rPr>
        <w:t xml:space="preserve"> </w:t>
      </w:r>
      <w:r w:rsidR="0007096F">
        <w:fldChar w:fldCharType="begin"/>
      </w:r>
      <w:r w:rsidR="0007096F">
        <w:instrText xml:space="preserve"> REF _Ref147639186 \h </w:instrText>
      </w:r>
      <w:r w:rsidR="0007096F">
        <w:fldChar w:fldCharType="separate"/>
      </w:r>
      <w:r w:rsidR="0007096F">
        <w:t xml:space="preserve">Equation </w:t>
      </w:r>
      <w:r w:rsidR="0007096F">
        <w:rPr>
          <w:noProof/>
        </w:rPr>
        <w:t>9</w:t>
      </w:r>
      <w:r w:rsidR="0007096F">
        <w:fldChar w:fldCharType="end"/>
      </w:r>
      <w:r w:rsidRPr="00424731">
        <w:rPr>
          <w:rFonts w:eastAsia="TimesNewRomanPSMT" w:cs="TimesNewRomanPSMT"/>
          <w:color w:val="000000"/>
          <w:szCs w:val="24"/>
        </w:rPr>
        <w:t xml:space="preserve">, then conclusion of the </w:t>
      </w:r>
      <w:r w:rsidR="00EC42E0">
        <w:rPr>
          <w:rFonts w:eastAsia="TimesNewRomanPSMT" w:cs="TimesNewRomanPSMT"/>
          <w:color w:val="000000"/>
          <w:szCs w:val="24"/>
        </w:rPr>
        <w:t>Benefit-Risk</w:t>
      </w:r>
      <w:r w:rsidRPr="00424731">
        <w:rPr>
          <w:rFonts w:eastAsia="TimesNewRomanPSMT" w:cs="TimesNewRomanPSMT"/>
          <w:color w:val="000000"/>
          <w:szCs w:val="24"/>
        </w:rPr>
        <w:t xml:space="preserve"> Analysis should can be questioned.  </w:t>
      </w:r>
    </w:p>
    <w:p w14:paraId="7E9956F4"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In at least one example, the Taylor Series can be used </w:t>
      </w:r>
      <w:r w:rsidRPr="00424731">
        <w:rPr>
          <w:rFonts w:cs="Arial"/>
          <w:iCs/>
        </w:rPr>
        <w:t xml:space="preserve">to approximate variation in the inputs to any one or more of the equations described above herein.  Specifically: </w:t>
      </w:r>
    </w:p>
    <w:p w14:paraId="5BA9D62F" w14:textId="77777777" w:rsidR="00B66C73" w:rsidRDefault="00000000" w:rsidP="00B66C73">
      <w:pPr>
        <w:pStyle w:val="Caption"/>
        <w:rPr>
          <w:rFonts w:eastAsiaTheme="minorEastAsia"/>
        </w:rPr>
      </w:pPr>
      <m:oMathPara>
        <m:oMath>
          <m:sSubSup>
            <m:sSubSupPr>
              <m:ctrlPr>
                <w:rPr>
                  <w:rFonts w:ascii="Cambria Math" w:hAnsi="Cambria Math" w:cs="Arial"/>
                </w:rPr>
              </m:ctrlPr>
            </m:sSubSupPr>
            <m:e>
              <m:r>
                <w:rPr>
                  <w:rFonts w:ascii="Cambria Math" w:hAnsi="Cambria Math" w:cs="Arial"/>
                </w:rPr>
                <m:t>σ</m:t>
              </m:r>
            </m:e>
            <m:sub>
              <m:r>
                <w:rPr>
                  <w:rFonts w:ascii="Cambria Math" w:hAnsi="Cambria Math" w:cs="Arial"/>
                </w:rPr>
                <m:t>R</m:t>
              </m:r>
            </m:sub>
            <m:sup>
              <m:r>
                <w:rPr>
                  <w:rFonts w:ascii="Cambria Math" w:hAnsi="Cambria Math" w:cs="Arial"/>
                </w:rPr>
                <m:t>2</m:t>
              </m:r>
            </m:sup>
          </m:sSubSup>
          <m:r>
            <w:rPr>
              <w:rFonts w:ascii="Cambria Math" w:hAnsi="Cambria Math" w:cs="Arial"/>
            </w:rPr>
            <m:t>≈</m:t>
          </m:r>
          <m:nary>
            <m:naryPr>
              <m:chr m:val="∑"/>
              <m:limLoc m:val="undOvr"/>
              <m:ctrlPr>
                <w:rPr>
                  <w:rFonts w:ascii="Cambria Math" w:hAnsi="Cambria Math" w:cs="Arial"/>
                </w:rPr>
              </m:ctrlPr>
            </m:naryPr>
            <m:sub>
              <m:r>
                <w:rPr>
                  <w:rFonts w:ascii="Cambria Math" w:hAnsi="Cambria Math" w:cs="Arial"/>
                </w:rPr>
                <m:t>i=1</m:t>
              </m:r>
            </m:sub>
            <m:sup>
              <m:r>
                <w:rPr>
                  <w:rFonts w:ascii="Cambria Math" w:hAnsi="Cambria Math" w:cs="Arial"/>
                </w:rPr>
                <m:t>k</m:t>
              </m:r>
            </m:sup>
            <m:e>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w:rPr>
                              <w:rFonts w:ascii="Cambria Math" w:hAnsi="Cambria Math" w:cs="Arial"/>
                            </w:rPr>
                            <m:t>∂R</m:t>
                          </m:r>
                        </m:num>
                        <m:den>
                          <m:r>
                            <w:rPr>
                              <w:rFonts w:ascii="Cambria Math" w:hAnsi="Cambria Math" w:cs="Arial"/>
                            </w:rPr>
                            <m:t>∂</m:t>
                          </m:r>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den>
                      </m:f>
                    </m:e>
                  </m:d>
                </m:e>
                <m:sup>
                  <m:r>
                    <w:rPr>
                      <w:rFonts w:ascii="Cambria Math" w:hAnsi="Cambria Math" w:cs="Arial"/>
                    </w:rPr>
                    <m:t>2</m:t>
                  </m:r>
                </m:sup>
              </m:sSup>
              <m:sSubSup>
                <m:sSubSupPr>
                  <m:ctrlPr>
                    <w:rPr>
                      <w:rFonts w:ascii="Cambria Math" w:hAnsi="Cambria Math" w:cs="Arial"/>
                    </w:rPr>
                  </m:ctrlPr>
                </m:sSubSupPr>
                <m:e>
                  <m:r>
                    <w:rPr>
                      <w:rFonts w:ascii="Cambria Math" w:hAnsi="Cambria Math" w:cs="Arial"/>
                    </w:rPr>
                    <m:t>σ</m:t>
                  </m:r>
                </m:e>
                <m:sub>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sub>
                <m:sup>
                  <m:r>
                    <w:rPr>
                      <w:rFonts w:ascii="Cambria Math" w:hAnsi="Cambria Math" w:cs="Arial"/>
                    </w:rPr>
                    <m:t>2</m:t>
                  </m:r>
                </m:sup>
              </m:sSubSup>
            </m:e>
          </m:nary>
        </m:oMath>
      </m:oMathPara>
    </w:p>
    <w:p w14:paraId="1D8AB98B" w14:textId="1216F56A" w:rsidR="00B66C73" w:rsidRPr="00424731" w:rsidRDefault="00B66C73" w:rsidP="00B66C73">
      <w:pPr>
        <w:pStyle w:val="Caption"/>
        <w:jc w:val="right"/>
        <w:rPr>
          <w:rFonts w:eastAsia="TimesNewRomanPSMT" w:cs="TimesNewRomanPSMT"/>
          <w:color w:val="000000"/>
          <w:szCs w:val="24"/>
        </w:rPr>
      </w:pPr>
      <w:r>
        <w:t xml:space="preserve">Equation </w:t>
      </w:r>
      <w:r>
        <w:fldChar w:fldCharType="begin"/>
      </w:r>
      <w:r>
        <w:instrText xml:space="preserve"> SEQ Equation \* ARABIC </w:instrText>
      </w:r>
      <w:r>
        <w:fldChar w:fldCharType="separate"/>
      </w:r>
      <w:r w:rsidR="003468AE">
        <w:rPr>
          <w:noProof/>
        </w:rPr>
        <w:t>32</w:t>
      </w:r>
      <w:r>
        <w:rPr>
          <w:noProof/>
        </w:rPr>
        <w:fldChar w:fldCharType="end"/>
      </w:r>
    </w:p>
    <w:p w14:paraId="6DFCD59F" w14:textId="2C18BECF"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rPr>
        <w:t xml:space="preserve">As mentioned previously herein, </w:t>
      </w:r>
      <w:r w:rsidRPr="00694556">
        <w:t xml:space="preserve">the table look-up </w:t>
      </w:r>
      <w:r w:rsidRPr="00424731">
        <w:rPr>
          <w:rFonts w:eastAsiaTheme="minorEastAsia" w:cs="Arial"/>
          <w:iCs/>
        </w:rPr>
        <w:t xml:space="preserve">operation (e.g., </w:t>
      </w:r>
      <w:r w:rsidR="00C35254">
        <w:rPr>
          <w:rFonts w:eastAsiaTheme="minorEastAsia" w:cs="Arial"/>
          <w:iCs/>
        </w:rPr>
        <w:t>for</w:t>
      </w:r>
      <w:r>
        <w:rPr>
          <w:rFonts w:eastAsiaTheme="minorEastAsia" w:cs="Arial"/>
          <w:iCs/>
        </w:rPr>
        <w:t xml:space="preserve"> </w:t>
      </w:r>
      <w:r w:rsidR="00C35254">
        <w:fldChar w:fldCharType="begin"/>
      </w:r>
      <w:r w:rsidR="00C35254">
        <w:instrText xml:space="preserve"> REF _Ref147639186 \h </w:instrText>
      </w:r>
      <w:r w:rsidR="00C35254">
        <w:fldChar w:fldCharType="separate"/>
      </w:r>
      <w:r w:rsidR="001E41EA">
        <w:t xml:space="preserve">Equation </w:t>
      </w:r>
      <w:r w:rsidR="001E41EA">
        <w:rPr>
          <w:noProof/>
        </w:rPr>
        <w:t>9</w:t>
      </w:r>
      <w:r w:rsidR="00C35254">
        <w:fldChar w:fldCharType="end"/>
      </w:r>
      <w:r w:rsidRPr="00424731">
        <w:rPr>
          <w:rFonts w:eastAsiaTheme="minorEastAsia" w:cs="Arial"/>
          <w:iCs/>
        </w:rPr>
        <w:t xml:space="preserve">) can be implemented as a table look-up with wide ranges for each value.  Accordingly, the respective derivatives, </w:t>
      </w:r>
      <m:oMath>
        <m:f>
          <m:fPr>
            <m:ctrlPr>
              <w:rPr>
                <w:rFonts w:ascii="Cambria Math" w:hAnsi="Cambria Math" w:cs="Arial"/>
                <w:iCs/>
              </w:rPr>
            </m:ctrlPr>
          </m:fPr>
          <m:num>
            <m:r>
              <w:rPr>
                <w:rFonts w:ascii="Cambria Math" w:hAnsi="Cambria Math" w:cs="Arial"/>
              </w:rPr>
              <m:t>∂R</m:t>
            </m:r>
          </m:num>
          <m:den>
            <m:r>
              <w:rPr>
                <w:rFonts w:ascii="Cambria Math" w:hAnsi="Cambria Math" w:cs="Arial"/>
              </w:rPr>
              <m:t>∂</m:t>
            </m:r>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den>
        </m:f>
      </m:oMath>
      <w:r w:rsidRPr="00424731">
        <w:rPr>
          <w:rFonts w:eastAsiaTheme="minorEastAsia" w:cs="Arial"/>
          <w:iCs/>
        </w:rPr>
        <w:t xml:space="preserve"> and </w:t>
      </w:r>
      <m:oMath>
        <m:f>
          <m:fPr>
            <m:ctrlPr>
              <w:rPr>
                <w:rFonts w:ascii="Cambria Math" w:hAnsi="Cambria Math" w:cs="Arial"/>
                <w:iCs/>
              </w:rPr>
            </m:ctrlPr>
          </m:fPr>
          <m:num>
            <m:r>
              <w:rPr>
                <w:rFonts w:ascii="Cambria Math" w:hAnsi="Cambria Math" w:cs="Arial"/>
              </w:rPr>
              <m:t>∂R</m:t>
            </m:r>
          </m:num>
          <m:den>
            <m:r>
              <w:rPr>
                <w:rFonts w:ascii="Cambria Math" w:hAnsi="Cambria Math" w:cs="Arial"/>
              </w:rPr>
              <m:t>∂</m:t>
            </m:r>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den>
        </m:f>
      </m:oMath>
      <w:r w:rsidRPr="00424731">
        <w:rPr>
          <w:rFonts w:eastAsiaTheme="minorEastAsia" w:cs="Arial"/>
          <w:iCs/>
        </w:rPr>
        <w:t xml:space="preserve">, may not be continuous functions.  </w:t>
      </w:r>
      <w:r>
        <w:rPr>
          <w:rFonts w:eastAsiaTheme="minorEastAsia" w:cs="Arial"/>
          <w:iCs/>
        </w:rPr>
        <w:t>Therefore</w:t>
      </w:r>
      <w:r w:rsidRPr="00424731">
        <w:rPr>
          <w:rFonts w:eastAsiaTheme="minorEastAsia" w:cs="Arial"/>
          <w:iCs/>
        </w:rPr>
        <w:t xml:space="preserve">, in at least one example, the propagation of uncertainty is estimated using a Monte Carlo simulation of the variation in risk from the </w:t>
      </w:r>
      <w:r w:rsidRPr="00424731">
        <w:rPr>
          <w:rFonts w:cs="Arial"/>
        </w:rPr>
        <w:t xml:space="preserve">expected range of variation for </w:t>
      </w:r>
      <m:oMath>
        <m:sSub>
          <m:sSubPr>
            <m:ctrlPr>
              <w:rPr>
                <w:rFonts w:ascii="Cambria Math" w:hAnsi="Cambria Math" w:cs="Arial"/>
                <w:iCs/>
              </w:rPr>
            </m:ctrlPr>
          </m:sSubPr>
          <m:e>
            <m:r>
              <w:rPr>
                <w:rFonts w:ascii="Cambria Math" w:hAnsi="Cambria Math" w:cs="Arial"/>
              </w:rPr>
              <m:t>S</m:t>
            </m:r>
          </m:e>
          <m:sub>
            <m:r>
              <w:rPr>
                <w:rFonts w:ascii="Cambria Math" w:hAnsi="Cambria Math" w:cs="Arial"/>
              </w:rPr>
              <m:t>i</m:t>
            </m:r>
          </m:sub>
        </m:sSub>
      </m:oMath>
      <w:r w:rsidRPr="00424731">
        <w:rPr>
          <w:rFonts w:cs="Arial"/>
        </w:rPr>
        <w:t xml:space="preserve"> and </w:t>
      </w:r>
      <m:oMath>
        <m:sSub>
          <m:sSubPr>
            <m:ctrlPr>
              <w:rPr>
                <w:rFonts w:ascii="Cambria Math" w:hAnsi="Cambria Math" w:cs="Arial"/>
                <w:iCs/>
              </w:rPr>
            </m:ctrlPr>
          </m:sSubPr>
          <m:e>
            <m:r>
              <w:rPr>
                <w:rFonts w:ascii="Cambria Math" w:hAnsi="Cambria Math" w:cs="Arial"/>
              </w:rPr>
              <m:t>P</m:t>
            </m:r>
          </m:e>
          <m:sub>
            <m:r>
              <w:rPr>
                <w:rFonts w:ascii="Cambria Math" w:hAnsi="Cambria Math" w:cs="Arial"/>
              </w:rPr>
              <m:t>i</m:t>
            </m:r>
          </m:sub>
        </m:sSub>
      </m:oMath>
      <w:r w:rsidRPr="00424731">
        <w:rPr>
          <w:rFonts w:cs="Arial"/>
          <w:iCs/>
        </w:rPr>
        <w:t xml:space="preserve"> (and </w:t>
      </w:r>
      <m:oMath>
        <m:sSub>
          <m:sSubPr>
            <m:ctrlPr>
              <w:rPr>
                <w:rFonts w:ascii="Cambria Math" w:hAnsi="Cambria Math" w:cs="Arial"/>
                <w:iCs/>
              </w:rPr>
            </m:ctrlPr>
          </m:sSubPr>
          <m:e>
            <m:r>
              <w:rPr>
                <w:rFonts w:ascii="Cambria Math" w:hAnsi="Cambria Math" w:cs="Arial"/>
              </w:rPr>
              <m:t>W</m:t>
            </m:r>
          </m:e>
          <m:sub>
            <m:r>
              <w:rPr>
                <w:rFonts w:ascii="Cambria Math" w:hAnsi="Cambria Math" w:cs="Arial"/>
              </w:rPr>
              <m:t>i</m:t>
            </m:r>
          </m:sub>
        </m:sSub>
      </m:oMath>
      <w:r w:rsidRPr="00424731">
        <w:rPr>
          <w:rFonts w:cs="Arial"/>
          <w:iCs/>
        </w:rPr>
        <w:t>, if applicable)</w:t>
      </w:r>
      <w:r w:rsidRPr="00424731">
        <w:rPr>
          <w:rFonts w:eastAsiaTheme="minorEastAsia" w:cs="Arial"/>
          <w:iCs/>
        </w:rPr>
        <w:t xml:space="preserve">.  </w:t>
      </w:r>
      <w:r w:rsidRPr="00424731">
        <w:rPr>
          <w:rFonts w:cs="Arial"/>
        </w:rPr>
        <w:t xml:space="preserve">This may require, in some instances, simulating the variation of all inputs simultaneously.  Once the modeling of the variation of all the inputs to the equation is complete, a Monte Carlo simulation with 100 randomly chosen values from each input will, when these 100 sets of inputs are run through the equation, provide a reliable distribution of the variation by the risk of interest.  Once the variation has been determined, the shape of the probability density function can be determined, and predictions can be made for any uncertainty range for hypothesis testing. </w:t>
      </w:r>
    </w:p>
    <w:p w14:paraId="179C2395" w14:textId="77777777" w:rsidR="00B66C73" w:rsidRPr="00424731" w:rsidRDefault="00B66C73" w:rsidP="00806685">
      <w:pPr>
        <w:spacing w:after="0" w:line="240" w:lineRule="auto"/>
        <w:rPr>
          <w:rFonts w:eastAsia="TimesNewRomanPSMT" w:cs="TimesNewRomanPSMT"/>
          <w:color w:val="000000"/>
          <w:szCs w:val="24"/>
        </w:rPr>
      </w:pPr>
    </w:p>
    <w:p w14:paraId="5C0DD77B" w14:textId="77777777" w:rsidR="00B66C73" w:rsidRPr="006A4630" w:rsidRDefault="00B66C73" w:rsidP="00BE3AFD">
      <w:pPr>
        <w:pStyle w:val="Heading2"/>
        <w:rPr>
          <w:rFonts w:eastAsia="TimesNewRomanPSMT" w:cs="TimesNewRomanPSMT"/>
          <w:b/>
          <w:color w:val="000000"/>
          <w:u w:val="single"/>
        </w:rPr>
      </w:pPr>
      <w:bookmarkStart w:id="130" w:name="_Toc156728683"/>
      <w:bookmarkEnd w:id="128"/>
      <w:r w:rsidRPr="006A4630">
        <w:rPr>
          <w:rFonts w:eastAsia="TimesNewRomanPSMT" w:cs="TimesNewRomanPSMT"/>
          <w:b/>
          <w:color w:val="000000"/>
          <w:u w:val="single"/>
        </w:rPr>
        <w:t>Different patient populations</w:t>
      </w:r>
      <w:bookmarkEnd w:id="130"/>
    </w:p>
    <w:p w14:paraId="1A10670C" w14:textId="77777777" w:rsidR="00B66C73" w:rsidRPr="00424731" w:rsidRDefault="00B66C73" w:rsidP="00B66C73">
      <w:pPr>
        <w:autoSpaceDE w:val="0"/>
        <w:spacing w:line="240" w:lineRule="auto"/>
        <w:jc w:val="both"/>
        <w:rPr>
          <w:color w:val="000000"/>
          <w:szCs w:val="24"/>
        </w:rPr>
      </w:pPr>
      <w:r w:rsidRPr="00424731">
        <w:rPr>
          <w:rFonts w:cs="Arial"/>
          <w:iCs/>
        </w:rPr>
        <w:t xml:space="preserve">In at least another example, the benefit and/or risk of a particular medical product or procedure can be calculated for different patient populations using one or more of the methods described above herein.  </w:t>
      </w:r>
      <w:r>
        <w:rPr>
          <w:rFonts w:cs="Arial"/>
          <w:iCs/>
        </w:rPr>
        <w:t xml:space="preserve">Special care should be taken with patient populations to ensure that the risks are based on data unique to these populations and ensure that any risks that are unique to, or absent from, this patient population are accounted for in the model of Patient Health.  </w:t>
      </w:r>
      <w:r w:rsidRPr="00424731">
        <w:rPr>
          <w:rFonts w:cs="Arial"/>
          <w:iCs/>
        </w:rPr>
        <w:t xml:space="preserve">By noting the patient populations in which the benefits outweigh the risks, the range of populations that can use a medical product or procedure can be appropriately limited or increased.  </w:t>
      </w:r>
    </w:p>
    <w:p w14:paraId="024DF747" w14:textId="77777777" w:rsidR="00B66C73" w:rsidRPr="00424731" w:rsidRDefault="00B66C73" w:rsidP="00806685">
      <w:pPr>
        <w:spacing w:after="0" w:line="240" w:lineRule="auto"/>
        <w:rPr>
          <w:color w:val="000000"/>
          <w:szCs w:val="24"/>
        </w:rPr>
      </w:pPr>
    </w:p>
    <w:p w14:paraId="04140FF3" w14:textId="77777777" w:rsidR="00B66C73" w:rsidRPr="006A4630" w:rsidRDefault="00B66C73" w:rsidP="00BE3AFD">
      <w:pPr>
        <w:pStyle w:val="Heading2"/>
        <w:rPr>
          <w:rFonts w:eastAsia="TimesNewRomanPSMT" w:cs="TimesNewRomanPSMT"/>
          <w:b/>
          <w:color w:val="000000"/>
          <w:u w:val="single"/>
        </w:rPr>
      </w:pPr>
      <w:bookmarkStart w:id="131" w:name="_Toc156728684"/>
      <w:r w:rsidRPr="006A4630">
        <w:rPr>
          <w:rFonts w:eastAsia="TimesNewRomanPSMT" w:cs="TimesNewRomanPSMT"/>
          <w:b/>
          <w:color w:val="000000"/>
          <w:u w:val="single"/>
        </w:rPr>
        <w:t>Multiple diseases</w:t>
      </w:r>
      <w:bookmarkEnd w:id="131"/>
    </w:p>
    <w:p w14:paraId="10B496C1" w14:textId="485977BC" w:rsidR="00B66C73" w:rsidRPr="00424731" w:rsidRDefault="00B66C73" w:rsidP="00B66C73">
      <w:pPr>
        <w:autoSpaceDE w:val="0"/>
        <w:spacing w:line="240" w:lineRule="auto"/>
        <w:jc w:val="both"/>
        <w:rPr>
          <w:color w:val="000000"/>
          <w:szCs w:val="24"/>
        </w:rPr>
      </w:pPr>
      <w:r w:rsidRPr="00424731">
        <w:rPr>
          <w:rFonts w:cs="Arial"/>
          <w:iCs/>
        </w:rPr>
        <w:t xml:space="preserve">In at least another example, if a particular medical product or procedure can be and/or is intended to be used to treat multiple diseases, each disease may have its own </w:t>
      </w:r>
      <w:r w:rsidR="00EC42E0">
        <w:rPr>
          <w:rFonts w:cs="Arial"/>
          <w:iCs/>
        </w:rPr>
        <w:t>Benefit-Risk</w:t>
      </w:r>
      <w:r w:rsidRPr="00424731">
        <w:rPr>
          <w:rFonts w:cs="Arial"/>
          <w:iCs/>
        </w:rPr>
        <w:t xml:space="preserve"> calculation using one or more of the methods described above herein.  Thus, the product or procedure can only be indicated for use for those </w:t>
      </w:r>
      <w:r>
        <w:rPr>
          <w:rFonts w:cs="Arial"/>
          <w:iCs/>
        </w:rPr>
        <w:t xml:space="preserve">combinations of </w:t>
      </w:r>
      <w:r w:rsidRPr="00424731">
        <w:rPr>
          <w:rFonts w:cs="Arial"/>
          <w:iCs/>
        </w:rPr>
        <w:t>diseases where the benefit</w:t>
      </w:r>
      <w:r>
        <w:rPr>
          <w:rFonts w:cs="Arial"/>
          <w:iCs/>
        </w:rPr>
        <w:t xml:space="preserve"> exceeds the risk</w:t>
      </w:r>
      <w:r w:rsidRPr="00424731">
        <w:rPr>
          <w:rFonts w:cs="Arial"/>
          <w:iCs/>
        </w:rPr>
        <w:t xml:space="preserve">.  </w:t>
      </w:r>
    </w:p>
    <w:p w14:paraId="7B081A6E" w14:textId="77777777" w:rsidR="00B66C73" w:rsidRPr="00424731" w:rsidRDefault="00B66C73" w:rsidP="00806685">
      <w:pPr>
        <w:spacing w:after="0" w:line="240" w:lineRule="auto"/>
        <w:rPr>
          <w:color w:val="000000"/>
          <w:szCs w:val="24"/>
        </w:rPr>
      </w:pPr>
    </w:p>
    <w:p w14:paraId="00EAE4FD" w14:textId="77777777" w:rsidR="00B66C73" w:rsidRPr="006A4630" w:rsidRDefault="00B66C73" w:rsidP="00BE3AFD">
      <w:pPr>
        <w:pStyle w:val="Heading2"/>
        <w:rPr>
          <w:rFonts w:eastAsia="TimesNewRomanPSMT" w:cs="TimesNewRomanPSMT"/>
          <w:b/>
          <w:color w:val="000000"/>
          <w:u w:val="single"/>
        </w:rPr>
      </w:pPr>
      <w:bookmarkStart w:id="132" w:name="_Toc156728685"/>
      <w:r w:rsidRPr="006A4630">
        <w:rPr>
          <w:rFonts w:eastAsia="TimesNewRomanPSMT" w:cs="TimesNewRomanPSMT"/>
          <w:b/>
          <w:color w:val="000000"/>
          <w:u w:val="single"/>
        </w:rPr>
        <w:t>Instructions for use (IFU)</w:t>
      </w:r>
      <w:bookmarkEnd w:id="132"/>
    </w:p>
    <w:p w14:paraId="4E5F72E2" w14:textId="6CB9EFEB" w:rsidR="00B66C73" w:rsidRPr="00424731" w:rsidRDefault="00B66C73" w:rsidP="00B66C73">
      <w:pPr>
        <w:autoSpaceDE w:val="0"/>
        <w:spacing w:line="240" w:lineRule="auto"/>
        <w:jc w:val="both"/>
        <w:rPr>
          <w:color w:val="000000"/>
          <w:szCs w:val="24"/>
        </w:rPr>
      </w:pPr>
      <w:r w:rsidRPr="00424731">
        <w:rPr>
          <w:color w:val="000000"/>
          <w:szCs w:val="24"/>
        </w:rPr>
        <w:t xml:space="preserve">Generally, the instructions for use (IFU) of a particular medical product or procedure should define how the product or procedure is indicated for use.  Thus, in at least another example, the benefit should be shown to exceed the risk for each of the different indications for use.    Such a process can reveal that different indications for use have different </w:t>
      </w:r>
      <w:r w:rsidR="00EC42E0">
        <w:rPr>
          <w:color w:val="000000"/>
          <w:szCs w:val="24"/>
        </w:rPr>
        <w:t>Benefit-Risk</w:t>
      </w:r>
      <w:r w:rsidRPr="00424731">
        <w:rPr>
          <w:color w:val="000000"/>
          <w:szCs w:val="24"/>
        </w:rPr>
        <w:t xml:space="preserve"> ratios.  The calculated </w:t>
      </w:r>
      <w:r w:rsidR="00EC42E0">
        <w:rPr>
          <w:color w:val="000000"/>
          <w:szCs w:val="24"/>
        </w:rPr>
        <w:t>Benefit-Risk</w:t>
      </w:r>
      <w:r w:rsidRPr="00424731">
        <w:rPr>
          <w:color w:val="000000"/>
          <w:szCs w:val="24"/>
        </w:rPr>
        <w:t xml:space="preserve"> ratios for each indication can assist in defining when the product or procedure should be used despite the risks, and for which patient population. </w:t>
      </w:r>
      <w:r>
        <w:rPr>
          <w:color w:val="000000"/>
          <w:szCs w:val="24"/>
        </w:rPr>
        <w:t xml:space="preserve"> </w:t>
      </w:r>
    </w:p>
    <w:p w14:paraId="3EC7320D" w14:textId="77777777" w:rsidR="00B66C73" w:rsidRPr="00424731" w:rsidRDefault="00B66C73" w:rsidP="00806685">
      <w:pPr>
        <w:spacing w:after="0" w:line="240" w:lineRule="auto"/>
        <w:rPr>
          <w:color w:val="000000"/>
          <w:szCs w:val="24"/>
        </w:rPr>
      </w:pPr>
    </w:p>
    <w:p w14:paraId="7AD7FBE1" w14:textId="77777777" w:rsidR="00B66C73" w:rsidRPr="006A4630" w:rsidRDefault="00B66C73" w:rsidP="00BE3AFD">
      <w:pPr>
        <w:pStyle w:val="Heading2"/>
        <w:rPr>
          <w:rFonts w:eastAsia="TimesNewRomanPSMT" w:cs="TimesNewRomanPSMT"/>
          <w:b/>
          <w:color w:val="000000"/>
          <w:u w:val="single"/>
        </w:rPr>
      </w:pPr>
      <w:bookmarkStart w:id="133" w:name="_Toc156728686"/>
      <w:r w:rsidRPr="006A4630">
        <w:rPr>
          <w:rFonts w:eastAsia="TimesNewRomanPSMT" w:cs="TimesNewRomanPSMT"/>
          <w:b/>
          <w:color w:val="000000"/>
          <w:u w:val="single"/>
        </w:rPr>
        <w:lastRenderedPageBreak/>
        <w:t>Customizing Risk Metrics for Risks for Emotion</w:t>
      </w:r>
      <w:bookmarkEnd w:id="133"/>
    </w:p>
    <w:p w14:paraId="4AE6DACD" w14:textId="29ACD127" w:rsidR="00B66C73" w:rsidRDefault="00B66C73" w:rsidP="00B66C73">
      <w:pPr>
        <w:autoSpaceDE w:val="0"/>
        <w:spacing w:line="240" w:lineRule="auto"/>
        <w:jc w:val="both"/>
        <w:rPr>
          <w:color w:val="000000"/>
          <w:szCs w:val="24"/>
        </w:rPr>
      </w:pPr>
      <w:r>
        <w:rPr>
          <w:color w:val="000000"/>
          <w:szCs w:val="24"/>
        </w:rPr>
        <w:t xml:space="preserve">Most medical products treat a patient’s physical harms, and we are relatively comfortable with the </w:t>
      </w:r>
      <w:r w:rsidR="00EC42E0">
        <w:rPr>
          <w:color w:val="000000"/>
          <w:szCs w:val="24"/>
        </w:rPr>
        <w:t>Benefit-Risk</w:t>
      </w:r>
      <w:r>
        <w:rPr>
          <w:color w:val="000000"/>
          <w:szCs w:val="24"/>
        </w:rPr>
        <w:t xml:space="preserve"> analysis of these products.  In contrast to this comfortable situation, some people are uncomfortable concluding that the benefits of a surgery whose goal is to improve someone’s appearance outweigh the risks of that surgery.  One of the strengths of this paper’s structured approach to </w:t>
      </w:r>
      <w:r w:rsidR="00EC42E0">
        <w:rPr>
          <w:color w:val="000000"/>
          <w:szCs w:val="24"/>
        </w:rPr>
        <w:t>Benefit-Risk</w:t>
      </w:r>
      <w:r>
        <w:rPr>
          <w:color w:val="000000"/>
          <w:szCs w:val="24"/>
        </w:rPr>
        <w:t xml:space="preserve"> analysis is that it is adaptable, and this adaptability may help resolve the discomfort about the </w:t>
      </w:r>
      <w:r w:rsidR="00EC42E0">
        <w:rPr>
          <w:color w:val="000000"/>
          <w:szCs w:val="24"/>
        </w:rPr>
        <w:t>Benefit-Risk</w:t>
      </w:r>
      <w:r>
        <w:rPr>
          <w:color w:val="000000"/>
          <w:szCs w:val="24"/>
        </w:rPr>
        <w:t xml:space="preserve"> analysis of purely aesthetic medical procedures.  </w:t>
      </w:r>
    </w:p>
    <w:p w14:paraId="1564D240" w14:textId="732199D7" w:rsidR="00B66C73" w:rsidRDefault="00B66C73" w:rsidP="00B66C73">
      <w:pPr>
        <w:autoSpaceDE w:val="0"/>
        <w:spacing w:line="240" w:lineRule="auto"/>
        <w:jc w:val="both"/>
        <w:rPr>
          <w:color w:val="000000"/>
          <w:szCs w:val="24"/>
        </w:rPr>
      </w:pPr>
      <w:r w:rsidRPr="00424731">
        <w:rPr>
          <w:color w:val="000000"/>
          <w:szCs w:val="24"/>
        </w:rPr>
        <w:t xml:space="preserve">As mentioned above, </w:t>
      </w:r>
      <w:r>
        <w:rPr>
          <w:color w:val="000000"/>
          <w:szCs w:val="24"/>
        </w:rPr>
        <w:fldChar w:fldCharType="begin"/>
      </w:r>
      <w:r>
        <w:rPr>
          <w:color w:val="000000"/>
          <w:szCs w:val="24"/>
        </w:rPr>
        <w:instrText xml:space="preserve"> REF _Ref139254957 \h </w:instrText>
      </w:r>
      <w:r>
        <w:rPr>
          <w:color w:val="000000"/>
          <w:szCs w:val="24"/>
        </w:rPr>
      </w:r>
      <w:r>
        <w:rPr>
          <w:color w:val="000000"/>
          <w:szCs w:val="24"/>
        </w:rPr>
        <w:fldChar w:fldCharType="separate"/>
      </w:r>
      <w:r w:rsidR="001E41EA" w:rsidRPr="00F60A9B">
        <w:t xml:space="preserve">Table </w:t>
      </w:r>
      <w:r w:rsidR="001E41EA">
        <w:rPr>
          <w:noProof/>
        </w:rPr>
        <w:t>2</w:t>
      </w:r>
      <w:r w:rsidR="001E41EA" w:rsidRPr="00F60A9B">
        <w:t xml:space="preserve"> - Example of five qualitative </w:t>
      </w:r>
      <w:r w:rsidR="001E41EA" w:rsidRPr="00F60A9B">
        <w:rPr>
          <w:b/>
          <w:bCs/>
        </w:rPr>
        <w:t>severity</w:t>
      </w:r>
      <w:r w:rsidR="001E41EA" w:rsidRPr="00F60A9B">
        <w:t xml:space="preserve"> levels</w:t>
      </w:r>
      <w:r>
        <w:rPr>
          <w:color w:val="000000"/>
          <w:szCs w:val="24"/>
        </w:rPr>
        <w:fldChar w:fldCharType="end"/>
      </w:r>
      <w:r>
        <w:rPr>
          <w:color w:val="000000"/>
          <w:szCs w:val="24"/>
        </w:rPr>
        <w:t xml:space="preserve"> and </w:t>
      </w:r>
      <w:r>
        <w:rPr>
          <w:color w:val="000000"/>
          <w:szCs w:val="24"/>
        </w:rPr>
        <w:fldChar w:fldCharType="begin"/>
      </w:r>
      <w:r>
        <w:rPr>
          <w:color w:val="000000"/>
          <w:szCs w:val="24"/>
        </w:rPr>
        <w:instrText xml:space="preserve"> REF _Ref139254960 \h </w:instrText>
      </w:r>
      <w:r>
        <w:rPr>
          <w:color w:val="000000"/>
          <w:szCs w:val="24"/>
        </w:rPr>
      </w:r>
      <w:r>
        <w:rPr>
          <w:color w:val="000000"/>
          <w:szCs w:val="24"/>
        </w:rPr>
        <w:fldChar w:fldCharType="separate"/>
      </w:r>
      <w:r w:rsidR="001E41EA" w:rsidRPr="00F60A9B">
        <w:t xml:space="preserve">Table </w:t>
      </w:r>
      <w:r w:rsidR="001E41EA">
        <w:rPr>
          <w:noProof/>
        </w:rPr>
        <w:t>3</w:t>
      </w:r>
      <w:r w:rsidR="001E41EA" w:rsidRPr="00F60A9B">
        <w:rPr>
          <w:noProof/>
        </w:rPr>
        <w:t xml:space="preserve"> - Example of five semi-quantitative </w:t>
      </w:r>
      <w:r w:rsidR="001E41EA" w:rsidRPr="00F60A9B">
        <w:rPr>
          <w:b/>
          <w:bCs/>
          <w:noProof/>
        </w:rPr>
        <w:t>probability</w:t>
      </w:r>
      <w:r w:rsidR="001E41EA" w:rsidRPr="00F60A9B">
        <w:rPr>
          <w:noProof/>
        </w:rPr>
        <w:t xml:space="preserve"> levels</w:t>
      </w:r>
      <w:r>
        <w:rPr>
          <w:color w:val="000000"/>
          <w:szCs w:val="24"/>
        </w:rPr>
        <w:fldChar w:fldCharType="end"/>
      </w:r>
      <w:r>
        <w:rPr>
          <w:color w:val="000000"/>
          <w:szCs w:val="24"/>
        </w:rPr>
        <w:t xml:space="preserve"> </w:t>
      </w:r>
      <w:r w:rsidRPr="00424731">
        <w:rPr>
          <w:color w:val="000000"/>
          <w:szCs w:val="24"/>
        </w:rPr>
        <w:t xml:space="preserve">come from </w:t>
      </w:r>
      <w:r w:rsidRPr="00424731">
        <w:rPr>
          <w:rFonts w:eastAsia="TimesNewRomanPSMT" w:cs="TimesNewRomanPSMT"/>
          <w:color w:val="000000"/>
          <w:szCs w:val="24"/>
        </w:rPr>
        <w:t>TR 24971</w:t>
      </w:r>
      <w:r w:rsidRPr="00424731">
        <w:rPr>
          <w:color w:val="000000"/>
          <w:szCs w:val="24"/>
        </w:rPr>
        <w:t xml:space="preserve"> as non-limiting examples of the tables that can be used to quantify the probability and severity of harm.  </w:t>
      </w:r>
      <w:r>
        <w:rPr>
          <w:color w:val="000000"/>
          <w:szCs w:val="24"/>
        </w:rPr>
        <w:t xml:space="preserve">It seems reasonable that part of the discomfort about the </w:t>
      </w:r>
      <w:r w:rsidR="00EC42E0">
        <w:rPr>
          <w:color w:val="000000"/>
          <w:szCs w:val="24"/>
        </w:rPr>
        <w:t>Benefit-Risk</w:t>
      </w:r>
      <w:r>
        <w:rPr>
          <w:color w:val="000000"/>
          <w:szCs w:val="24"/>
        </w:rPr>
        <w:t xml:space="preserve"> analysis of purely aesthetic medical procedures is that they are not ‘fixing’ a physical injury that can be fairly measured by the tables in TR 24971.  Instead, the primary benefit of these procedures is the improved self-esteem of patients. </w:t>
      </w:r>
    </w:p>
    <w:p w14:paraId="57E2AAAE" w14:textId="2DF13FBB" w:rsidR="00B66C73" w:rsidRPr="00424731" w:rsidRDefault="00B66C73" w:rsidP="00B66C73">
      <w:pPr>
        <w:autoSpaceDE w:val="0"/>
        <w:spacing w:line="240" w:lineRule="auto"/>
        <w:jc w:val="both"/>
        <w:rPr>
          <w:color w:val="000000"/>
          <w:szCs w:val="24"/>
        </w:rPr>
      </w:pPr>
      <w:r w:rsidRPr="00424731">
        <w:rPr>
          <w:color w:val="000000"/>
          <w:szCs w:val="24"/>
        </w:rPr>
        <w:t xml:space="preserve">In order to account properly for benefits to the patient’s improved self-esteem and self-image, </w:t>
      </w:r>
      <w:r>
        <w:rPr>
          <w:color w:val="000000"/>
          <w:szCs w:val="24"/>
        </w:rPr>
        <w:fldChar w:fldCharType="begin"/>
      </w:r>
      <w:r>
        <w:rPr>
          <w:color w:val="000000"/>
          <w:szCs w:val="24"/>
        </w:rPr>
        <w:instrText xml:space="preserve"> REF _Ref132959722 \h </w:instrText>
      </w:r>
      <w:r>
        <w:rPr>
          <w:color w:val="000000"/>
          <w:szCs w:val="24"/>
        </w:rPr>
      </w:r>
      <w:r>
        <w:rPr>
          <w:color w:val="000000"/>
          <w:szCs w:val="24"/>
        </w:rPr>
        <w:fldChar w:fldCharType="separate"/>
      </w:r>
      <w:r w:rsidR="001E41EA" w:rsidRPr="00F60A9B">
        <w:t xml:space="preserve">Table </w:t>
      </w:r>
      <w:r w:rsidR="001E41EA">
        <w:rPr>
          <w:noProof/>
        </w:rPr>
        <w:t>2</w:t>
      </w:r>
      <w:r>
        <w:rPr>
          <w:color w:val="000000"/>
          <w:szCs w:val="24"/>
        </w:rPr>
        <w:fldChar w:fldCharType="end"/>
      </w:r>
      <w:r w:rsidRPr="00424731">
        <w:rPr>
          <w:color w:val="000000"/>
          <w:szCs w:val="24"/>
        </w:rPr>
        <w:t xml:space="preserve"> </w:t>
      </w:r>
      <w:r>
        <w:rPr>
          <w:color w:val="000000"/>
          <w:szCs w:val="24"/>
        </w:rPr>
        <w:t>(</w:t>
      </w:r>
      <w:r w:rsidRPr="00F96939">
        <w:rPr>
          <w:color w:val="000000"/>
          <w:szCs w:val="24"/>
        </w:rPr>
        <w:t>Example of five qualitative severity levels</w:t>
      </w:r>
      <w:r>
        <w:rPr>
          <w:color w:val="000000"/>
          <w:szCs w:val="24"/>
        </w:rPr>
        <w:t xml:space="preserve">) </w:t>
      </w:r>
      <w:r w:rsidRPr="00424731">
        <w:rPr>
          <w:color w:val="000000"/>
          <w:szCs w:val="24"/>
        </w:rPr>
        <w:t>need</w:t>
      </w:r>
      <w:r>
        <w:rPr>
          <w:color w:val="000000"/>
          <w:szCs w:val="24"/>
        </w:rPr>
        <w:t>s</w:t>
      </w:r>
      <w:r w:rsidRPr="00424731">
        <w:rPr>
          <w:color w:val="000000"/>
          <w:szCs w:val="24"/>
        </w:rPr>
        <w:t xml:space="preserve"> to be modified to account for mental </w:t>
      </w:r>
      <w:r>
        <w:rPr>
          <w:color w:val="000000"/>
          <w:szCs w:val="24"/>
        </w:rPr>
        <w:t>risks</w:t>
      </w:r>
      <w:r w:rsidRPr="00424731">
        <w:rPr>
          <w:color w:val="000000"/>
          <w:szCs w:val="24"/>
        </w:rPr>
        <w:t xml:space="preserve"> instead of only physical </w:t>
      </w:r>
      <w:r>
        <w:rPr>
          <w:color w:val="000000"/>
          <w:szCs w:val="24"/>
        </w:rPr>
        <w:t>risks</w:t>
      </w:r>
      <w:r w:rsidRPr="00424731">
        <w:rPr>
          <w:color w:val="000000"/>
          <w:szCs w:val="24"/>
        </w:rPr>
        <w:t xml:space="preserve">.  In order that the mental </w:t>
      </w:r>
      <w:r>
        <w:rPr>
          <w:color w:val="000000"/>
          <w:szCs w:val="24"/>
        </w:rPr>
        <w:t xml:space="preserve">risks </w:t>
      </w:r>
      <w:r w:rsidRPr="00424731">
        <w:rPr>
          <w:color w:val="000000"/>
          <w:szCs w:val="24"/>
        </w:rPr>
        <w:t xml:space="preserve">of aesthetic products and procedures is given proper weight, relative to the physical risks, we should step back from building risk metrics </w:t>
      </w:r>
      <w:r>
        <w:rPr>
          <w:color w:val="000000"/>
          <w:szCs w:val="24"/>
        </w:rPr>
        <w:t xml:space="preserve">based purely on </w:t>
      </w:r>
      <w:r w:rsidRPr="00424731">
        <w:rPr>
          <w:color w:val="000000"/>
          <w:szCs w:val="24"/>
        </w:rPr>
        <w:t xml:space="preserve">examples of purely aesthetic medical </w:t>
      </w:r>
      <w:r>
        <w:rPr>
          <w:color w:val="000000"/>
          <w:szCs w:val="24"/>
        </w:rPr>
        <w:t>treatments</w:t>
      </w:r>
      <w:r w:rsidRPr="00424731">
        <w:rPr>
          <w:color w:val="000000"/>
          <w:szCs w:val="24"/>
        </w:rPr>
        <w:t xml:space="preserve">.  </w:t>
      </w:r>
      <w:r>
        <w:rPr>
          <w:color w:val="000000"/>
          <w:szCs w:val="24"/>
        </w:rPr>
        <w:t>Because the benefits of purely aesthetic medical procedures get so tied-up in emotion, t</w:t>
      </w:r>
      <w:r w:rsidRPr="00424731">
        <w:rPr>
          <w:color w:val="000000"/>
          <w:szCs w:val="24"/>
        </w:rPr>
        <w:t xml:space="preserve">o avoid over (or under) emphasizing the mental benefits of purely aesthetic </w:t>
      </w:r>
      <w:r>
        <w:rPr>
          <w:color w:val="000000"/>
          <w:szCs w:val="24"/>
        </w:rPr>
        <w:t>medical procedures</w:t>
      </w:r>
      <w:r w:rsidRPr="00424731">
        <w:rPr>
          <w:color w:val="000000"/>
          <w:szCs w:val="24"/>
        </w:rPr>
        <w:t xml:space="preserve">, the severity table should be constructed </w:t>
      </w:r>
      <w:r>
        <w:rPr>
          <w:color w:val="000000"/>
          <w:szCs w:val="24"/>
        </w:rPr>
        <w:t xml:space="preserve">based on </w:t>
      </w:r>
      <w:r w:rsidRPr="00424731">
        <w:rPr>
          <w:color w:val="000000"/>
          <w:szCs w:val="24"/>
        </w:rPr>
        <w:t xml:space="preserve">a wider variety of products than only purely aesthetic products.  For instance, non-aesthetic medical </w:t>
      </w:r>
      <w:r>
        <w:rPr>
          <w:color w:val="000000"/>
          <w:szCs w:val="24"/>
        </w:rPr>
        <w:t>treatments</w:t>
      </w:r>
      <w:r w:rsidRPr="00424731">
        <w:rPr>
          <w:color w:val="000000"/>
          <w:szCs w:val="24"/>
        </w:rPr>
        <w:t xml:space="preserve"> with mental benefits and both mental and physical risks should be used, </w:t>
      </w:r>
      <w:r w:rsidRPr="00424731">
        <w:rPr>
          <w:i/>
          <w:iCs/>
          <w:color w:val="000000"/>
          <w:szCs w:val="24"/>
        </w:rPr>
        <w:t>together</w:t>
      </w:r>
      <w:r w:rsidRPr="00424731">
        <w:rPr>
          <w:color w:val="000000"/>
          <w:szCs w:val="24"/>
        </w:rPr>
        <w:t xml:space="preserve"> with the benefits and risks of purely aesthetic products, to create more-appropriate probability and severity metrics than are in ISO 14971.  </w:t>
      </w:r>
    </w:p>
    <w:p w14:paraId="2DBAAF5A" w14:textId="77777777" w:rsidR="00B66C73" w:rsidRDefault="00B66C73" w:rsidP="00B66C73">
      <w:pPr>
        <w:autoSpaceDE w:val="0"/>
        <w:spacing w:line="240" w:lineRule="auto"/>
        <w:jc w:val="both"/>
        <w:rPr>
          <w:color w:val="000000"/>
          <w:szCs w:val="24"/>
        </w:rPr>
      </w:pPr>
      <w:r w:rsidRPr="00424731">
        <w:rPr>
          <w:color w:val="000000"/>
          <w:szCs w:val="24"/>
        </w:rPr>
        <w:t xml:space="preserve">Non-aesthetic medical </w:t>
      </w:r>
      <w:r>
        <w:rPr>
          <w:color w:val="000000"/>
          <w:szCs w:val="24"/>
        </w:rPr>
        <w:t>treatments</w:t>
      </w:r>
      <w:r w:rsidRPr="00424731">
        <w:rPr>
          <w:color w:val="000000"/>
          <w:szCs w:val="24"/>
        </w:rPr>
        <w:t xml:space="preserve"> with mental benefits and both mental and physical risks include </w:t>
      </w:r>
      <w:r>
        <w:rPr>
          <w:color w:val="000000"/>
          <w:szCs w:val="24"/>
        </w:rPr>
        <w:t xml:space="preserve">various medical treatments (including </w:t>
      </w:r>
      <w:r w:rsidRPr="00424731">
        <w:rPr>
          <w:color w:val="000000"/>
          <w:szCs w:val="24"/>
        </w:rPr>
        <w:t>drugs</w:t>
      </w:r>
      <w:r>
        <w:rPr>
          <w:color w:val="000000"/>
          <w:szCs w:val="24"/>
        </w:rPr>
        <w:t>)</w:t>
      </w:r>
      <w:r w:rsidRPr="00424731">
        <w:rPr>
          <w:color w:val="000000"/>
          <w:szCs w:val="24"/>
        </w:rPr>
        <w:t xml:space="preserve"> to treat mental disorders</w:t>
      </w:r>
      <w:r>
        <w:rPr>
          <w:color w:val="000000"/>
          <w:szCs w:val="24"/>
        </w:rPr>
        <w:t xml:space="preserve"> ranging </w:t>
      </w:r>
      <w:r w:rsidRPr="00424731">
        <w:rPr>
          <w:color w:val="000000"/>
          <w:szCs w:val="24"/>
        </w:rPr>
        <w:t>from anxiety to schizophrenia to manic depression.  If we use non-aesthetic</w:t>
      </w:r>
      <w:r>
        <w:rPr>
          <w:color w:val="000000"/>
          <w:szCs w:val="24"/>
        </w:rPr>
        <w:t xml:space="preserve"> medical</w:t>
      </w:r>
      <w:r w:rsidRPr="00424731">
        <w:rPr>
          <w:color w:val="000000"/>
          <w:szCs w:val="24"/>
        </w:rPr>
        <w:t xml:space="preserve"> </w:t>
      </w:r>
      <w:r>
        <w:rPr>
          <w:color w:val="000000"/>
          <w:szCs w:val="24"/>
        </w:rPr>
        <w:t>treatments</w:t>
      </w:r>
      <w:r w:rsidRPr="00424731">
        <w:rPr>
          <w:color w:val="000000"/>
          <w:szCs w:val="24"/>
        </w:rPr>
        <w:t xml:space="preserve"> like </w:t>
      </w:r>
      <w:r>
        <w:rPr>
          <w:color w:val="000000"/>
          <w:szCs w:val="24"/>
        </w:rPr>
        <w:t xml:space="preserve">for diseases </w:t>
      </w:r>
      <w:r w:rsidRPr="00424731">
        <w:rPr>
          <w:color w:val="000000"/>
          <w:szCs w:val="24"/>
        </w:rPr>
        <w:t xml:space="preserve">these, along with </w:t>
      </w:r>
      <w:r>
        <w:rPr>
          <w:color w:val="000000"/>
          <w:szCs w:val="24"/>
        </w:rPr>
        <w:t xml:space="preserve">using </w:t>
      </w:r>
      <w:r w:rsidRPr="00424731">
        <w:rPr>
          <w:color w:val="000000"/>
          <w:szCs w:val="24"/>
        </w:rPr>
        <w:t>purely aesthetic</w:t>
      </w:r>
      <w:r>
        <w:rPr>
          <w:color w:val="000000"/>
          <w:szCs w:val="24"/>
        </w:rPr>
        <w:t xml:space="preserve"> medical</w:t>
      </w:r>
      <w:r w:rsidRPr="00424731">
        <w:rPr>
          <w:color w:val="000000"/>
          <w:szCs w:val="24"/>
        </w:rPr>
        <w:t xml:space="preserve"> </w:t>
      </w:r>
      <w:r>
        <w:rPr>
          <w:color w:val="000000"/>
          <w:szCs w:val="24"/>
        </w:rPr>
        <w:t>treatments</w:t>
      </w:r>
      <w:r w:rsidRPr="00424731">
        <w:rPr>
          <w:color w:val="000000"/>
          <w:szCs w:val="24"/>
        </w:rPr>
        <w:t xml:space="preserve"> like creams and surgeries, to construct 3 or 5 level severity tables that account for both mental and physical risks, we </w:t>
      </w:r>
      <w:r>
        <w:rPr>
          <w:color w:val="000000"/>
          <w:szCs w:val="24"/>
        </w:rPr>
        <w:t xml:space="preserve">can create </w:t>
      </w:r>
      <w:r w:rsidRPr="00424731">
        <w:rPr>
          <w:color w:val="000000"/>
          <w:szCs w:val="24"/>
        </w:rPr>
        <w:t>risk metrics for</w:t>
      </w:r>
      <w:r>
        <w:rPr>
          <w:color w:val="000000"/>
          <w:szCs w:val="24"/>
        </w:rPr>
        <w:t xml:space="preserve"> medical</w:t>
      </w:r>
      <w:r w:rsidRPr="00424731">
        <w:rPr>
          <w:color w:val="000000"/>
          <w:szCs w:val="24"/>
        </w:rPr>
        <w:t xml:space="preserve"> </w:t>
      </w:r>
      <w:r>
        <w:rPr>
          <w:color w:val="000000"/>
          <w:szCs w:val="24"/>
        </w:rPr>
        <w:t>treatments</w:t>
      </w:r>
      <w:r w:rsidRPr="00424731">
        <w:rPr>
          <w:color w:val="000000"/>
          <w:szCs w:val="24"/>
        </w:rPr>
        <w:t xml:space="preserve"> that benefit our mental state are built with appropriate attention to both ego and safety.  </w:t>
      </w:r>
    </w:p>
    <w:p w14:paraId="6DE5D6E0" w14:textId="72287C4E" w:rsidR="00B66C73" w:rsidRPr="00424731" w:rsidRDefault="00B66C73" w:rsidP="00B66C73">
      <w:pPr>
        <w:autoSpaceDE w:val="0"/>
        <w:spacing w:line="240" w:lineRule="auto"/>
        <w:jc w:val="both"/>
        <w:rPr>
          <w:color w:val="000000"/>
          <w:szCs w:val="24"/>
        </w:rPr>
      </w:pPr>
      <w:r>
        <w:rPr>
          <w:color w:val="000000"/>
          <w:szCs w:val="24"/>
        </w:rPr>
        <w:t>A</w:t>
      </w:r>
      <w:r w:rsidRPr="00424731">
        <w:rPr>
          <w:color w:val="000000"/>
          <w:szCs w:val="24"/>
        </w:rPr>
        <w:t xml:space="preserve">s was discussed earlier, benefits and risks are traditionally stated in terms that make comparison difficult (e.g., the previously cited FDA guidance on </w:t>
      </w:r>
      <w:r w:rsidR="00EC42E0">
        <w:rPr>
          <w:color w:val="000000"/>
          <w:szCs w:val="24"/>
        </w:rPr>
        <w:t>Benefit-Risk</w:t>
      </w:r>
      <w:r w:rsidRPr="00424731">
        <w:rPr>
          <w:color w:val="000000"/>
          <w:szCs w:val="24"/>
        </w:rPr>
        <w:t xml:space="preserve"> Analysis)</w:t>
      </w:r>
      <w:r>
        <w:rPr>
          <w:color w:val="000000"/>
          <w:szCs w:val="24"/>
        </w:rPr>
        <w:t>.  T</w:t>
      </w:r>
      <w:r w:rsidRPr="00424731">
        <w:rPr>
          <w:color w:val="000000"/>
          <w:szCs w:val="24"/>
        </w:rPr>
        <w:t xml:space="preserve">his difficulty is especially evident for a purely aesthetic medical product or procedure </w:t>
      </w:r>
      <w:r>
        <w:rPr>
          <w:color w:val="000000"/>
          <w:szCs w:val="24"/>
        </w:rPr>
        <w:t xml:space="preserve">whose benefit </w:t>
      </w:r>
      <w:r w:rsidRPr="00424731">
        <w:rPr>
          <w:color w:val="000000"/>
          <w:szCs w:val="24"/>
        </w:rPr>
        <w:t xml:space="preserve">lies in the mismatch of a purely mental benefit vs. risks that are both physical and mental.  However, just as the method disclosed in this </w:t>
      </w:r>
      <w:r>
        <w:rPr>
          <w:color w:val="000000"/>
          <w:szCs w:val="24"/>
        </w:rPr>
        <w:t>paper</w:t>
      </w:r>
      <w:r w:rsidRPr="00424731">
        <w:rPr>
          <w:color w:val="000000"/>
          <w:szCs w:val="24"/>
        </w:rPr>
        <w:t xml:space="preserve"> makes the </w:t>
      </w:r>
      <w:r w:rsidR="00EC42E0">
        <w:rPr>
          <w:color w:val="000000"/>
          <w:szCs w:val="24"/>
        </w:rPr>
        <w:t>Benefit-Risk</w:t>
      </w:r>
      <w:r w:rsidRPr="00424731">
        <w:rPr>
          <w:color w:val="000000"/>
          <w:szCs w:val="24"/>
        </w:rPr>
        <w:t xml:space="preserve"> Analysis of other products more objective, we can also use this method to make the </w:t>
      </w:r>
      <w:r w:rsidR="00EC42E0">
        <w:rPr>
          <w:color w:val="000000"/>
          <w:szCs w:val="24"/>
        </w:rPr>
        <w:t>Benefit-Risk</w:t>
      </w:r>
      <w:r w:rsidRPr="00424731">
        <w:rPr>
          <w:color w:val="000000"/>
          <w:szCs w:val="24"/>
        </w:rPr>
        <w:t xml:space="preserve"> Analysis of purely aesthetic</w:t>
      </w:r>
      <w:r>
        <w:rPr>
          <w:color w:val="000000"/>
          <w:szCs w:val="24"/>
        </w:rPr>
        <w:t xml:space="preserve"> medical</w:t>
      </w:r>
      <w:r w:rsidRPr="00424731">
        <w:rPr>
          <w:color w:val="000000"/>
          <w:szCs w:val="24"/>
        </w:rPr>
        <w:t xml:space="preserve"> </w:t>
      </w:r>
      <w:r>
        <w:rPr>
          <w:color w:val="000000"/>
          <w:szCs w:val="24"/>
        </w:rPr>
        <w:t>treatments</w:t>
      </w:r>
      <w:r w:rsidRPr="00424731">
        <w:rPr>
          <w:color w:val="000000"/>
          <w:szCs w:val="24"/>
        </w:rPr>
        <w:t xml:space="preserve"> more objective.  </w:t>
      </w:r>
    </w:p>
    <w:p w14:paraId="25713EA5" w14:textId="77777777" w:rsidR="00B66C73" w:rsidRPr="00424731" w:rsidRDefault="00B66C73" w:rsidP="00806685">
      <w:pPr>
        <w:spacing w:after="0" w:line="240" w:lineRule="auto"/>
        <w:rPr>
          <w:color w:val="000000"/>
          <w:szCs w:val="24"/>
        </w:rPr>
      </w:pPr>
    </w:p>
    <w:p w14:paraId="3C60724C" w14:textId="77777777" w:rsidR="00B66C73" w:rsidRPr="006A4630" w:rsidRDefault="00B66C73" w:rsidP="00E45187">
      <w:pPr>
        <w:pStyle w:val="Heading2"/>
        <w:rPr>
          <w:rFonts w:eastAsia="TimesNewRomanPSMT" w:cs="TimesNewRomanPSMT"/>
          <w:b/>
          <w:color w:val="000000"/>
          <w:u w:val="single"/>
        </w:rPr>
      </w:pPr>
      <w:bookmarkStart w:id="134" w:name="_Toc156728687"/>
      <w:r w:rsidRPr="006A4630">
        <w:rPr>
          <w:rFonts w:eastAsia="TimesNewRomanPSMT" w:cs="TimesNewRomanPSMT"/>
          <w:b/>
          <w:color w:val="000000"/>
          <w:u w:val="single"/>
        </w:rPr>
        <w:t>Models of patient health</w:t>
      </w:r>
      <w:bookmarkEnd w:id="134"/>
    </w:p>
    <w:p w14:paraId="5B0DA3B3"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iCs/>
        </w:rPr>
        <w:t xml:space="preserve">In at least one example of the present disclosure, a model for patient health is disclosed.  The methods described herein enable us to measure the amount of benefit and risk from a product or procedure significantly more objectively than has been possible in the past.  Taken together, these benefits and risks create a significantly more-objective measure of the health of a patient population than has traditionally been done. </w:t>
      </w:r>
    </w:p>
    <w:p w14:paraId="354DFEEB" w14:textId="77777777" w:rsidR="00B66C73" w:rsidRDefault="00B66C73" w:rsidP="00B66C73">
      <w:pPr>
        <w:autoSpaceDE w:val="0"/>
        <w:spacing w:line="240" w:lineRule="auto"/>
        <w:jc w:val="both"/>
        <w:rPr>
          <w:rFonts w:cs="Arial"/>
          <w:iCs/>
        </w:rPr>
      </w:pPr>
      <w:r w:rsidRPr="00424731">
        <w:rPr>
          <w:rFonts w:cs="Arial"/>
          <w:iCs/>
        </w:rPr>
        <w:t xml:space="preserve">Once built, this model can be built and used to compare the rate of various risks to the patient population of the product or procedure.  Changes to the patient’s health can come from the product or procedure’s intended action, can come from a side effect of the product or procedure, or can come from the patient </w:t>
      </w:r>
      <w:r w:rsidRPr="00424731">
        <w:rPr>
          <w:rFonts w:cs="Arial"/>
          <w:iCs/>
        </w:rPr>
        <w:lastRenderedPageBreak/>
        <w:t>population’s underlying health concerns; i.e., the changes may be unrelated to the product or procedure.</w:t>
      </w:r>
      <w:r>
        <w:rPr>
          <w:rFonts w:cs="Arial"/>
          <w:iCs/>
        </w:rPr>
        <w:t xml:space="preserve">  </w:t>
      </w:r>
      <w:r w:rsidRPr="00424731">
        <w:rPr>
          <w:rFonts w:eastAsiaTheme="minorEastAsia" w:cs="Arial"/>
          <w:iCs/>
        </w:rPr>
        <w:t xml:space="preserve">In at least an additional example, the </w:t>
      </w:r>
      <w:r>
        <w:rPr>
          <w:rFonts w:eastAsiaTheme="minorEastAsia" w:cs="Arial"/>
          <w:iCs/>
        </w:rPr>
        <w:t xml:space="preserve">Patient Health </w:t>
      </w:r>
      <w:r w:rsidRPr="00424731">
        <w:rPr>
          <w:rFonts w:eastAsiaTheme="minorEastAsia" w:cs="Arial"/>
          <w:iCs/>
        </w:rPr>
        <w:t xml:space="preserve">model can be extended </w:t>
      </w:r>
      <w:r>
        <w:rPr>
          <w:rFonts w:eastAsiaTheme="minorEastAsia" w:cs="Arial"/>
          <w:iCs/>
        </w:rPr>
        <w:t xml:space="preserve">to include these factors </w:t>
      </w:r>
      <w:r w:rsidRPr="00424731">
        <w:rPr>
          <w:rFonts w:eastAsiaTheme="minorEastAsia" w:cs="Arial"/>
          <w:iCs/>
        </w:rPr>
        <w:t>using Bayesian statistics.  For instance, comorbidity factors can be included f</w:t>
      </w:r>
      <w:r w:rsidRPr="00424731">
        <w:rPr>
          <w:rFonts w:cs="Arial"/>
          <w:iCs/>
        </w:rPr>
        <w:t xml:space="preserve">or the patient population and their likely impact on the health of the patient population.  </w:t>
      </w:r>
    </w:p>
    <w:p w14:paraId="0C393EA3" w14:textId="77777777" w:rsidR="00B66C73" w:rsidRPr="00424731" w:rsidRDefault="00B66C73" w:rsidP="00B66C73">
      <w:pPr>
        <w:autoSpaceDE w:val="0"/>
        <w:spacing w:line="240" w:lineRule="auto"/>
        <w:jc w:val="both"/>
        <w:rPr>
          <w:rFonts w:eastAsia="TimesNewRomanPSMT" w:cs="TimesNewRomanPSMT"/>
          <w:color w:val="000000"/>
          <w:szCs w:val="24"/>
        </w:rPr>
      </w:pPr>
      <w:r>
        <w:rPr>
          <w:rFonts w:cs="Arial"/>
          <w:iCs/>
        </w:rPr>
        <w:t xml:space="preserve">An </w:t>
      </w:r>
      <w:r w:rsidRPr="00424731">
        <w:rPr>
          <w:rFonts w:cs="Arial"/>
          <w:iCs/>
        </w:rPr>
        <w:t>advantage of extending the model to include such factors is that it enables reliable comparisons of predicted and actual rates of occurrence.  Such comparisons can be especially useful with respect to occasional harmful events (e.g., a heart attack or allergic reaction).  If the model is accurate with respect to known diseases and effects, and if the rates of occasional harmful events are different from the actual rate by statistically significant amounts (which may be determined by calculating one or more uncertainty intervals as described herein), then the difference can be attributed to the medical product or procedure under consideration.  Otherwise, the side effect is presumed to be due to random chance and has no causal connection to the product or procedure.</w:t>
      </w:r>
    </w:p>
    <w:p w14:paraId="0B24AEB6"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iCs/>
        </w:rPr>
        <w:t>In at least an additional example, the calculated rate of side effects is accompanied by a calculated confidence interval.</w:t>
      </w:r>
    </w:p>
    <w:p w14:paraId="194F3823" w14:textId="77777777" w:rsidR="00B66C73" w:rsidRPr="00424731" w:rsidRDefault="00B66C73" w:rsidP="00B66C73">
      <w:pPr>
        <w:autoSpaceDE w:val="0"/>
        <w:spacing w:line="240" w:lineRule="auto"/>
        <w:jc w:val="both"/>
        <w:rPr>
          <w:rFonts w:eastAsia="TimesNewRomanPSMT" w:cs="TimesNewRomanPSMT"/>
          <w:color w:val="000000"/>
          <w:szCs w:val="24"/>
        </w:rPr>
      </w:pPr>
      <w:r w:rsidRPr="00424731">
        <w:rPr>
          <w:rFonts w:cs="Arial"/>
        </w:rPr>
        <w:t xml:space="preserve">The model can be extended to include multiple disease states.  The model may also include, for instance, the comorbidity factors discussed above.  </w:t>
      </w:r>
      <w:r w:rsidRPr="00424731">
        <w:rPr>
          <w:rFonts w:eastAsia="TimesNewRomanPSMT" w:cs="TimesNewRomanPSMT"/>
          <w:color w:val="000000"/>
          <w:szCs w:val="24"/>
        </w:rPr>
        <w:t xml:space="preserve">In the above equation, if </w:t>
      </w:r>
      <m:oMath>
        <m:r>
          <w:rPr>
            <w:rFonts w:ascii="Cambria Math" w:hAnsi="Cambria Math"/>
          </w:rPr>
          <m:t>D</m:t>
        </m:r>
      </m:oMath>
      <w:r w:rsidRPr="00424731">
        <w:rPr>
          <w:rFonts w:eastAsia="TimesNewRomanPSMT" w:cs="TimesNewRomanPSMT"/>
        </w:rPr>
        <w:t xml:space="preserve"> represents the set of disease states of patients treated with the medical product or procedure, then </w:t>
      </w:r>
      <m:oMath>
        <m:r>
          <w:rPr>
            <w:rFonts w:ascii="Cambria Math" w:hAnsi="Cambria Math"/>
          </w:rPr>
          <m:t>l</m:t>
        </m:r>
        <m:r>
          <m:rPr>
            <m:aln/>
          </m:rPr>
          <w:rPr>
            <w:rFonts w:ascii="Cambria Math" w:hAnsi="Cambria Math"/>
          </w:rPr>
          <m:t>=n</m:t>
        </m:r>
        <m:d>
          <m:dPr>
            <m:ctrlPr>
              <w:rPr>
                <w:rFonts w:ascii="Cambria Math" w:hAnsi="Cambria Math" w:cs="Calibri"/>
              </w:rPr>
            </m:ctrlPr>
          </m:dPr>
          <m:e>
            <m:r>
              <w:rPr>
                <w:rFonts w:ascii="Cambria Math" w:hAnsi="Cambria Math"/>
              </w:rPr>
              <m:t>D</m:t>
            </m:r>
          </m:e>
        </m:d>
      </m:oMath>
      <w:r w:rsidRPr="00424731">
        <w:rPr>
          <w:rFonts w:eastAsia="TimesNewRomanPSMT" w:cs="TimesNewRomanPSMT"/>
        </w:rPr>
        <w:t xml:space="preserve"> refers to the number of disease states treated with the product or procedure, </w:t>
      </w:r>
      <m:oMath>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oMath>
      <w:r w:rsidRPr="00424731">
        <w:rPr>
          <w:rFonts w:eastAsia="TimesNewRomanPSMT" w:cs="TimesNewRomanPSMT"/>
        </w:rPr>
        <w:t xml:space="preserve"> represents the severity rating of the </w:t>
      </w:r>
      <w:proofErr w:type="spellStart"/>
      <w:r w:rsidRPr="00424731">
        <w:rPr>
          <w:rFonts w:eastAsia="TimesNewRomanPSMT" w:cs="TimesNewRomanPSMT"/>
          <w:i/>
        </w:rPr>
        <w:t>j</w:t>
      </w:r>
      <w:r w:rsidRPr="00424731">
        <w:rPr>
          <w:rFonts w:eastAsia="TimesNewRomanPSMT" w:cs="TimesNewRomanPSMT"/>
          <w:vertAlign w:val="superscript"/>
        </w:rPr>
        <w:t>th</w:t>
      </w:r>
      <w:proofErr w:type="spellEnd"/>
      <w:r w:rsidRPr="00424731">
        <w:rPr>
          <w:rFonts w:eastAsia="TimesNewRomanPSMT" w:cs="TimesNewRomanPSMT"/>
        </w:rPr>
        <w:t xml:space="preserve"> harm of the </w:t>
      </w:r>
      <w:proofErr w:type="spellStart"/>
      <w:r w:rsidRPr="00424731">
        <w:rPr>
          <w:rFonts w:eastAsia="TimesNewRomanPSMT" w:cs="TimesNewRomanPSMT"/>
          <w:i/>
        </w:rPr>
        <w:t>i</w:t>
      </w:r>
      <w:r w:rsidRPr="00424731">
        <w:rPr>
          <w:rFonts w:eastAsia="TimesNewRomanPSMT" w:cs="TimesNewRomanPSMT"/>
          <w:vertAlign w:val="superscript"/>
        </w:rPr>
        <w:t>th</w:t>
      </w:r>
      <w:proofErr w:type="spellEnd"/>
      <w:r w:rsidRPr="00424731">
        <w:rPr>
          <w:rFonts w:eastAsia="TimesNewRomanPSMT" w:cs="TimesNewRomanPSMT"/>
        </w:rPr>
        <w:t xml:space="preserve"> disease state, </w:t>
      </w:r>
      <m:oMath>
        <m:sSub>
          <m:sSubPr>
            <m:ctrlPr>
              <w:rPr>
                <w:rFonts w:ascii="Cambria Math" w:hAnsi="Cambria Math" w:cs="Calibri"/>
              </w:rPr>
            </m:ctrlPr>
          </m:sSubPr>
          <m:e>
            <m:r>
              <w:rPr>
                <w:rFonts w:ascii="Cambria Math" w:hAnsi="Cambria Math"/>
              </w:rPr>
              <m:t>m</m:t>
            </m:r>
          </m:e>
          <m:sub>
            <m:r>
              <w:rPr>
                <w:rFonts w:ascii="Cambria Math" w:hAnsi="Cambria Math"/>
              </w:rPr>
              <m:t>i</m:t>
            </m:r>
          </m:sub>
        </m:sSub>
        <m:r>
          <w:rPr>
            <w:rFonts w:ascii="Cambria Math" w:hAnsi="Cambria Math"/>
          </w:rPr>
          <m:t>=n</m:t>
        </m:r>
        <m:d>
          <m:dPr>
            <m:ctrlPr>
              <w:rPr>
                <w:rFonts w:ascii="Cambria Math" w:hAnsi="Cambria Math" w:cs="Calibri"/>
              </w:rPr>
            </m:ctrlPr>
          </m:dPr>
          <m:e>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e>
        </m:d>
      </m:oMath>
      <w:r w:rsidRPr="00424731">
        <w:rPr>
          <w:rFonts w:eastAsia="TimesNewRomanPSMT" w:cs="TimesNewRomanPSMT"/>
        </w:rPr>
        <w:t xml:space="preserve"> represents the number of harms caused by the </w:t>
      </w:r>
      <w:proofErr w:type="spellStart"/>
      <w:r w:rsidRPr="00424731">
        <w:rPr>
          <w:rFonts w:eastAsia="TimesNewRomanPSMT" w:cs="TimesNewRomanPSMT"/>
          <w:i/>
        </w:rPr>
        <w:t>i</w:t>
      </w:r>
      <w:r w:rsidRPr="00424731">
        <w:rPr>
          <w:rFonts w:eastAsia="TimesNewRomanPSMT" w:cs="TimesNewRomanPSMT"/>
          <w:vertAlign w:val="superscript"/>
        </w:rPr>
        <w:t>th</w:t>
      </w:r>
      <w:proofErr w:type="spellEnd"/>
      <w:r w:rsidRPr="00424731">
        <w:rPr>
          <w:rFonts w:eastAsia="TimesNewRomanPSMT" w:cs="TimesNewRomanPSMT"/>
        </w:rPr>
        <w:t xml:space="preserve"> disease state, </w:t>
      </w:r>
      <m:oMath>
        <m:sSubSup>
          <m:sSubSupPr>
            <m:ctrlPr>
              <w:rPr>
                <w:rFonts w:ascii="Cambria Math" w:hAnsi="Cambria Math" w:cs="Calibri"/>
              </w:rPr>
            </m:ctrlPr>
          </m:sSubSupPr>
          <m:e>
            <m:r>
              <w:rPr>
                <w:rFonts w:ascii="Cambria Math" w:hAnsi="Cambria Math"/>
              </w:rPr>
              <m:t>P</m:t>
            </m:r>
          </m:e>
          <m:sub>
            <m:r>
              <w:rPr>
                <w:rFonts w:ascii="Cambria Math" w:hAnsi="Cambria Math"/>
              </w:rPr>
              <m:t>j</m:t>
            </m:r>
          </m:sub>
          <m:sup>
            <m:r>
              <w:rPr>
                <w:rFonts w:ascii="Cambria Math" w:hAnsi="Cambria Math"/>
              </w:rPr>
              <m:t>i</m:t>
            </m:r>
          </m:sup>
        </m:sSubSup>
      </m:oMath>
      <w:r w:rsidRPr="00424731">
        <w:rPr>
          <w:rFonts w:eastAsia="TimesNewRomanPSMT" w:cs="TimesNewRomanPSMT"/>
        </w:rPr>
        <w:t xml:space="preserve"> is the probability rating of the </w:t>
      </w:r>
      <w:proofErr w:type="spellStart"/>
      <w:r w:rsidRPr="00424731">
        <w:rPr>
          <w:rFonts w:eastAsia="TimesNewRomanPSMT" w:cs="TimesNewRomanPSMT"/>
          <w:i/>
        </w:rPr>
        <w:t>j</w:t>
      </w:r>
      <w:r w:rsidRPr="00424731">
        <w:rPr>
          <w:rFonts w:eastAsia="TimesNewRomanPSMT" w:cs="TimesNewRomanPSMT"/>
          <w:vertAlign w:val="superscript"/>
        </w:rPr>
        <w:t>th</w:t>
      </w:r>
      <w:proofErr w:type="spellEnd"/>
      <w:r w:rsidRPr="00424731">
        <w:rPr>
          <w:rFonts w:eastAsia="TimesNewRomanPSMT" w:cs="TimesNewRomanPSMT"/>
        </w:rPr>
        <w:t xml:space="preserve"> harm occurring at the severity </w:t>
      </w:r>
      <m:oMath>
        <m:sSubSup>
          <m:sSubSupPr>
            <m:ctrlPr>
              <w:rPr>
                <w:rFonts w:ascii="Cambria Math" w:hAnsi="Cambria Math" w:cs="Calibri"/>
              </w:rPr>
            </m:ctrlPr>
          </m:sSubSupPr>
          <m:e>
            <m:r>
              <w:rPr>
                <w:rFonts w:ascii="Cambria Math" w:hAnsi="Cambria Math"/>
              </w:rPr>
              <m:t>S</m:t>
            </m:r>
          </m:e>
          <m:sub>
            <m:r>
              <w:rPr>
                <w:rFonts w:ascii="Cambria Math" w:hAnsi="Cambria Math"/>
              </w:rPr>
              <m:t>j</m:t>
            </m:r>
          </m:sub>
          <m:sup>
            <m:r>
              <w:rPr>
                <w:rFonts w:ascii="Cambria Math" w:hAnsi="Cambria Math"/>
              </w:rPr>
              <m:t>i</m:t>
            </m:r>
          </m:sup>
        </m:sSubSup>
      </m:oMath>
      <w:r w:rsidRPr="00424731">
        <w:rPr>
          <w:rFonts w:eastAsia="TimesNewRomanPSMT" w:cs="TimesNewRomanPSMT"/>
        </w:rPr>
        <w:t xml:space="preserve"> for the </w:t>
      </w:r>
      <w:proofErr w:type="spellStart"/>
      <w:r w:rsidRPr="00424731">
        <w:rPr>
          <w:rFonts w:eastAsia="TimesNewRomanPSMT" w:cs="TimesNewRomanPSMT"/>
          <w:i/>
        </w:rPr>
        <w:t>i</w:t>
      </w:r>
      <w:r w:rsidRPr="00424731">
        <w:rPr>
          <w:rFonts w:eastAsia="TimesNewRomanPSMT" w:cs="TimesNewRomanPSMT"/>
          <w:vertAlign w:val="superscript"/>
        </w:rPr>
        <w:t>th</w:t>
      </w:r>
      <w:proofErr w:type="spellEnd"/>
      <w:r w:rsidRPr="00424731">
        <w:rPr>
          <w:rFonts w:eastAsia="TimesNewRomanPSMT" w:cs="TimesNewRomanPSMT"/>
        </w:rPr>
        <w:t xml:space="preserve"> disease state, </w:t>
      </w:r>
      <m:oMath>
        <m:sSubSup>
          <m:sSubSupPr>
            <m:ctrlPr>
              <w:rPr>
                <w:rFonts w:ascii="Cambria Math" w:hAnsi="Cambria Math"/>
                <w:iCs/>
              </w:rPr>
            </m:ctrlPr>
          </m:sSubSupPr>
          <m:e>
            <m:r>
              <w:rPr>
                <w:rFonts w:ascii="Cambria Math" w:hAnsi="Cambria Math"/>
              </w:rPr>
              <m:t>W</m:t>
            </m:r>
          </m:e>
          <m:sub>
            <m:r>
              <w:rPr>
                <w:rFonts w:ascii="Cambria Math" w:hAnsi="Cambria Math"/>
              </w:rPr>
              <m:t>j</m:t>
            </m:r>
          </m:sub>
          <m:sup>
            <m:r>
              <w:rPr>
                <w:rFonts w:ascii="Cambria Math" w:hAnsi="Cambria Math"/>
              </w:rPr>
              <m:t>i</m:t>
            </m:r>
          </m:sup>
        </m:sSubSup>
      </m:oMath>
      <w:r w:rsidRPr="00424731">
        <w:rPr>
          <w:rFonts w:eastAsia="TimesNewRomanPSMT" w:cs="TimesNewRomanPSMT"/>
          <w:iCs/>
        </w:rPr>
        <w:t xml:space="preserve"> is a time factor (e.g., as discussed above herein) </w:t>
      </w:r>
      <w:r w:rsidRPr="00424731">
        <w:rPr>
          <w:rFonts w:eastAsia="TimesNewRomanPSMT" w:cs="TimesNewRomanPSMT"/>
        </w:rPr>
        <w:t xml:space="preserve">for the </w:t>
      </w:r>
      <w:proofErr w:type="spellStart"/>
      <w:r w:rsidRPr="00424731">
        <w:rPr>
          <w:rFonts w:eastAsia="TimesNewRomanPSMT" w:cs="TimesNewRomanPSMT"/>
          <w:i/>
        </w:rPr>
        <w:t>j</w:t>
      </w:r>
      <w:r w:rsidRPr="00424731">
        <w:rPr>
          <w:rFonts w:eastAsia="TimesNewRomanPSMT" w:cs="TimesNewRomanPSMT"/>
          <w:vertAlign w:val="superscript"/>
        </w:rPr>
        <w:t>th</w:t>
      </w:r>
      <w:proofErr w:type="spellEnd"/>
      <w:r w:rsidRPr="00424731">
        <w:rPr>
          <w:rFonts w:eastAsia="TimesNewRomanPSMT" w:cs="TimesNewRomanPSMT"/>
        </w:rPr>
        <w:t xml:space="preserve"> harm of the </w:t>
      </w:r>
      <w:proofErr w:type="spellStart"/>
      <w:r w:rsidRPr="00424731">
        <w:rPr>
          <w:rFonts w:eastAsia="TimesNewRomanPSMT" w:cs="TimesNewRomanPSMT"/>
          <w:i/>
        </w:rPr>
        <w:t>i</w:t>
      </w:r>
      <w:r w:rsidRPr="00424731">
        <w:rPr>
          <w:rFonts w:eastAsia="TimesNewRomanPSMT" w:cs="TimesNewRomanPSMT"/>
          <w:vertAlign w:val="superscript"/>
        </w:rPr>
        <w:t>th</w:t>
      </w:r>
      <w:proofErr w:type="spellEnd"/>
      <w:r w:rsidRPr="00424731">
        <w:rPr>
          <w:rFonts w:eastAsia="TimesNewRomanPSMT" w:cs="TimesNewRomanPSMT"/>
        </w:rPr>
        <w:t xml:space="preserve"> disease state, and </w:t>
      </w:r>
      <m:oMath>
        <m:r>
          <w:rPr>
            <w:rFonts w:ascii="Cambria Math" w:hAnsi="Cambria Math"/>
          </w:rPr>
          <m:t>R</m:t>
        </m:r>
      </m:oMath>
      <w:r w:rsidRPr="00424731">
        <w:rPr>
          <w:rFonts w:eastAsia="TimesNewRomanPSMT" w:cs="TimesNewRomanPSMT"/>
        </w:rPr>
        <w:t xml:space="preserve"> is the likely amount of risk to the patient’s health from the medical product or procedure.  As a non-limiting example, if a user uses the </w:t>
      </w:r>
      <w:r>
        <w:rPr>
          <w:rFonts w:eastAsia="TimesNewRomanPSMT" w:cs="TimesNewRomanPSMT"/>
        </w:rPr>
        <w:t>7</w:t>
      </w:r>
      <w:r w:rsidRPr="00424731">
        <w:rPr>
          <w:rFonts w:eastAsia="TimesNewRomanPSMT" w:cs="TimesNewRomanPSMT"/>
        </w:rPr>
        <w:t>x5 table from ISO 14971, then</w:t>
      </w:r>
      <w:r>
        <w:rPr>
          <w:rFonts w:eastAsia="TimesNewRomanPSMT" w:cs="TimesNewRomanPSMT"/>
        </w:rPr>
        <w:t xml:space="preserve"> </w:t>
      </w:r>
      <w:r w:rsidRPr="00424731">
        <w:rPr>
          <w:rFonts w:eastAsia="TimesNewRomanPSMT" w:cs="TimesNewRomanPSMT"/>
        </w:rPr>
        <w:t xml:space="preserve">and </w:t>
      </w:r>
      <m:oMath>
        <m:sSubSup>
          <m:sSubSupPr>
            <m:ctrlPr>
              <w:rPr>
                <w:rFonts w:ascii="Cambria Math" w:hAnsi="Cambria Math" w:cs="Calibri"/>
              </w:rPr>
            </m:ctrlPr>
          </m:sSubSupPr>
          <m:e>
            <m:r>
              <w:rPr>
                <w:rFonts w:ascii="Cambria Math" w:hAnsi="Cambria Math"/>
              </w:rPr>
              <m:t>P</m:t>
            </m:r>
          </m:e>
          <m:sub>
            <m:r>
              <w:rPr>
                <w:rFonts w:ascii="Cambria Math" w:hAnsi="Cambria Math"/>
              </w:rPr>
              <m:t>j</m:t>
            </m:r>
          </m:sub>
          <m:sup>
            <m:r>
              <w:rPr>
                <w:rFonts w:ascii="Cambria Math" w:hAnsi="Cambria Math"/>
              </w:rPr>
              <m:t>i</m:t>
            </m:r>
          </m:sup>
        </m:sSubSup>
        <m:r>
          <w:rPr>
            <w:rFonts w:ascii="Cambria Math" w:hAnsi="Cambria Math"/>
          </w:rPr>
          <m:t>∊</m:t>
        </m:r>
        <m:d>
          <m:dPr>
            <m:begChr m:val="{"/>
            <m:endChr m:val="}"/>
            <m:ctrlPr>
              <w:rPr>
                <w:rFonts w:ascii="Cambria Math" w:hAnsi="Cambria Math" w:cs="Calibri"/>
              </w:rPr>
            </m:ctrlPr>
          </m:dPr>
          <m:e>
            <m:eqArr>
              <m:eqArrPr>
                <m:ctrlPr>
                  <w:rPr>
                    <w:rFonts w:ascii="Cambria Math" w:eastAsiaTheme="minorEastAsia" w:hAnsi="Cambria Math" w:cs="Arial"/>
                  </w:rPr>
                </m:ctrlPr>
              </m:eqArrPr>
              <m:e>
                <m:r>
                  <m:rPr>
                    <m:sty m:val="p"/>
                  </m:rPr>
                  <w:rPr>
                    <w:rFonts w:ascii="Cambria Math" w:eastAsiaTheme="minorEastAsia" w:hAnsi="Cambria Math" w:cs="Arial"/>
                  </w:rPr>
                  <m:t xml:space="preserve"> </m:t>
                </m:r>
              </m:e>
              <m:e>
                <m:r>
                  <m:rPr>
                    <m:sty m:val="p"/>
                  </m:rPr>
                  <w:rPr>
                    <w:rFonts w:ascii="Cambria Math" w:eastAsiaTheme="minorEastAsia" w:hAnsi="Cambria Math" w:cs="Arial"/>
                  </w:rPr>
                  <m:t xml:space="preserve"> Expected, Often, Frequent, Probable,</m:t>
                </m:r>
                <m:ctrlPr>
                  <w:rPr>
                    <w:rFonts w:ascii="Cambria Math" w:eastAsia="Cambria Math" w:hAnsi="Cambria Math" w:cs="Cambria Math"/>
                  </w:rPr>
                </m:ctrlPr>
              </m:e>
              <m:e>
                <m:r>
                  <m:rPr>
                    <m:sty m:val="p"/>
                  </m:rPr>
                  <w:rPr>
                    <w:rFonts w:ascii="Cambria Math" w:eastAsiaTheme="minorEastAsia" w:hAnsi="Cambria Math" w:cs="Arial"/>
                  </w:rPr>
                  <m:t>Occasional,Remote, Improbable</m:t>
                </m:r>
              </m:e>
            </m:eqArr>
          </m:e>
        </m:d>
      </m:oMath>
      <w:r>
        <w:rPr>
          <w:rFonts w:eastAsia="TimesNewRomanPSMT" w:cs="TimesNewRomanPSMT"/>
        </w:rPr>
        <w:t xml:space="preserve"> and</w:t>
      </w:r>
      <w:r w:rsidRPr="00424731">
        <w:rPr>
          <w:rFonts w:eastAsia="TimesNewRomanPSMT" w:cs="TimesNewRomanPSMT"/>
        </w:rPr>
        <w:t xml:space="preserve"> </w:t>
      </w:r>
      <m:oMath>
        <m:sSubSup>
          <m:sSubSupPr>
            <m:ctrlPr>
              <w:rPr>
                <w:rFonts w:ascii="Cambria Math" w:hAnsi="Cambria Math" w:cs="Calibri"/>
              </w:rPr>
            </m:ctrlPr>
          </m:sSubSupPr>
          <m:e>
            <m:r>
              <w:rPr>
                <w:rFonts w:ascii="Cambria Math" w:hAnsi="Cambria Math"/>
              </w:rPr>
              <m:t>S</m:t>
            </m:r>
            <m:ctrlPr>
              <w:rPr>
                <w:rFonts w:ascii="Cambria Math" w:hAnsi="Cambria Math"/>
                <w:i/>
              </w:rPr>
            </m:ctrlPr>
          </m:e>
          <m:sub>
            <m:r>
              <w:rPr>
                <w:rFonts w:ascii="Cambria Math" w:hAnsi="Cambria Math"/>
              </w:rPr>
              <m:t>j</m:t>
            </m:r>
          </m:sub>
          <m:sup>
            <m:r>
              <w:rPr>
                <w:rFonts w:ascii="Cambria Math" w:hAnsi="Cambria Math"/>
              </w:rPr>
              <m:t>i</m:t>
            </m:r>
          </m:sup>
        </m:sSubSup>
        <m:r>
          <w:rPr>
            <w:rFonts w:ascii="Cambria Math" w:hAnsi="Cambria Math"/>
          </w:rPr>
          <m:t>∊</m:t>
        </m:r>
        <m:d>
          <m:dPr>
            <m:begChr m:val="{"/>
            <m:endChr m:val="}"/>
            <m:ctrlPr>
              <w:rPr>
                <w:rFonts w:ascii="Cambria Math" w:hAnsi="Cambria Math" w:cs="Calibri"/>
              </w:rPr>
            </m:ctrlPr>
          </m:dPr>
          <m:e>
            <m:eqArr>
              <m:eqArrPr>
                <m:ctrlPr>
                  <w:rPr>
                    <w:rFonts w:ascii="Cambria Math" w:eastAsia="TimesNewRomanPSMT" w:hAnsi="Cambria Math" w:cs="TimesNewRomanPSMT"/>
                    <w:color w:val="000000"/>
                    <w:szCs w:val="24"/>
                  </w:rPr>
                </m:ctrlPr>
              </m:eqArrPr>
              <m:e>
                <m:r>
                  <m:rPr>
                    <m:sty m:val="p"/>
                  </m:rPr>
                  <w:rPr>
                    <w:rFonts w:ascii="Cambria Math" w:eastAsia="TimesNewRomanPSMT" w:hAnsi="Cambria Math" w:cs="TimesNewRomanPSMT"/>
                    <w:color w:val="000000"/>
                    <w:szCs w:val="24"/>
                  </w:rPr>
                  <m:t xml:space="preserve">Negligible, Minor, Serious/Major, </m:t>
                </m:r>
              </m:e>
              <m:e>
                <m:r>
                  <m:rPr>
                    <m:sty m:val="p"/>
                  </m:rPr>
                  <w:rPr>
                    <w:rFonts w:ascii="Cambria Math" w:eastAsia="TimesNewRomanPSMT" w:hAnsi="Cambria Math" w:cs="TimesNewRomanPSMT"/>
                    <w:color w:val="000000"/>
                    <w:szCs w:val="24"/>
                  </w:rPr>
                  <m:t>Critical, Catastrophic / Fatal</m:t>
                </m:r>
              </m:e>
            </m:eqArr>
          </m:e>
        </m:d>
      </m:oMath>
      <w:r w:rsidRPr="00424731">
        <w:rPr>
          <w:rFonts w:eastAsiaTheme="minorEastAsia" w:cs="Arial"/>
        </w:rPr>
        <w:t>.  With these assumptions, the risk to the patient from the medi</w:t>
      </w:r>
      <w:r>
        <w:rPr>
          <w:rFonts w:eastAsiaTheme="minorEastAsia" w:cs="Arial"/>
        </w:rPr>
        <w:t>c</w:t>
      </w:r>
      <w:r w:rsidRPr="00424731">
        <w:rPr>
          <w:rFonts w:eastAsiaTheme="minorEastAsia" w:cs="Arial"/>
        </w:rPr>
        <w:t xml:space="preserve">al product or procedure is: </w:t>
      </w:r>
    </w:p>
    <w:p w14:paraId="0F295D27" w14:textId="77777777" w:rsidR="00B66C73" w:rsidRPr="00510965" w:rsidRDefault="00B66C73" w:rsidP="00B66C73">
      <w:pPr>
        <w:pStyle w:val="Caption"/>
        <w:rPr>
          <w:rFonts w:eastAsia="TimesNewRomanPSMT" w:cs="TimesNewRomanPSMT"/>
          <w:i w:val="0"/>
        </w:rPr>
      </w:pPr>
      <m:oMathPara>
        <m:oMath>
          <m:r>
            <w:rPr>
              <w:rFonts w:ascii="Cambria Math" w:hAnsi="Cambria Math" w:cs="Arial"/>
            </w:rPr>
            <m:t xml:space="preserve">R= </m:t>
          </m:r>
          <m:d>
            <m:dPr>
              <m:begChr m:val="{"/>
              <m:endChr m:val=""/>
              <m:ctrlPr>
                <w:rPr>
                  <w:rFonts w:ascii="Cambria Math" w:eastAsia="TimesNewRomanPSMT" w:hAnsi="Cambria Math" w:cs="TimesNewRomanPSMT"/>
                </w:rPr>
              </m:ctrlPr>
            </m:dPr>
            <m:e>
              <m:d>
                <m:dPr>
                  <m:begChr m:val=""/>
                  <m:endChr m:val="}"/>
                  <m:ctrlPr>
                    <w:rPr>
                      <w:rFonts w:ascii="Cambria Math" w:eastAsia="TimesNewRomanPSMT" w:hAnsi="Cambria Math" w:cs="TimesNewRomanPSMT"/>
                    </w:rPr>
                  </m:ctrlPr>
                </m:dPr>
                <m:e>
                  <m:eqArr>
                    <m:eqArrPr>
                      <m:ctrlPr>
                        <w:rPr>
                          <w:rFonts w:ascii="Cambria Math" w:eastAsia="TimesNewRomanPSMT" w:hAnsi="Cambria Math" w:cs="TimesNewRomanPSMT"/>
                        </w:rPr>
                      </m:ctrlPr>
                    </m:eqArrPr>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1</m:t>
                              </m:r>
                            </m:sup>
                          </m:sSubSup>
                        </m:e>
                      </m:d>
                      <m:r>
                        <w:rPr>
                          <w:rFonts w:ascii="Cambria Math" w:eastAsia="TimesNewRomanPSMT" w:hAnsi="Cambria Math" w:cs="TimesNewRomanPSMT"/>
                        </w:rPr>
                        <m:t>,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1</m:t>
                                  </m:r>
                                </m:sub>
                              </m:sSub>
                            </m:sub>
                            <m:sup>
                              <m:r>
                                <w:rPr>
                                  <w:rFonts w:ascii="Cambria Math" w:eastAsia="TimesNewRomanPSMT" w:hAnsi="Cambria Math" w:cs="TimesNewRomanPSMT"/>
                                </w:rPr>
                                <m:t>1</m:t>
                              </m:r>
                            </m:sup>
                          </m:sSubSup>
                        </m:e>
                      </m:d>
                      <m:r>
                        <w:rPr>
                          <w:rFonts w:ascii="Cambria Math" w:eastAsia="TimesNewRomanPSMT" w:hAnsi="Cambria Math" w:cs="TimesNewRomanPSMT"/>
                        </w:rPr>
                        <m:t>,</m:t>
                      </m: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2</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2</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2</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2</m:t>
                                  </m:r>
                                </m:sub>
                              </m:sSub>
                            </m:sub>
                            <m:sup>
                              <m:r>
                                <w:rPr>
                                  <w:rFonts w:ascii="Cambria Math" w:eastAsia="TimesNewRomanPSMT" w:hAnsi="Cambria Math" w:cs="TimesNewRomanPSMT"/>
                                </w:rPr>
                                <m:t>2</m:t>
                              </m:r>
                            </m:sup>
                          </m:sSubSup>
                        </m:e>
                      </m:d>
                      <m:r>
                        <w:rPr>
                          <w:rFonts w:ascii="Cambria Math" w:eastAsia="TimesNewRomanPSMT" w:hAnsi="Cambria Math" w:cs="TimesNewRomanPSMT"/>
                        </w:rPr>
                        <m:t>,</m:t>
                      </m:r>
                      <m:ctrlPr>
                        <w:rPr>
                          <w:rFonts w:ascii="Cambria Math" w:eastAsia="Cambria Math" w:hAnsi="Cambria Math" w:cs="Cambria Math"/>
                        </w:rPr>
                      </m:ctrlP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3</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3</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3</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sSub>
                                <m:sSubPr>
                                  <m:ctrlPr>
                                    <w:rPr>
                                      <w:rFonts w:ascii="Cambria Math" w:hAnsi="Cambria Math" w:cs="Arial"/>
                                    </w:rPr>
                                  </m:ctrlPr>
                                </m:sSubPr>
                                <m:e>
                                  <m:r>
                                    <w:rPr>
                                      <w:rFonts w:ascii="Cambria Math" w:hAnsi="Cambria Math" w:cs="Arial"/>
                                    </w:rPr>
                                    <m:t>m</m:t>
                                  </m:r>
                                </m:e>
                                <m:sub>
                                  <m:r>
                                    <w:rPr>
                                      <w:rFonts w:ascii="Cambria Math" w:hAnsi="Cambria Math" w:cs="Arial"/>
                                    </w:rPr>
                                    <m:t>3</m:t>
                                  </m:r>
                                </m:sub>
                              </m:sSub>
                            </m:sub>
                            <m:sup>
                              <m:r>
                                <w:rPr>
                                  <w:rFonts w:ascii="Cambria Math" w:eastAsia="TimesNewRomanPSMT" w:hAnsi="Cambria Math" w:cs="TimesNewRomanPSMT"/>
                                </w:rPr>
                                <m:t>3</m:t>
                              </m:r>
                            </m:sup>
                          </m:sSubSup>
                        </m:e>
                      </m:d>
                      <m:r>
                        <w:rPr>
                          <w:rFonts w:ascii="Cambria Math" w:eastAsia="TimesNewRomanPSMT" w:hAnsi="Cambria Math" w:cs="TimesNewRomanPSMT"/>
                        </w:rPr>
                        <m:t xml:space="preserve">, . . . , </m:t>
                      </m:r>
                      <m:ctrlPr>
                        <w:rPr>
                          <w:rFonts w:ascii="Cambria Math" w:eastAsia="Cambria Math" w:hAnsi="Cambria Math" w:cs="Cambria Math"/>
                        </w:rPr>
                      </m:ctrlPr>
                    </m:e>
                    <m:e>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1</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1</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2</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2</m:t>
                              </m:r>
                            </m:sub>
                            <m:sup>
                              <m:r>
                                <w:rPr>
                                  <w:rFonts w:ascii="Cambria Math" w:eastAsia="TimesNewRomanPSMT" w:hAnsi="Cambria Math" w:cs="TimesNewRomanPSMT"/>
                                </w:rPr>
                                <m:t>1</m:t>
                              </m:r>
                            </m:sup>
                          </m:sSubSup>
                        </m:e>
                      </m:d>
                      <m:r>
                        <w:rPr>
                          <w:rFonts w:ascii="Cambria Math" w:eastAsia="TimesNewRomanPSMT" w:hAnsi="Cambria Math" w:cs="TimesNewRomanPSMT"/>
                        </w:rPr>
                        <m:t xml:space="preserve">,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3</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3</m:t>
                              </m:r>
                            </m:sub>
                            <m:sup>
                              <m:r>
                                <w:rPr>
                                  <w:rFonts w:ascii="Cambria Math" w:eastAsia="TimesNewRomanPSMT" w:hAnsi="Cambria Math" w:cs="TimesNewRomanPSMT"/>
                                </w:rPr>
                                <m:t>1</m:t>
                              </m:r>
                            </m:sup>
                          </m:sSubSup>
                        </m:e>
                      </m:d>
                      <m:r>
                        <w:rPr>
                          <w:rFonts w:ascii="Cambria Math" w:eastAsia="TimesNewRomanPSMT" w:hAnsi="Cambria Math" w:cs="TimesNewRomanPSMT"/>
                        </w:rPr>
                        <m:t xml:space="preserve">, . . .  , </m:t>
                      </m:r>
                      <m:d>
                        <m:dPr>
                          <m:ctrlPr>
                            <w:rPr>
                              <w:rFonts w:ascii="Cambria Math" w:eastAsia="TimesNewRomanPSMT" w:hAnsi="Cambria Math" w:cs="TimesNewRomanPSMT"/>
                            </w:rPr>
                          </m:ctrlPr>
                        </m:dPr>
                        <m:e>
                          <m:sSubSup>
                            <m:sSubSupPr>
                              <m:ctrlPr>
                                <w:rPr>
                                  <w:rFonts w:ascii="Cambria Math" w:eastAsia="TimesNewRomanPSMT" w:hAnsi="Cambria Math" w:cs="TimesNewRomanPSMT"/>
                                </w:rPr>
                              </m:ctrlPr>
                            </m:sSubSupPr>
                            <m:e>
                              <m:r>
                                <w:rPr>
                                  <w:rFonts w:ascii="Cambria Math" w:eastAsia="TimesNewRomanPSMT" w:hAnsi="Cambria Math" w:cs="TimesNewRomanPSMT"/>
                                </w:rPr>
                                <m:t>P</m:t>
                              </m:r>
                            </m:e>
                            <m:sub>
                              <m:r>
                                <w:rPr>
                                  <w:rFonts w:ascii="Cambria Math" w:eastAsia="TimesNewRomanPSMT" w:hAnsi="Cambria Math" w:cs="TimesNewRomanPSMT"/>
                                </w:rPr>
                                <m:t>l</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S</m:t>
                              </m:r>
                            </m:e>
                            <m:sub>
                              <m:r>
                                <w:rPr>
                                  <w:rFonts w:ascii="Cambria Math" w:eastAsia="TimesNewRomanPSMT" w:hAnsi="Cambria Math" w:cs="TimesNewRomanPSMT"/>
                                </w:rPr>
                                <m:t>l</m:t>
                              </m:r>
                            </m:sub>
                            <m:sup>
                              <m:r>
                                <w:rPr>
                                  <w:rFonts w:ascii="Cambria Math" w:eastAsia="TimesNewRomanPSMT" w:hAnsi="Cambria Math" w:cs="TimesNewRomanPSMT"/>
                                </w:rPr>
                                <m:t>1</m:t>
                              </m:r>
                            </m:sup>
                          </m:sSubSup>
                          <m:r>
                            <w:rPr>
                              <w:rFonts w:ascii="Cambria Math" w:eastAsia="TimesNewRomanPSMT" w:hAnsi="Cambria Math" w:cs="TimesNewRomanPSMT"/>
                            </w:rPr>
                            <m:t xml:space="preserve">, </m:t>
                          </m:r>
                          <m:sSubSup>
                            <m:sSubSupPr>
                              <m:ctrlPr>
                                <w:rPr>
                                  <w:rFonts w:ascii="Cambria Math" w:eastAsia="TimesNewRomanPSMT" w:hAnsi="Cambria Math" w:cs="TimesNewRomanPSMT"/>
                                </w:rPr>
                              </m:ctrlPr>
                            </m:sSubSupPr>
                            <m:e>
                              <m:r>
                                <w:rPr>
                                  <w:rFonts w:ascii="Cambria Math" w:eastAsia="TimesNewRomanPSMT" w:hAnsi="Cambria Math" w:cs="TimesNewRomanPSMT"/>
                                </w:rPr>
                                <m:t>W</m:t>
                              </m:r>
                            </m:e>
                            <m:sub>
                              <m:r>
                                <w:rPr>
                                  <w:rFonts w:ascii="Cambria Math" w:eastAsia="TimesNewRomanPSMT" w:hAnsi="Cambria Math" w:cs="TimesNewRomanPSMT"/>
                                </w:rPr>
                                <m:t>l</m:t>
                              </m:r>
                            </m:sub>
                            <m:sup>
                              <m:r>
                                <w:rPr>
                                  <w:rFonts w:ascii="Cambria Math" w:eastAsia="TimesNewRomanPSMT" w:hAnsi="Cambria Math" w:cs="TimesNewRomanPSMT"/>
                                </w:rPr>
                                <m:t>1</m:t>
                              </m:r>
                            </m:sup>
                          </m:sSubSup>
                        </m:e>
                      </m:d>
                    </m:e>
                  </m:eqArr>
                </m:e>
              </m:d>
            </m:e>
          </m:d>
        </m:oMath>
      </m:oMathPara>
    </w:p>
    <w:p w14:paraId="40E74AC1" w14:textId="09711299" w:rsidR="00B66C73" w:rsidRPr="00510965" w:rsidRDefault="00B66C73" w:rsidP="00B66C73">
      <w:pPr>
        <w:pStyle w:val="Caption"/>
        <w:jc w:val="right"/>
        <w:rPr>
          <w:rFonts w:eastAsia="TimesNewRomanPSMT" w:cs="TimesNewRomanPSMT"/>
          <w:i w:val="0"/>
          <w:color w:val="000000"/>
          <w:szCs w:val="24"/>
        </w:rPr>
      </w:pPr>
      <w:bookmarkStart w:id="135" w:name="_Ref144302390"/>
      <w:r>
        <w:t xml:space="preserve">Equation </w:t>
      </w:r>
      <w:r>
        <w:fldChar w:fldCharType="begin"/>
      </w:r>
      <w:r>
        <w:instrText xml:space="preserve"> SEQ Equation \* ARABIC </w:instrText>
      </w:r>
      <w:r>
        <w:fldChar w:fldCharType="separate"/>
      </w:r>
      <w:r w:rsidR="003468AE">
        <w:rPr>
          <w:noProof/>
        </w:rPr>
        <w:t>33</w:t>
      </w:r>
      <w:r>
        <w:rPr>
          <w:noProof/>
        </w:rPr>
        <w:fldChar w:fldCharType="end"/>
      </w:r>
      <w:bookmarkEnd w:id="135"/>
    </w:p>
    <w:p w14:paraId="042BA0B0" w14:textId="72A0603E" w:rsidR="00B66C73" w:rsidRPr="00424731" w:rsidRDefault="00B66C73" w:rsidP="00B66C73">
      <w:pPr>
        <w:autoSpaceDE w:val="0"/>
        <w:spacing w:line="240" w:lineRule="auto"/>
        <w:jc w:val="both"/>
        <w:rPr>
          <w:rFonts w:eastAsia="TimesNewRomanPSMT" w:cs="TimesNewRomanPSMT"/>
          <w:color w:val="000000"/>
          <w:szCs w:val="24"/>
        </w:rPr>
      </w:pPr>
      <w:r w:rsidRPr="00424731">
        <w:rPr>
          <w:rFonts w:eastAsia="TimesNewRomanPSMT" w:cs="TimesNewRomanPSMT"/>
          <w:color w:val="000000"/>
          <w:szCs w:val="24"/>
        </w:rPr>
        <w:t xml:space="preserve">Similar to </w:t>
      </w:r>
      <w:r>
        <w:rPr>
          <w:rFonts w:eastAsia="TimesNewRomanPSMT" w:cs="TimesNewRomanPSMT"/>
          <w:color w:val="000000"/>
          <w:szCs w:val="24"/>
        </w:rPr>
        <w:fldChar w:fldCharType="begin"/>
      </w:r>
      <w:r>
        <w:rPr>
          <w:rFonts w:eastAsia="TimesNewRomanPSMT" w:cs="TimesNewRomanPSMT"/>
          <w:color w:val="000000"/>
          <w:szCs w:val="24"/>
        </w:rPr>
        <w:instrText xml:space="preserve"> REF _Ref144302390 \h </w:instrText>
      </w:r>
      <w:r>
        <w:rPr>
          <w:rFonts w:eastAsia="TimesNewRomanPSMT" w:cs="TimesNewRomanPSMT"/>
          <w:color w:val="000000"/>
          <w:szCs w:val="24"/>
        </w:rPr>
      </w:r>
      <w:r>
        <w:rPr>
          <w:rFonts w:eastAsia="TimesNewRomanPSMT" w:cs="TimesNewRomanPSMT"/>
          <w:color w:val="000000"/>
          <w:szCs w:val="24"/>
        </w:rPr>
        <w:fldChar w:fldCharType="separate"/>
      </w:r>
      <w:r w:rsidR="001E41EA">
        <w:t xml:space="preserve">Equation </w:t>
      </w:r>
      <w:r w:rsidR="001E41EA">
        <w:rPr>
          <w:noProof/>
        </w:rPr>
        <w:t>39</w:t>
      </w:r>
      <w:r>
        <w:rPr>
          <w:rFonts w:eastAsia="TimesNewRomanPSMT" w:cs="TimesNewRomanPSMT"/>
          <w:color w:val="000000"/>
          <w:szCs w:val="24"/>
        </w:rPr>
        <w:fldChar w:fldCharType="end"/>
      </w:r>
      <w:r w:rsidRPr="00424731">
        <w:rPr>
          <w:rFonts w:eastAsia="TimesNewRomanPSMT" w:cs="TimesNewRomanPSMT"/>
          <w:color w:val="000000"/>
          <w:szCs w:val="24"/>
        </w:rPr>
        <w:t>, risk models for both</w:t>
      </w:r>
      <w:r w:rsidRPr="00424731">
        <w:rPr>
          <w:rFonts w:eastAsiaTheme="minorEastAsia" w:cs="Arial"/>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A</m:t>
            </m:r>
          </m:sub>
        </m:sSub>
      </m:oMath>
      <w:r w:rsidRPr="00424731">
        <w:rPr>
          <w:rFonts w:eastAsiaTheme="minorEastAsia" w:cs="Arial"/>
          <w:iCs/>
        </w:rPr>
        <w:t xml:space="preserve"> and </w:t>
      </w:r>
      <m:oMath>
        <m:sSub>
          <m:sSubPr>
            <m:ctrlPr>
              <w:rPr>
                <w:rFonts w:ascii="Cambria Math" w:hAnsi="Cambria Math" w:cs="Arial"/>
                <w:i/>
              </w:rPr>
            </m:ctrlPr>
          </m:sSubPr>
          <m:e>
            <m:r>
              <w:rPr>
                <w:rFonts w:ascii="Cambria Math" w:hAnsi="Cambria Math" w:cs="Arial"/>
              </w:rPr>
              <m:t>R</m:t>
            </m:r>
          </m:e>
          <m:sub>
            <m:r>
              <w:rPr>
                <w:rFonts w:ascii="Cambria Math" w:hAnsi="Cambria Math" w:cs="Arial"/>
              </w:rPr>
              <m:t>B</m:t>
            </m:r>
          </m:sub>
        </m:sSub>
      </m:oMath>
      <w:r w:rsidRPr="00424731">
        <w:rPr>
          <w:rFonts w:eastAsiaTheme="minorEastAsia" w:cs="Arial"/>
          <w:iCs/>
        </w:rPr>
        <w:t xml:space="preserve">can be built to represent complete models of patient health.  In at least a further example, the model considers synergistic effects from multiple exposures with the medical product or procedure.  </w:t>
      </w:r>
      <w:r w:rsidRPr="00424731">
        <w:rPr>
          <w:rFonts w:eastAsiaTheme="minorEastAsia" w:cs="Arial"/>
          <w:i/>
          <w:iCs/>
        </w:rPr>
        <w:t xml:space="preserve">See also </w:t>
      </w:r>
      <w:r w:rsidRPr="00424731">
        <w:rPr>
          <w:rFonts w:eastAsiaTheme="minorEastAsia" w:cs="Arial"/>
          <w:iCs/>
        </w:rPr>
        <w:t xml:space="preserve">ISO 31010, Section 6.3.5.1. </w:t>
      </w:r>
    </w:p>
    <w:p w14:paraId="18C039DC" w14:textId="77777777" w:rsidR="00B66C73" w:rsidRPr="00424731" w:rsidRDefault="00B66C73" w:rsidP="00B66C73">
      <w:pPr>
        <w:autoSpaceDE w:val="0"/>
        <w:spacing w:line="240" w:lineRule="auto"/>
        <w:jc w:val="both"/>
        <w:rPr>
          <w:color w:val="000000"/>
          <w:szCs w:val="24"/>
        </w:rPr>
      </w:pPr>
      <w:r w:rsidRPr="00424731">
        <w:rPr>
          <w:rFonts w:cs="Arial"/>
        </w:rPr>
        <w:t xml:space="preserve">In at least one example, the model is generated by determining the typical characteristics of a patient suffering from one or more diseases or conditions that the medical product or procedure under consideration is designed to treat.  Such a determination could be made by identifying one or more diseases or conditions the medical product or procedure is intended to treat, and estimating, using medical data (e.g., published data, including, for instance clinical data) regarding the disease characteristics, the patient’s likely state of health.  Such an estimate may include, for example, determining how the disease will likely harm the patient, the probability of such harm occurring, the duration of harm, and whether the harm will occur immediately or at some point in the future.  </w:t>
      </w:r>
    </w:p>
    <w:p w14:paraId="2178700F" w14:textId="77777777" w:rsidR="00B66C73" w:rsidRPr="00424731" w:rsidRDefault="00B66C73" w:rsidP="00806685">
      <w:pPr>
        <w:spacing w:after="0" w:line="240" w:lineRule="auto"/>
        <w:rPr>
          <w:color w:val="000000"/>
          <w:szCs w:val="24"/>
        </w:rPr>
      </w:pPr>
    </w:p>
    <w:p w14:paraId="246FBFB3" w14:textId="22EB75C9" w:rsidR="00B66C73" w:rsidRPr="006A4630" w:rsidRDefault="00EC42E0" w:rsidP="00E45187">
      <w:pPr>
        <w:pStyle w:val="Heading2"/>
        <w:rPr>
          <w:rFonts w:eastAsia="TimesNewRomanPSMT" w:cs="TimesNewRomanPSMT"/>
          <w:b/>
          <w:color w:val="000000"/>
          <w:u w:val="single"/>
        </w:rPr>
      </w:pPr>
      <w:bookmarkStart w:id="136" w:name="_Toc156728688"/>
      <w:r>
        <w:rPr>
          <w:rFonts w:eastAsia="TimesNewRomanPSMT" w:cs="TimesNewRomanPSMT"/>
          <w:b/>
          <w:color w:val="000000"/>
          <w:u w:val="single"/>
        </w:rPr>
        <w:lastRenderedPageBreak/>
        <w:t>Benefit-Risk</w:t>
      </w:r>
      <w:r w:rsidR="00B66C73" w:rsidRPr="006A4630">
        <w:rPr>
          <w:rFonts w:eastAsia="TimesNewRomanPSMT" w:cs="TimesNewRomanPSMT"/>
          <w:b/>
          <w:color w:val="000000"/>
          <w:u w:val="single"/>
        </w:rPr>
        <w:t xml:space="preserve"> Analysis </w:t>
      </w:r>
      <w:r w:rsidR="0087428B">
        <w:rPr>
          <w:rFonts w:eastAsia="TimesNewRomanPSMT" w:cs="TimesNewRomanPSMT"/>
          <w:b/>
          <w:color w:val="000000"/>
          <w:u w:val="single"/>
        </w:rPr>
        <w:t xml:space="preserve">for </w:t>
      </w:r>
      <w:r w:rsidR="00B66C73" w:rsidRPr="006A4630">
        <w:rPr>
          <w:rFonts w:eastAsia="TimesNewRomanPSMT" w:cs="TimesNewRomanPSMT"/>
          <w:b/>
          <w:color w:val="000000"/>
          <w:u w:val="single"/>
        </w:rPr>
        <w:t xml:space="preserve">Compliance </w:t>
      </w:r>
      <w:r w:rsidR="00E45187">
        <w:rPr>
          <w:rFonts w:eastAsia="TimesNewRomanPSMT" w:cs="TimesNewRomanPSMT"/>
          <w:b/>
          <w:color w:val="000000"/>
          <w:u w:val="single"/>
        </w:rPr>
        <w:t>/</w:t>
      </w:r>
      <w:r w:rsidR="00B66C73" w:rsidRPr="006A4630">
        <w:rPr>
          <w:rFonts w:eastAsia="TimesNewRomanPSMT" w:cs="TimesNewRomanPSMT"/>
          <w:b/>
          <w:color w:val="000000"/>
          <w:u w:val="single"/>
        </w:rPr>
        <w:t xml:space="preserve"> Product Availability</w:t>
      </w:r>
      <w:bookmarkEnd w:id="136"/>
    </w:p>
    <w:p w14:paraId="6E19FE1B" w14:textId="78910271" w:rsidR="00B66C73" w:rsidRDefault="00B66C73" w:rsidP="00B66C73">
      <w:pPr>
        <w:autoSpaceDE w:val="0"/>
        <w:spacing w:line="240" w:lineRule="auto"/>
        <w:jc w:val="both"/>
        <w:rPr>
          <w:color w:val="000000"/>
          <w:szCs w:val="24"/>
        </w:rPr>
      </w:pPr>
      <w:r>
        <w:rPr>
          <w:color w:val="000000"/>
          <w:szCs w:val="24"/>
        </w:rPr>
        <w:t xml:space="preserve">Given the central role that </w:t>
      </w:r>
      <w:r w:rsidR="00EC42E0">
        <w:rPr>
          <w:color w:val="000000"/>
          <w:szCs w:val="24"/>
        </w:rPr>
        <w:t>Benefit-Risk</w:t>
      </w:r>
      <w:r>
        <w:rPr>
          <w:color w:val="000000"/>
          <w:szCs w:val="24"/>
        </w:rPr>
        <w:t xml:space="preserve"> Analysis has as a final check before releasing new products to market, it should be no surprise that </w:t>
      </w:r>
      <w:r w:rsidR="00EC42E0">
        <w:rPr>
          <w:color w:val="000000"/>
          <w:szCs w:val="24"/>
        </w:rPr>
        <w:t>Benefit-Risk</w:t>
      </w:r>
      <w:r>
        <w:rPr>
          <w:color w:val="000000"/>
          <w:szCs w:val="24"/>
        </w:rPr>
        <w:t xml:space="preserve"> Analysis is also a key indicator of product compliance (i.e., compliance with regulations) and availability (i.e., whether field actions are required)</w:t>
      </w:r>
      <w:r w:rsidRPr="004D062A">
        <w:rPr>
          <w:color w:val="000000"/>
          <w:szCs w:val="24"/>
          <w:vertAlign w:val="superscript"/>
        </w:rPr>
        <w:fldChar w:fldCharType="begin"/>
      </w:r>
      <w:r w:rsidRPr="004D062A">
        <w:rPr>
          <w:color w:val="000000"/>
          <w:szCs w:val="24"/>
          <w:vertAlign w:val="superscript"/>
        </w:rPr>
        <w:instrText xml:space="preserve"> NOTEREF _Ref146116270 \h </w:instrText>
      </w:r>
      <w:r>
        <w:rPr>
          <w:color w:val="000000"/>
          <w:szCs w:val="24"/>
          <w:vertAlign w:val="superscript"/>
        </w:rPr>
        <w:instrText xml:space="preserve"> \* MERGEFORMAT </w:instrText>
      </w:r>
      <w:r w:rsidRPr="004D062A">
        <w:rPr>
          <w:color w:val="000000"/>
          <w:szCs w:val="24"/>
          <w:vertAlign w:val="superscript"/>
        </w:rPr>
      </w:r>
      <w:r w:rsidRPr="004D062A">
        <w:rPr>
          <w:color w:val="000000"/>
          <w:szCs w:val="24"/>
          <w:vertAlign w:val="superscript"/>
        </w:rPr>
        <w:fldChar w:fldCharType="separate"/>
      </w:r>
      <w:r w:rsidR="001E41EA">
        <w:rPr>
          <w:color w:val="000000"/>
          <w:szCs w:val="24"/>
          <w:vertAlign w:val="superscript"/>
        </w:rPr>
        <w:t>5</w:t>
      </w:r>
      <w:r w:rsidRPr="004D062A">
        <w:rPr>
          <w:color w:val="000000"/>
          <w:szCs w:val="24"/>
          <w:vertAlign w:val="superscript"/>
        </w:rPr>
        <w:fldChar w:fldCharType="end"/>
      </w:r>
      <w:r>
        <w:rPr>
          <w:color w:val="000000"/>
          <w:szCs w:val="24"/>
        </w:rPr>
        <w:t xml:space="preserve">.  </w:t>
      </w:r>
    </w:p>
    <w:p w14:paraId="763647F8" w14:textId="3C79237A" w:rsidR="00B66C73" w:rsidRDefault="00B66C73" w:rsidP="00B66C73">
      <w:pPr>
        <w:autoSpaceDE w:val="0"/>
        <w:spacing w:line="240" w:lineRule="auto"/>
        <w:jc w:val="both"/>
        <w:rPr>
          <w:color w:val="000000"/>
          <w:szCs w:val="24"/>
        </w:rPr>
      </w:pPr>
      <w:r>
        <w:rPr>
          <w:color w:val="000000"/>
          <w:szCs w:val="24"/>
        </w:rPr>
        <w:t xml:space="preserve">Before this structured approach to </w:t>
      </w:r>
      <w:r w:rsidR="00EC42E0">
        <w:rPr>
          <w:color w:val="000000"/>
          <w:szCs w:val="24"/>
        </w:rPr>
        <w:t>Benefit-Risk</w:t>
      </w:r>
      <w:r>
        <w:rPr>
          <w:color w:val="000000"/>
          <w:szCs w:val="24"/>
        </w:rPr>
        <w:t xml:space="preserve"> Analysis, the tables in TR 24971 were useful only for relative measures of risk, but their absolute value meant nothing.  The strength of the method of determining whether benefit exceeds risk is that the measures of risk are compared with measures of benefit, which gives the absolute value of the risk tables meaning.  A company, or regulator, can review the original </w:t>
      </w:r>
      <w:r w:rsidR="00EC42E0">
        <w:rPr>
          <w:color w:val="000000"/>
          <w:szCs w:val="24"/>
        </w:rPr>
        <w:t>Benefit-Risk</w:t>
      </w:r>
      <w:r>
        <w:rPr>
          <w:color w:val="000000"/>
          <w:szCs w:val="24"/>
        </w:rPr>
        <w:t xml:space="preserve"> Analysis and see if post-market circumstances have changed the original analysis significantly. </w:t>
      </w:r>
    </w:p>
    <w:p w14:paraId="1B73E02B" w14:textId="19C3DE31" w:rsidR="00B66C73" w:rsidRDefault="00B66C73" w:rsidP="00B66C73">
      <w:pPr>
        <w:autoSpaceDE w:val="0"/>
        <w:spacing w:line="240" w:lineRule="auto"/>
        <w:jc w:val="both"/>
        <w:rPr>
          <w:color w:val="000000"/>
          <w:szCs w:val="24"/>
        </w:rPr>
      </w:pPr>
      <w:r>
        <w:rPr>
          <w:color w:val="000000"/>
          <w:szCs w:val="24"/>
        </w:rPr>
        <w:t xml:space="preserve">Looking at changes to the </w:t>
      </w:r>
      <w:r w:rsidR="00EC42E0">
        <w:rPr>
          <w:color w:val="000000"/>
          <w:szCs w:val="24"/>
        </w:rPr>
        <w:t>Benefit-Risk</w:t>
      </w:r>
      <w:r>
        <w:rPr>
          <w:color w:val="000000"/>
          <w:szCs w:val="24"/>
        </w:rPr>
        <w:t xml:space="preserve"> Analysis can be useful when assessing the criticality of audit observations.  If a production line is cited for compliance problems because it was not sufficiently clean, the risks to patients from a dirty production line can be increased to reflect the audit finding.  If increasing these risks changes whether the product’s risk profile sufficiently that the product’s risks exceed the benefits, then the non-compliant stock clearly needs to be withdrawn from the field.  Conversely, if increasing these risks to patients as far as possible does not change the fact that the product’s benefits outweigh its risks, then this argument would favor not taking any field action. </w:t>
      </w:r>
    </w:p>
    <w:p w14:paraId="476B9AD3" w14:textId="77777777" w:rsidR="00B66C73" w:rsidRPr="00662274" w:rsidRDefault="00B66C73" w:rsidP="00B66C73">
      <w:pPr>
        <w:autoSpaceDE w:val="0"/>
        <w:spacing w:line="240" w:lineRule="auto"/>
        <w:jc w:val="both"/>
        <w:rPr>
          <w:i/>
          <w:iCs/>
        </w:rPr>
      </w:pPr>
      <w:r>
        <w:rPr>
          <w:color w:val="000000"/>
          <w:szCs w:val="24"/>
        </w:rPr>
        <w:t>In addition, per Section 7.4.1 of ISO 14971, “</w:t>
      </w:r>
      <w:r w:rsidRPr="00142B3C">
        <w:rPr>
          <w:color w:val="000000"/>
          <w:szCs w:val="24"/>
        </w:rPr>
        <w:t>An important consideration is whether an anticipated benefit</w:t>
      </w:r>
      <w:r>
        <w:rPr>
          <w:color w:val="000000"/>
          <w:szCs w:val="24"/>
        </w:rPr>
        <w:t xml:space="preserve"> </w:t>
      </w:r>
      <w:r w:rsidRPr="00142B3C">
        <w:rPr>
          <w:color w:val="000000"/>
          <w:szCs w:val="24"/>
        </w:rPr>
        <w:t>can be achieved through the use of alternative solutions without that risk or with smaller risk. This</w:t>
      </w:r>
      <w:r>
        <w:rPr>
          <w:color w:val="000000"/>
          <w:szCs w:val="24"/>
        </w:rPr>
        <w:t xml:space="preserve"> </w:t>
      </w:r>
      <w:r w:rsidRPr="00142B3C">
        <w:rPr>
          <w:color w:val="000000"/>
          <w:szCs w:val="24"/>
        </w:rPr>
        <w:t>involves comparing the residua/ risk for the manufacturer's medical device with the residua/ risk for</w:t>
      </w:r>
      <w:r>
        <w:rPr>
          <w:color w:val="000000"/>
          <w:szCs w:val="24"/>
        </w:rPr>
        <w:t xml:space="preserve"> </w:t>
      </w:r>
      <w:r w:rsidRPr="00142B3C">
        <w:rPr>
          <w:color w:val="000000"/>
          <w:szCs w:val="24"/>
        </w:rPr>
        <w:t>similar medical devices.</w:t>
      </w:r>
      <w:r>
        <w:rPr>
          <w:color w:val="000000"/>
          <w:szCs w:val="24"/>
        </w:rPr>
        <w:t xml:space="preserve">”  Therefore, it is possible that, although an audit observation (or a combination of observations) does not increase risk to the patient sufficiently that the product’s risks exceed the benefits, those same observation(s) may increase the risk sufficiently that, per </w:t>
      </w:r>
      <w:r w:rsidRPr="00424731">
        <w:rPr>
          <w:rFonts w:eastAsia="TimesNewRomanPSMT" w:cs="TimesNewRomanPSMT"/>
          <w:bCs/>
          <w:color w:val="000000"/>
          <w:szCs w:val="24"/>
          <w:u w:val="single"/>
        </w:rPr>
        <w:t>Selecting the Best Therapy from a List of Alternative Therapies</w:t>
      </w:r>
      <w:r>
        <w:rPr>
          <w:color w:val="000000"/>
          <w:szCs w:val="24"/>
        </w:rPr>
        <w:t xml:space="preserve">, the increase in risk results in the conclusion that the non-compliant stock still needs to be withdrawn from the field – but the withdrawal is because a different product provides better therapy and not because the audited product’s risks exceeds its benefits. </w:t>
      </w:r>
    </w:p>
    <w:p w14:paraId="061F7C41" w14:textId="77777777" w:rsidR="00B66C73" w:rsidRPr="00424731" w:rsidRDefault="00B66C73" w:rsidP="00806685">
      <w:pPr>
        <w:spacing w:after="0" w:line="240" w:lineRule="auto"/>
        <w:rPr>
          <w:rFonts w:eastAsia="TimesNewRomanPSMT" w:cs="TimesNewRomanPSMT"/>
          <w:color w:val="000000"/>
          <w:szCs w:val="24"/>
        </w:rPr>
      </w:pPr>
    </w:p>
    <w:p w14:paraId="00EE76CD" w14:textId="77777777" w:rsidR="00B66C73" w:rsidRPr="00424731" w:rsidRDefault="00B66C73" w:rsidP="00E45187">
      <w:pPr>
        <w:pStyle w:val="Heading2"/>
        <w:rPr>
          <w:rFonts w:eastAsia="TimesNewRomanPSMT" w:cs="TimesNewRomanPSMT"/>
          <w:color w:val="000000"/>
          <w:szCs w:val="24"/>
          <w:u w:val="single"/>
        </w:rPr>
      </w:pPr>
      <w:bookmarkStart w:id="137" w:name="_Toc156728689"/>
      <w:r w:rsidRPr="006A4630">
        <w:rPr>
          <w:rFonts w:eastAsia="TimesNewRomanPSMT" w:cs="TimesNewRomanPSMT"/>
          <w:b/>
          <w:color w:val="000000"/>
          <w:u w:val="single"/>
        </w:rPr>
        <w:t>Summary of Applications</w:t>
      </w:r>
      <w:bookmarkEnd w:id="137"/>
    </w:p>
    <w:p w14:paraId="30BB0089" w14:textId="1BD82416" w:rsidR="00B66C73" w:rsidRDefault="008A7C59" w:rsidP="008A7C59">
      <w:pPr>
        <w:autoSpaceDE w:val="0"/>
        <w:spacing w:line="240" w:lineRule="auto"/>
        <w:jc w:val="both"/>
        <w:rPr>
          <w:rFonts w:eastAsia="TimesNewRomanPSMT" w:cs="TimesNewRomanPSMT"/>
          <w:color w:val="000000"/>
          <w:szCs w:val="24"/>
        </w:rPr>
      </w:pPr>
      <w:r>
        <w:rPr>
          <w:rFonts w:eastAsia="TimesNewRomanPSMT" w:cs="TimesNewRomanPSMT"/>
          <w:color w:val="000000"/>
          <w:szCs w:val="24"/>
        </w:rPr>
        <w:t xml:space="preserve">This paper contains a </w:t>
      </w:r>
      <w:r w:rsidR="00B66C73" w:rsidRPr="00424731">
        <w:rPr>
          <w:color w:val="000000"/>
          <w:szCs w:val="24"/>
        </w:rPr>
        <w:t>non-limiting example</w:t>
      </w:r>
      <w:r w:rsidR="00B66C73">
        <w:rPr>
          <w:color w:val="000000"/>
          <w:szCs w:val="24"/>
        </w:rPr>
        <w:t xml:space="preserve"> of</w:t>
      </w:r>
      <w:r w:rsidR="00B66C73" w:rsidRPr="00424731">
        <w:rPr>
          <w:rFonts w:eastAsia="TimesNewRomanPSMT" w:cs="TimesNewRomanPSMT"/>
          <w:color w:val="000000"/>
          <w:szCs w:val="24"/>
        </w:rPr>
        <w:t xml:space="preserve"> applications</w:t>
      </w:r>
      <w:r>
        <w:rPr>
          <w:rFonts w:eastAsia="TimesNewRomanPSMT" w:cs="TimesNewRomanPSMT"/>
          <w:color w:val="000000"/>
          <w:szCs w:val="24"/>
        </w:rPr>
        <w:t xml:space="preserve"> of its method to determine whether the Benefit of a medical treatment exceeds the Risk.  T</w:t>
      </w:r>
      <w:r w:rsidR="00B66C73" w:rsidRPr="00424731">
        <w:rPr>
          <w:rFonts w:eastAsia="TimesNewRomanPSMT" w:cs="TimesNewRomanPSMT"/>
          <w:color w:val="000000"/>
          <w:szCs w:val="24"/>
        </w:rPr>
        <w:t xml:space="preserve">his method’s ability to systematically determine if benefit exceeds risk opens up numerous applications, some of which build on each other to create additional applications. </w:t>
      </w:r>
      <w:r w:rsidR="00B66C73">
        <w:rPr>
          <w:rFonts w:eastAsia="TimesNewRomanPSMT" w:cs="TimesNewRomanPSMT"/>
          <w:color w:val="000000"/>
          <w:szCs w:val="24"/>
        </w:rPr>
        <w:t xml:space="preserve"> </w:t>
      </w:r>
      <w:bookmarkEnd w:id="1"/>
      <w:bookmarkEnd w:id="3"/>
      <w:bookmarkEnd w:id="116"/>
    </w:p>
    <w:p w14:paraId="0A07C247" w14:textId="77777777" w:rsidR="00072354" w:rsidRPr="00072354" w:rsidRDefault="00072354" w:rsidP="00072354">
      <w:pPr>
        <w:rPr>
          <w:rFonts w:eastAsia="TimesNewRomanPSMT" w:cs="TimesNewRomanPSMT"/>
          <w:szCs w:val="24"/>
        </w:rPr>
      </w:pPr>
    </w:p>
    <w:p w14:paraId="44FD7102" w14:textId="77777777" w:rsidR="00072354" w:rsidRPr="00072354" w:rsidRDefault="00072354" w:rsidP="00072354">
      <w:pPr>
        <w:rPr>
          <w:rFonts w:eastAsia="TimesNewRomanPSMT" w:cs="TimesNewRomanPSMT"/>
          <w:szCs w:val="24"/>
        </w:rPr>
      </w:pPr>
    </w:p>
    <w:p w14:paraId="7BBB3388" w14:textId="77777777" w:rsidR="00072354" w:rsidRPr="00072354" w:rsidRDefault="00072354" w:rsidP="00072354">
      <w:pPr>
        <w:rPr>
          <w:rFonts w:eastAsia="TimesNewRomanPSMT" w:cs="TimesNewRomanPSMT"/>
          <w:szCs w:val="24"/>
        </w:rPr>
      </w:pPr>
    </w:p>
    <w:p w14:paraId="4FC89763" w14:textId="77777777" w:rsidR="00072354" w:rsidRPr="00072354" w:rsidRDefault="00072354" w:rsidP="00072354">
      <w:pPr>
        <w:rPr>
          <w:rFonts w:eastAsia="TimesNewRomanPSMT" w:cs="TimesNewRomanPSMT"/>
          <w:szCs w:val="24"/>
        </w:rPr>
      </w:pPr>
    </w:p>
    <w:p w14:paraId="7683E31D" w14:textId="77777777" w:rsidR="00072354" w:rsidRPr="00072354" w:rsidRDefault="00072354" w:rsidP="00072354">
      <w:pPr>
        <w:rPr>
          <w:rFonts w:eastAsia="TimesNewRomanPSMT" w:cs="TimesNewRomanPSMT"/>
          <w:szCs w:val="24"/>
        </w:rPr>
      </w:pPr>
    </w:p>
    <w:p w14:paraId="4DD829C1" w14:textId="77777777" w:rsidR="00072354" w:rsidRPr="00072354" w:rsidRDefault="00072354" w:rsidP="00072354">
      <w:pPr>
        <w:rPr>
          <w:rFonts w:eastAsia="TimesNewRomanPSMT" w:cs="TimesNewRomanPSMT"/>
          <w:szCs w:val="24"/>
        </w:rPr>
      </w:pPr>
    </w:p>
    <w:p w14:paraId="76ECD794" w14:textId="77777777" w:rsidR="00072354" w:rsidRDefault="00072354" w:rsidP="00072354">
      <w:pPr>
        <w:rPr>
          <w:rFonts w:eastAsia="TimesNewRomanPSMT" w:cs="TimesNewRomanPSMT"/>
          <w:color w:val="000000"/>
          <w:szCs w:val="24"/>
        </w:rPr>
      </w:pPr>
    </w:p>
    <w:p w14:paraId="53516419" w14:textId="77777777" w:rsidR="00072354" w:rsidRPr="00072354" w:rsidRDefault="00072354" w:rsidP="00072354">
      <w:pPr>
        <w:jc w:val="right"/>
        <w:rPr>
          <w:rFonts w:eastAsia="TimesNewRomanPSMT" w:cs="TimesNewRomanPSMT"/>
          <w:szCs w:val="24"/>
        </w:rPr>
      </w:pPr>
    </w:p>
    <w:sectPr w:rsidR="00072354" w:rsidRPr="00072354" w:rsidSect="008F1C32">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FC60" w14:textId="77777777" w:rsidR="008F1C32" w:rsidRDefault="008F1C32" w:rsidP="00CB4B5C">
      <w:pPr>
        <w:spacing w:after="0" w:line="240" w:lineRule="auto"/>
      </w:pPr>
      <w:r>
        <w:separator/>
      </w:r>
    </w:p>
  </w:endnote>
  <w:endnote w:type="continuationSeparator" w:id="0">
    <w:p w14:paraId="5EABBBAD" w14:textId="77777777" w:rsidR="008F1C32" w:rsidRDefault="008F1C32" w:rsidP="00CB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AB44B" w14:textId="77777777" w:rsidR="008F1C32" w:rsidRDefault="008F1C32" w:rsidP="00CB4B5C">
      <w:pPr>
        <w:spacing w:after="0" w:line="240" w:lineRule="auto"/>
      </w:pPr>
      <w:r>
        <w:separator/>
      </w:r>
    </w:p>
  </w:footnote>
  <w:footnote w:type="continuationSeparator" w:id="0">
    <w:p w14:paraId="0FCD1C80" w14:textId="77777777" w:rsidR="008F1C32" w:rsidRDefault="008F1C32" w:rsidP="00CB4B5C">
      <w:pPr>
        <w:spacing w:after="0" w:line="240" w:lineRule="auto"/>
      </w:pPr>
      <w:r>
        <w:continuationSeparator/>
      </w:r>
    </w:p>
  </w:footnote>
  <w:footnote w:id="1">
    <w:p w14:paraId="0A8583EE" w14:textId="5CCC3C86" w:rsidR="003D7626" w:rsidRDefault="003D7626" w:rsidP="003D7626">
      <w:pPr>
        <w:pStyle w:val="FootnoteText"/>
        <w:spacing w:after="80"/>
      </w:pPr>
      <w:r>
        <w:rPr>
          <w:rStyle w:val="FootnoteReference"/>
        </w:rPr>
        <w:footnoteRef/>
      </w:r>
      <w:r>
        <w:t xml:space="preserve"> Although often attributed to the Hippocratic Oath, this phrase does not appear in the Hippocratic Oath. </w:t>
      </w:r>
    </w:p>
  </w:footnote>
  <w:footnote w:id="2">
    <w:p w14:paraId="350773E9" w14:textId="15D32BDE" w:rsidR="000651F9" w:rsidRDefault="000651F9" w:rsidP="009E4559">
      <w:pPr>
        <w:pStyle w:val="FootnoteText"/>
        <w:spacing w:after="80"/>
      </w:pPr>
      <w:r>
        <w:rPr>
          <w:rStyle w:val="FootnoteReference"/>
        </w:rPr>
        <w:footnoteRef/>
      </w:r>
      <w:r>
        <w:t xml:space="preserve"> </w:t>
      </w:r>
      <w:r w:rsidR="00E1241A">
        <w:t>The idea that every medical product and procedure exposes a patient to risk will be explored in section “</w:t>
      </w:r>
      <w:r w:rsidR="00E1241A" w:rsidRPr="00E1241A">
        <w:rPr>
          <w:i/>
          <w:iCs/>
        </w:rPr>
        <w:t>A close look at Patient ‘Benefit’</w:t>
      </w:r>
      <w:r w:rsidR="00E1241A">
        <w:t xml:space="preserve">”.  For now, note that </w:t>
      </w:r>
      <w:r>
        <w:t xml:space="preserve">the Introduction of </w:t>
      </w:r>
      <w:r w:rsidRPr="001028CB">
        <w:t>ISO 14971:2019+A11:2021</w:t>
      </w:r>
      <w:r>
        <w:t xml:space="preserve">, </w:t>
      </w:r>
      <w:r w:rsidRPr="00E1241A">
        <w:rPr>
          <w:i/>
          <w:iCs/>
        </w:rPr>
        <w:t>Medical devices - Application of risk management to medical devices</w:t>
      </w:r>
      <w:r w:rsidR="00E1241A">
        <w:t xml:space="preserve"> states</w:t>
      </w:r>
      <w:r>
        <w:t>: “All stakeholders need to understand that the use of a medical device involves an inherent degree of risk, even after the risks have been reduced to an acceptable level.”</w:t>
      </w:r>
    </w:p>
  </w:footnote>
  <w:footnote w:id="3">
    <w:p w14:paraId="70CFF406" w14:textId="77777777" w:rsidR="003903FA" w:rsidRDefault="003903FA" w:rsidP="003903FA">
      <w:pPr>
        <w:pStyle w:val="FootnoteText"/>
        <w:spacing w:after="80"/>
      </w:pPr>
      <w:r>
        <w:rPr>
          <w:rStyle w:val="FootnoteReference"/>
        </w:rPr>
        <w:footnoteRef/>
      </w:r>
      <w:r>
        <w:t xml:space="preserve"> Per “Factors to Consider Regarding Benefit-Risk in Medical Device Product Availability, Compliance, and Enforcement Decisions”, </w:t>
      </w:r>
      <w:r w:rsidRPr="00FD77AB">
        <w:t>issued on December 27, 2016</w:t>
      </w:r>
      <w:r>
        <w:t xml:space="preserve">, </w:t>
      </w:r>
      <w:hyperlink r:id="rId1" w:history="1">
        <w:r w:rsidRPr="00A326CD">
          <w:rPr>
            <w:rStyle w:val="Hyperlink"/>
          </w:rPr>
          <w:t>https://www.fda.gov/media/98657/download</w:t>
        </w:r>
      </w:hyperlink>
      <w:r>
        <w:t>.</w:t>
      </w:r>
    </w:p>
  </w:footnote>
  <w:footnote w:id="4">
    <w:p w14:paraId="75A2C617" w14:textId="77777777" w:rsidR="009E3004" w:rsidRDefault="009E3004" w:rsidP="009E3004">
      <w:pPr>
        <w:pStyle w:val="FootnoteText"/>
        <w:spacing w:after="80"/>
      </w:pPr>
      <w:r>
        <w:rPr>
          <w:rStyle w:val="FootnoteReference"/>
        </w:rPr>
        <w:footnoteRef/>
      </w:r>
      <w:r>
        <w:t xml:space="preserve"> Per the FDA’s “Factors to Consider When Making Benefit/Risk Determinations in Medical Device Premarket Approval and De Novo Classifications”, issued Aug. 30, 2019, “This guidance document explains the principal factors that FDA considers when making benefit-risk determinations in the premarket review of certain medical devices.”</w:t>
      </w:r>
    </w:p>
  </w:footnote>
  <w:footnote w:id="5">
    <w:p w14:paraId="00966775" w14:textId="77777777" w:rsidR="009E3004" w:rsidRDefault="009E3004" w:rsidP="009E3004">
      <w:pPr>
        <w:pStyle w:val="FootnoteText"/>
        <w:spacing w:after="80"/>
      </w:pPr>
      <w:r>
        <w:rPr>
          <w:rStyle w:val="FootnoteReference"/>
        </w:rPr>
        <w:footnoteRef/>
      </w:r>
      <w:r>
        <w:t xml:space="preserve"> Per the EU’s “</w:t>
      </w:r>
      <w:r w:rsidRPr="00314546">
        <w:rPr>
          <w:i/>
          <w:iCs/>
        </w:rPr>
        <w:t>REGULATION (EU) 2017/745 OF THE EUROPEAN PARLIAMENT AND OF THE COUNCIL</w:t>
      </w:r>
      <w:r>
        <w:t>”,</w:t>
      </w:r>
      <w:r w:rsidRPr="00314546">
        <w:t xml:space="preserve"> ANNEX I </w:t>
      </w:r>
      <w:r>
        <w:t xml:space="preserve">- </w:t>
      </w:r>
      <w:r w:rsidRPr="00314546">
        <w:t xml:space="preserve">GENERAL SAFETY AND PERFORMANCE REQUIREMENTS </w:t>
      </w:r>
      <w:r>
        <w:t xml:space="preserve">- </w:t>
      </w:r>
      <w:r w:rsidRPr="00314546">
        <w:t xml:space="preserve">CHAPTER I </w:t>
      </w:r>
      <w:r>
        <w:t xml:space="preserve">- </w:t>
      </w:r>
      <w:r w:rsidRPr="00314546">
        <w:t>GENERAL REQUIREMENTS</w:t>
      </w:r>
      <w:r>
        <w:t>, Section 2:</w:t>
      </w:r>
      <w:r w:rsidRPr="00314546">
        <w:t xml:space="preserve"> </w:t>
      </w:r>
      <w:r>
        <w:t>“</w:t>
      </w:r>
      <w:r w:rsidRPr="00314546">
        <w:t>The requirement in this Annex to reduce risks as far as possible means the reduction of risks as far as possible without adversely affecting the benefit-risk ratio.</w:t>
      </w:r>
      <w:r>
        <w:t>”</w:t>
      </w:r>
    </w:p>
  </w:footnote>
  <w:footnote w:id="6">
    <w:p w14:paraId="2FFE2ED3" w14:textId="18ED9935" w:rsidR="00910B94" w:rsidRDefault="00910B94" w:rsidP="0006686E">
      <w:pPr>
        <w:pStyle w:val="FootnoteText"/>
        <w:spacing w:after="80"/>
      </w:pPr>
      <w:r>
        <w:rPr>
          <w:rStyle w:val="FootnoteReference"/>
        </w:rPr>
        <w:footnoteRef/>
      </w:r>
      <w:r>
        <w:t xml:space="preserve"> </w:t>
      </w:r>
      <w:r w:rsidRPr="00910B94">
        <w:rPr>
          <w:i/>
          <w:iCs/>
        </w:rPr>
        <w:t>Quantitative Benefit–Risk Assessment: State of the Practice Within Industry</w:t>
      </w:r>
      <w:r>
        <w:t xml:space="preserve">, Meredith Y. Smith, et. al, </w:t>
      </w:r>
      <w:r w:rsidR="0006686E">
        <w:t>Ther Innov Regul Sci. 2021; 55(2): 415–425. Published online 2020 Oct 27. doi: 10.1007/s43441-020-00230-3</w:t>
      </w:r>
    </w:p>
  </w:footnote>
  <w:footnote w:id="7">
    <w:p w14:paraId="7EE21F18" w14:textId="51F2AD31" w:rsidR="00432077" w:rsidRDefault="00432077" w:rsidP="009E4559">
      <w:pPr>
        <w:pStyle w:val="FootnoteText"/>
        <w:spacing w:after="80"/>
      </w:pPr>
      <w:r>
        <w:rPr>
          <w:rStyle w:val="FootnoteReference"/>
        </w:rPr>
        <w:footnoteRef/>
      </w:r>
      <w:r>
        <w:t xml:space="preserve"> FMA was later expanded to include the effects of </w:t>
      </w:r>
      <w:r w:rsidR="003438F9">
        <w:t>a</w:t>
      </w:r>
      <w:r>
        <w:t xml:space="preserve"> failure mode, as which time the acronym FMA was lengthened (to reflect the additional analysis scope) to FMEA (Failure Mode Effects Analysis). </w:t>
      </w:r>
    </w:p>
  </w:footnote>
  <w:footnote w:id="8">
    <w:p w14:paraId="618D44A6" w14:textId="77777777" w:rsidR="00AA1E29" w:rsidRDefault="00AA1E29" w:rsidP="00AA1E29">
      <w:pPr>
        <w:pStyle w:val="FootnoteText"/>
        <w:spacing w:after="80"/>
      </w:pPr>
      <w:r>
        <w:rPr>
          <w:rStyle w:val="FootnoteReference"/>
        </w:rPr>
        <w:footnoteRef/>
      </w:r>
      <w:r>
        <w:t xml:space="preserve"> </w:t>
      </w:r>
      <w:r w:rsidRPr="003634AB">
        <w:rPr>
          <w:rFonts w:eastAsia="TimesNewRomanPSMT" w:cs="TimesNewRomanPSMT"/>
          <w:iCs/>
          <w:color w:val="000000"/>
          <w:szCs w:val="24"/>
        </w:rPr>
        <w:t xml:space="preserve">Per </w:t>
      </w:r>
      <w:r>
        <w:rPr>
          <w:rFonts w:eastAsia="TimesNewRomanPSMT" w:cs="TimesNewRomanPSMT"/>
          <w:color w:val="000000"/>
          <w:szCs w:val="24"/>
        </w:rPr>
        <w:t>21 C.F.R. § 820.30(b)-(f): Device manufacturers must “</w:t>
      </w:r>
      <w:r w:rsidRPr="00CD065B">
        <w:rPr>
          <w:rFonts w:eastAsia="TimesNewRomanPSMT" w:cs="TimesNewRomanPSMT"/>
          <w:color w:val="000000"/>
          <w:szCs w:val="24"/>
        </w:rPr>
        <w:t>establish and maintain procedures for validating the device desig</w:t>
      </w:r>
      <w:r>
        <w:rPr>
          <w:rFonts w:eastAsia="TimesNewRomanPSMT" w:cs="TimesNewRomanPSMT"/>
          <w:color w:val="000000"/>
          <w:szCs w:val="24"/>
        </w:rPr>
        <w:t>n,” which must “</w:t>
      </w:r>
      <w:r w:rsidRPr="00652C85">
        <w:rPr>
          <w:rFonts w:eastAsia="TimesNewRomanPSMT" w:cs="TimesNewRomanPSMT"/>
          <w:color w:val="000000"/>
          <w:szCs w:val="24"/>
        </w:rPr>
        <w:t>include software validation and risk analysis, where appropriate</w:t>
      </w:r>
      <w:r>
        <w:rPr>
          <w:rFonts w:eastAsia="TimesNewRomanPSMT" w:cs="TimesNewRomanPSMT"/>
          <w:color w:val="000000"/>
          <w:szCs w:val="24"/>
        </w:rPr>
        <w:t xml:space="preserve">.”  </w:t>
      </w:r>
    </w:p>
  </w:footnote>
  <w:footnote w:id="9">
    <w:p w14:paraId="62D5D2CE" w14:textId="2E1BB23D" w:rsidR="004F0A81" w:rsidRDefault="004F0A81" w:rsidP="004F0A81">
      <w:pPr>
        <w:pStyle w:val="FootnoteText"/>
        <w:spacing w:after="80"/>
      </w:pPr>
      <w:r>
        <w:rPr>
          <w:rStyle w:val="FootnoteReference"/>
        </w:rPr>
        <w:footnoteRef/>
      </w:r>
      <w:r>
        <w:t xml:space="preserve"> </w:t>
      </w:r>
      <w:r w:rsidRPr="00064786">
        <w:rPr>
          <w:rFonts w:ascii="Times New Roman" w:eastAsia="TimesNewRomanPSMT" w:hAnsi="Times New Roman"/>
          <w:i/>
          <w:iCs/>
          <w:color w:val="000000"/>
          <w:szCs w:val="24"/>
        </w:rPr>
        <w:t>The new Sheffield risk and benefit tables for the elderly</w:t>
      </w:r>
      <w:r w:rsidRPr="00064786">
        <w:rPr>
          <w:rFonts w:ascii="Times New Roman" w:eastAsia="TimesNewRomanPSMT" w:hAnsi="Times New Roman"/>
          <w:color w:val="000000"/>
          <w:szCs w:val="24"/>
        </w:rPr>
        <w:t>, QJ Med 2011; 104:3-12</w:t>
      </w:r>
      <w:r>
        <w:rPr>
          <w:rFonts w:ascii="Times New Roman" w:eastAsia="TimesNewRomanPSMT" w:hAnsi="Times New Roman"/>
          <w:color w:val="000000"/>
          <w:szCs w:val="24"/>
        </w:rPr>
        <w:t xml:space="preserve"> measures both the risk to a patient’s life from cardiovascular disease as a reduction in their expected lifespan and measure the benefit to a patient’s life from taking a drug to treat cardiovascular disease.</w:t>
      </w:r>
    </w:p>
  </w:footnote>
  <w:footnote w:id="10">
    <w:p w14:paraId="07E8C86C" w14:textId="278644AE" w:rsidR="008109D9" w:rsidRPr="008109D9" w:rsidRDefault="008109D9">
      <w:pPr>
        <w:pStyle w:val="FootnoteText"/>
        <w:rPr>
          <w:lang w:val="en"/>
        </w:rPr>
      </w:pPr>
      <w:r>
        <w:rPr>
          <w:rStyle w:val="FootnoteReference"/>
        </w:rPr>
        <w:footnoteRef/>
      </w:r>
      <w:r>
        <w:t xml:space="preserve"> </w:t>
      </w:r>
      <w:r w:rsidRPr="008109D9">
        <w:rPr>
          <w:i/>
          <w:iCs/>
        </w:rPr>
        <w:t>Assessing the benefit:risk ratio of a drug - randomized and naturalistic evidence</w:t>
      </w:r>
      <w:r>
        <w:t xml:space="preserve">, </w:t>
      </w:r>
      <w:r w:rsidRPr="008109D9">
        <w:t>Dialogues Clin Neurosci. 2011 Jun; 13(2): 183–190.</w:t>
      </w:r>
    </w:p>
  </w:footnote>
  <w:footnote w:id="11">
    <w:p w14:paraId="66ED63AB" w14:textId="77777777" w:rsidR="009A0DAC" w:rsidRDefault="009A0DAC" w:rsidP="009A0DAC">
      <w:pPr>
        <w:pStyle w:val="FootnoteText"/>
        <w:spacing w:after="80"/>
      </w:pPr>
      <w:r>
        <w:rPr>
          <w:rStyle w:val="FootnoteReference"/>
        </w:rPr>
        <w:footnoteRef/>
      </w:r>
      <w:r>
        <w:t xml:space="preserve"> </w:t>
      </w:r>
      <w:r w:rsidRPr="00064786">
        <w:rPr>
          <w:rFonts w:ascii="Times New Roman" w:eastAsia="TimesNewRomanPSMT" w:hAnsi="Times New Roman"/>
          <w:i/>
          <w:iCs/>
          <w:color w:val="000000"/>
          <w:szCs w:val="24"/>
        </w:rPr>
        <w:t>The new Sheffield risk and benefit tables for the elderly</w:t>
      </w:r>
      <w:r w:rsidRPr="00064786">
        <w:rPr>
          <w:rFonts w:ascii="Times New Roman" w:eastAsia="TimesNewRomanPSMT" w:hAnsi="Times New Roman"/>
          <w:color w:val="000000"/>
          <w:szCs w:val="24"/>
        </w:rPr>
        <w:t>, QJ Med 2011; 104:3-12</w:t>
      </w:r>
      <w:r>
        <w:rPr>
          <w:rFonts w:ascii="Times New Roman" w:eastAsia="TimesNewRomanPSMT" w:hAnsi="Times New Roman"/>
          <w:color w:val="000000"/>
          <w:szCs w:val="24"/>
        </w:rPr>
        <w:t xml:space="preserve"> measures both the risk to a patient’s life from cardiovascular disease as a reduction in their expected lifespan and measure the benefit to a patient’s life from taking a drug to treat cardiovascular disease.</w:t>
      </w:r>
    </w:p>
  </w:footnote>
  <w:footnote w:id="12">
    <w:p w14:paraId="4F657F0F" w14:textId="57B14439" w:rsidR="00B359AE" w:rsidRDefault="00B359AE" w:rsidP="00666DF3">
      <w:pPr>
        <w:pStyle w:val="FootnoteText"/>
        <w:spacing w:after="80"/>
      </w:pPr>
      <w:r>
        <w:rPr>
          <w:rStyle w:val="FootnoteReference"/>
        </w:rPr>
        <w:footnoteRef/>
      </w:r>
      <w:r>
        <w:t xml:space="preserve"> </w:t>
      </w:r>
      <w:r w:rsidRPr="00B359AE">
        <w:rPr>
          <w:i/>
          <w:iCs/>
        </w:rPr>
        <w:t>The NNT, Explained</w:t>
      </w:r>
      <w:r>
        <w:t xml:space="preserve">, 2022, </w:t>
      </w:r>
      <w:hyperlink r:id="rId2" w:history="1">
        <w:r w:rsidRPr="00F9699A">
          <w:rPr>
            <w:rStyle w:val="Hyperlink"/>
          </w:rPr>
          <w:t>https://thennt.com/thennt-explained/</w:t>
        </w:r>
      </w:hyperlink>
      <w:r>
        <w:t xml:space="preserve"> </w:t>
      </w:r>
    </w:p>
  </w:footnote>
  <w:footnote w:id="13">
    <w:p w14:paraId="12280E89" w14:textId="691AE391" w:rsidR="00D16C53" w:rsidRDefault="00D16C53">
      <w:pPr>
        <w:pStyle w:val="FootnoteText"/>
      </w:pPr>
      <w:r>
        <w:rPr>
          <w:rStyle w:val="FootnoteReference"/>
        </w:rPr>
        <w:footnoteRef/>
      </w:r>
      <w:r>
        <w:t xml:space="preserve"> S</w:t>
      </w:r>
      <w:r w:rsidRPr="00D16C53">
        <w:t xml:space="preserve">ection 513(i)(1)(A) </w:t>
      </w:r>
      <w:r>
        <w:t>of the Food, Drug, and Cosmetic (</w:t>
      </w:r>
      <w:r w:rsidRPr="00D16C53">
        <w:t>FD&amp;C</w:t>
      </w:r>
      <w:r>
        <w:t>)</w:t>
      </w:r>
      <w:r w:rsidRPr="00D16C53">
        <w:t xml:space="preserve"> Act</w:t>
      </w:r>
    </w:p>
  </w:footnote>
  <w:footnote w:id="14">
    <w:p w14:paraId="5E51AA50" w14:textId="21C2246A" w:rsidR="00945C61" w:rsidRDefault="00945C61" w:rsidP="00666DF3">
      <w:pPr>
        <w:pStyle w:val="FootnoteText"/>
        <w:spacing w:after="80"/>
      </w:pPr>
      <w:r>
        <w:rPr>
          <w:rStyle w:val="FootnoteReference"/>
        </w:rPr>
        <w:footnoteRef/>
      </w:r>
      <w:r>
        <w:t xml:space="preserve"> </w:t>
      </w:r>
      <w:r w:rsidRPr="00945C61">
        <w:t>Reuters</w:t>
      </w:r>
      <w:r>
        <w:t xml:space="preserve">, Sept. 12, 2023, </w:t>
      </w:r>
      <w:r w:rsidRPr="00945C61">
        <w:rPr>
          <w:i/>
          <w:iCs/>
        </w:rPr>
        <w:t>US FDA panel says popular decongestant used in cold medicines ineffective</w:t>
      </w:r>
      <w:r>
        <w:t xml:space="preserve">, </w:t>
      </w:r>
      <w:hyperlink r:id="rId3" w:history="1">
        <w:r w:rsidRPr="004F6343">
          <w:rPr>
            <w:rStyle w:val="Hyperlink"/>
          </w:rPr>
          <w:t>https://www.reuters.com/business/healthcare-pharmaceuticals/us-fda-panel-says-popular-decongestant-used-cold-medicines-ineffective-2023-09-12/</w:t>
        </w:r>
      </w:hyperlink>
      <w:r>
        <w:t xml:space="preserve"> </w:t>
      </w:r>
    </w:p>
  </w:footnote>
  <w:footnote w:id="15">
    <w:p w14:paraId="37F3A0B1" w14:textId="3C994A09" w:rsidR="00AA47D2" w:rsidRDefault="00AA47D2" w:rsidP="00666DF3">
      <w:pPr>
        <w:pStyle w:val="FootnoteText"/>
        <w:spacing w:after="80"/>
      </w:pPr>
      <w:r>
        <w:rPr>
          <w:rStyle w:val="FootnoteReference"/>
        </w:rPr>
        <w:footnoteRef/>
      </w:r>
      <w:r>
        <w:t xml:space="preserve"> Per “</w:t>
      </w:r>
      <w:r w:rsidRPr="00AA47D2">
        <w:rPr>
          <w:i/>
          <w:iCs/>
        </w:rPr>
        <w:t>Global Landscape of Benefit–Risk Considerations for Medicinal Products: Current State and Future Directions</w:t>
      </w:r>
      <w:r>
        <w:t>”, Pharmaceutical Medicine, volume 36, pages201–213 (2022), 03 July 2022</w:t>
      </w:r>
    </w:p>
  </w:footnote>
  <w:footnote w:id="16">
    <w:p w14:paraId="0B57790D" w14:textId="77777777" w:rsidR="00930C26" w:rsidRDefault="00930C26" w:rsidP="00930C26">
      <w:pPr>
        <w:pStyle w:val="FootnoteText"/>
      </w:pPr>
      <w:r>
        <w:rPr>
          <w:rStyle w:val="FootnoteReference"/>
        </w:rPr>
        <w:footnoteRef/>
      </w:r>
      <w:r>
        <w:t xml:space="preserve"> Per the “</w:t>
      </w:r>
      <w:r w:rsidRPr="00E50DE5">
        <w:rPr>
          <w:i/>
          <w:iCs/>
        </w:rPr>
        <w:t>Patient-Focused Drug Development Glossary</w:t>
      </w:r>
      <w:r>
        <w:t xml:space="preserve">”, </w:t>
      </w:r>
      <w:hyperlink r:id="rId4" w:anchor=":~:text=Patient%3A%20Any%20individual%20with%20or,harms%20associated%20with%20medical%20products" w:history="1">
        <w:r w:rsidRPr="00514C36">
          <w:rPr>
            <w:rStyle w:val="Hyperlink"/>
          </w:rPr>
          <w:t>https://www.fda.gov/drugs/development-approval-process-drugs/patient-focused-drug-development-glossary#:~:text=Patient%3A%20Any%20individual%20with%20or,harms%20associated%20with%20medical%20products</w:t>
        </w:r>
      </w:hyperlink>
      <w:r>
        <w:t xml:space="preserve">  </w:t>
      </w:r>
    </w:p>
  </w:footnote>
  <w:footnote w:id="17">
    <w:p w14:paraId="35CBA10B" w14:textId="501ED321" w:rsidR="00930C26" w:rsidRDefault="00930C26" w:rsidP="00930C26">
      <w:pPr>
        <w:pStyle w:val="FootnoteText"/>
        <w:spacing w:after="80"/>
      </w:pPr>
      <w:r>
        <w:rPr>
          <w:rStyle w:val="FootnoteReference"/>
        </w:rPr>
        <w:footnoteRef/>
      </w:r>
      <w:r>
        <w:t xml:space="preserve"> The term ‘medical treatment’ shall be understood to include therapeutic</w:t>
      </w:r>
      <w:r w:rsidR="00FA23DD">
        <w:t xml:space="preserve">, </w:t>
      </w:r>
      <w:r>
        <w:t>diagnostic</w:t>
      </w:r>
      <w:r w:rsidR="00FA23DD">
        <w:t>, and preventative</w:t>
      </w:r>
      <w:r>
        <w:t xml:space="preserve"> medical products and procedures. </w:t>
      </w:r>
    </w:p>
  </w:footnote>
  <w:footnote w:id="18">
    <w:p w14:paraId="6B19BAA0" w14:textId="77777777" w:rsidR="008A6BC3" w:rsidRDefault="008A6BC3" w:rsidP="008A6BC3">
      <w:pPr>
        <w:pStyle w:val="FootnoteText"/>
        <w:spacing w:after="120"/>
      </w:pPr>
      <w:r>
        <w:rPr>
          <w:rStyle w:val="FootnoteReference"/>
        </w:rPr>
        <w:footnoteRef/>
      </w:r>
      <w:r>
        <w:t xml:space="preserve"> </w:t>
      </w:r>
      <w:r w:rsidRPr="008C1394">
        <w:t>Voice Over for "Botox for Chronic Migraine" National TV Spot</w:t>
      </w:r>
      <w:r>
        <w:t xml:space="preserve">, </w:t>
      </w:r>
      <w:hyperlink r:id="rId5" w:history="1">
        <w:r w:rsidRPr="00F9699A">
          <w:rPr>
            <w:rStyle w:val="Hyperlink"/>
          </w:rPr>
          <w:t>https://www.facebook.com/watch/?v=296669711259970</w:t>
        </w:r>
      </w:hyperlink>
      <w:r>
        <w:t xml:space="preserve"> </w:t>
      </w:r>
    </w:p>
  </w:footnote>
  <w:footnote w:id="19">
    <w:p w14:paraId="55196E21" w14:textId="77777777" w:rsidR="008A6BC3" w:rsidRDefault="008A6BC3" w:rsidP="008A6BC3">
      <w:pPr>
        <w:pStyle w:val="FootnoteText"/>
        <w:spacing w:after="120"/>
      </w:pPr>
      <w:r>
        <w:rPr>
          <w:rStyle w:val="FootnoteReference"/>
        </w:rPr>
        <w:footnoteRef/>
      </w:r>
      <w:r>
        <w:t xml:space="preserve"> </w:t>
      </w:r>
      <w:r w:rsidRPr="004929DD">
        <w:t>Botox Injections for Migraine Treatment</w:t>
      </w:r>
      <w:r>
        <w:t xml:space="preserve">, Susan Bernstein, 2022, </w:t>
      </w:r>
      <w:hyperlink r:id="rId6" w:history="1">
        <w:r w:rsidRPr="00F9699A">
          <w:rPr>
            <w:rStyle w:val="Hyperlink"/>
          </w:rPr>
          <w:t>https://www.webmd.com/migraines-headaches/botox-migraines</w:t>
        </w:r>
      </w:hyperlink>
      <w:r>
        <w:t xml:space="preserve"> </w:t>
      </w:r>
    </w:p>
  </w:footnote>
  <w:footnote w:id="20">
    <w:p w14:paraId="5380D742" w14:textId="77777777" w:rsidR="007B41B1" w:rsidRDefault="007B41B1" w:rsidP="007B41B1">
      <w:pPr>
        <w:pStyle w:val="FootnoteText"/>
      </w:pPr>
      <w:r>
        <w:rPr>
          <w:rStyle w:val="FootnoteReference"/>
        </w:rPr>
        <w:footnoteRef/>
      </w:r>
      <w:r>
        <w:t xml:space="preserve"> </w:t>
      </w:r>
      <w:r w:rsidRPr="00C9011D">
        <w:rPr>
          <w:i/>
          <w:iCs/>
        </w:rPr>
        <w:t>An analysis of common ethical justifications for compassionate use programs for experimental drugs</w:t>
      </w:r>
      <w:r>
        <w:t xml:space="preserve">, BMC (BioMedical Central) Medical Ethics, 2016, Vol. 17, Article 60. </w:t>
      </w:r>
    </w:p>
  </w:footnote>
  <w:footnote w:id="21">
    <w:p w14:paraId="0E1C8C74" w14:textId="38A2D355" w:rsidR="001028CB" w:rsidRDefault="001028CB" w:rsidP="001028CB">
      <w:pPr>
        <w:pStyle w:val="FootnoteText"/>
      </w:pPr>
      <w:r>
        <w:rPr>
          <w:rStyle w:val="FootnoteReference"/>
        </w:rPr>
        <w:footnoteRef/>
      </w:r>
      <w:r>
        <w:t xml:space="preserve"> </w:t>
      </w:r>
      <w:r w:rsidRPr="001028CB">
        <w:t>ISO 14971:2019+A11:2021</w:t>
      </w:r>
      <w:r>
        <w:t>, Medical devices - Application of risk management to medical devices</w:t>
      </w:r>
    </w:p>
  </w:footnote>
  <w:footnote w:id="22">
    <w:p w14:paraId="6C2C9289" w14:textId="77777777" w:rsidR="00A61CB1" w:rsidRDefault="00A61CB1" w:rsidP="00573D6D">
      <w:pPr>
        <w:pStyle w:val="FootnoteText"/>
        <w:spacing w:after="80"/>
      </w:pPr>
      <w:r>
        <w:rPr>
          <w:rStyle w:val="FootnoteReference"/>
        </w:rPr>
        <w:footnoteRef/>
      </w:r>
      <w:r>
        <w:t xml:space="preserve"> The exact definition for ‘risk’ in ISO 14971 is a “</w:t>
      </w:r>
      <w:r>
        <w:rPr>
          <w:rFonts w:ascii="Times New Roman" w:hAnsi="Times New Roman" w:cs="Times New Roman"/>
          <w:color w:val="262324"/>
          <w:kern w:val="0"/>
          <w:sz w:val="21"/>
          <w:szCs w:val="21"/>
        </w:rPr>
        <w:t xml:space="preserve">combination of the probability of occurrence of </w:t>
      </w:r>
      <w:r>
        <w:rPr>
          <w:rFonts w:ascii="Times New Roman" w:hAnsi="Times New Roman" w:cs="Times New Roman"/>
          <w:i/>
          <w:iCs/>
          <w:color w:val="262324"/>
          <w:kern w:val="0"/>
          <w:sz w:val="21"/>
          <w:szCs w:val="21"/>
        </w:rPr>
        <w:t>harm</w:t>
      </w:r>
      <w:r>
        <w:rPr>
          <w:rFonts w:ascii="Times New Roman" w:hAnsi="Times New Roman" w:cs="Times New Roman"/>
          <w:color w:val="262324"/>
          <w:kern w:val="0"/>
          <w:sz w:val="21"/>
          <w:szCs w:val="21"/>
        </w:rPr>
        <w:t xml:space="preserve"> and the </w:t>
      </w:r>
      <w:r>
        <w:rPr>
          <w:rFonts w:ascii="Times New Roman" w:hAnsi="Times New Roman" w:cs="Times New Roman"/>
          <w:i/>
          <w:iCs/>
          <w:color w:val="262324"/>
          <w:kern w:val="0"/>
          <w:sz w:val="21"/>
          <w:szCs w:val="21"/>
        </w:rPr>
        <w:t>severit</w:t>
      </w:r>
      <w:r w:rsidRPr="003364EA">
        <w:rPr>
          <w:rFonts w:ascii="Times New Roman" w:hAnsi="Times New Roman" w:cs="Times New Roman"/>
          <w:i/>
          <w:iCs/>
          <w:color w:val="262324"/>
          <w:kern w:val="0"/>
          <w:sz w:val="21"/>
          <w:szCs w:val="21"/>
        </w:rPr>
        <w:t>y of that h</w:t>
      </w:r>
      <w:r>
        <w:rPr>
          <w:rFonts w:ascii="Times New Roman" w:hAnsi="Times New Roman" w:cs="Times New Roman"/>
          <w:i/>
          <w:iCs/>
          <w:color w:val="262324"/>
          <w:kern w:val="0"/>
          <w:sz w:val="21"/>
          <w:szCs w:val="21"/>
        </w:rPr>
        <w:t>arm</w:t>
      </w:r>
      <w:r>
        <w:t>”.</w:t>
      </w:r>
    </w:p>
  </w:footnote>
  <w:footnote w:id="23">
    <w:p w14:paraId="65B0C5AF" w14:textId="2D108DA1" w:rsidR="00D72E60" w:rsidRDefault="00D72E60" w:rsidP="00573D6D">
      <w:pPr>
        <w:pStyle w:val="FootnoteText"/>
        <w:spacing w:after="80"/>
      </w:pPr>
      <w:r>
        <w:rPr>
          <w:rStyle w:val="FootnoteReference"/>
        </w:rPr>
        <w:footnoteRef/>
      </w:r>
      <w:r>
        <w:t xml:space="preserve"> </w:t>
      </w:r>
      <w:r>
        <w:rPr>
          <w:rFonts w:eastAsiaTheme="minorEastAsia"/>
        </w:rPr>
        <w:t xml:space="preserve">Right before </w:t>
      </w:r>
      <w:r>
        <w:rPr>
          <w:rFonts w:eastAsiaTheme="minorEastAsia"/>
        </w:rPr>
        <w:fldChar w:fldCharType="begin"/>
      </w:r>
      <w:r>
        <w:rPr>
          <w:rFonts w:eastAsiaTheme="minorEastAsia"/>
        </w:rPr>
        <w:instrText xml:space="preserve"> REF _Ref132953407 \h </w:instrText>
      </w:r>
      <w:r>
        <w:rPr>
          <w:rFonts w:eastAsiaTheme="minorEastAsia"/>
        </w:rPr>
      </w:r>
      <w:r>
        <w:rPr>
          <w:rFonts w:eastAsiaTheme="minorEastAsia"/>
        </w:rPr>
        <w:fldChar w:fldCharType="separate"/>
      </w:r>
      <w:r w:rsidR="001E41EA" w:rsidRPr="00F60A9B">
        <w:t xml:space="preserve">Equation </w:t>
      </w:r>
      <w:r w:rsidR="001E41EA">
        <w:rPr>
          <w:noProof/>
        </w:rPr>
        <w:t>2</w:t>
      </w:r>
      <w:r>
        <w:rPr>
          <w:rFonts w:eastAsiaTheme="minorEastAsia"/>
        </w:rPr>
        <w:fldChar w:fldCharType="end"/>
      </w:r>
      <w:r>
        <w:rPr>
          <w:rFonts w:eastAsiaTheme="minorEastAsia"/>
        </w:rPr>
        <w:t xml:space="preserve">, we defined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eastAsiaTheme="minorEastAsia"/>
        </w:rPr>
        <w:t xml:space="preserve"> as </w:t>
      </w:r>
      <w:r w:rsidRPr="00F60A9B">
        <w:rPr>
          <w:rFonts w:eastAsiaTheme="minorEastAsia"/>
        </w:rPr>
        <w:t>the likely</w:t>
      </w:r>
      <w:r w:rsidR="00392B7C">
        <w:rPr>
          <w:rFonts w:eastAsiaTheme="minorEastAsia"/>
        </w:rPr>
        <w:t xml:space="preserve"> amount of</w:t>
      </w:r>
      <w:r w:rsidRPr="00F60A9B">
        <w:rPr>
          <w:rFonts w:eastAsiaTheme="minorEastAsia"/>
        </w:rPr>
        <w:t xml:space="preserve"> patient </w:t>
      </w:r>
      <w:r>
        <w:rPr>
          <w:rFonts w:eastAsiaTheme="minorEastAsia"/>
        </w:rPr>
        <w:t>risk from</w:t>
      </w:r>
      <w:r w:rsidRPr="00F60A9B">
        <w:t xml:space="preserve"> the patient’s health condition </w:t>
      </w:r>
      <w:r>
        <w:rPr>
          <w:b/>
          <w:bCs/>
          <w:i/>
          <w:iCs/>
        </w:rPr>
        <w:t>B</w:t>
      </w:r>
      <w:r w:rsidRPr="00F60A9B">
        <w:t>efore the medical treatment</w:t>
      </w:r>
      <w:r>
        <w:rPr>
          <w:rFonts w:eastAsiaTheme="minorEastAsia"/>
        </w:rPr>
        <w:t>.</w:t>
      </w:r>
    </w:p>
  </w:footnote>
  <w:footnote w:id="24">
    <w:p w14:paraId="04BFAECE" w14:textId="69ED276A" w:rsidR="00D72E60" w:rsidRDefault="00D72E60" w:rsidP="00573D6D">
      <w:pPr>
        <w:pStyle w:val="FootnoteText"/>
        <w:spacing w:after="80"/>
      </w:pPr>
      <w:r>
        <w:rPr>
          <w:rStyle w:val="FootnoteReference"/>
        </w:rPr>
        <w:footnoteRef/>
      </w:r>
      <w:r>
        <w:t xml:space="preserve"> </w:t>
      </w:r>
      <w:r>
        <w:rPr>
          <w:rFonts w:eastAsiaTheme="minorEastAsia"/>
        </w:rPr>
        <w:t xml:space="preserve">Right before </w:t>
      </w:r>
      <w:r>
        <w:rPr>
          <w:rFonts w:eastAsiaTheme="minorEastAsia"/>
        </w:rPr>
        <w:fldChar w:fldCharType="begin"/>
      </w:r>
      <w:r>
        <w:rPr>
          <w:rFonts w:eastAsiaTheme="minorEastAsia"/>
        </w:rPr>
        <w:instrText xml:space="preserve"> REF _Ref132953407 \h </w:instrText>
      </w:r>
      <w:r>
        <w:rPr>
          <w:rFonts w:eastAsiaTheme="minorEastAsia"/>
        </w:rPr>
      </w:r>
      <w:r>
        <w:rPr>
          <w:rFonts w:eastAsiaTheme="minorEastAsia"/>
        </w:rPr>
        <w:fldChar w:fldCharType="separate"/>
      </w:r>
      <w:r w:rsidR="001E41EA" w:rsidRPr="00F60A9B">
        <w:t xml:space="preserve">Equation </w:t>
      </w:r>
      <w:r w:rsidR="001E41EA">
        <w:rPr>
          <w:noProof/>
        </w:rPr>
        <w:t>2</w:t>
      </w:r>
      <w:r>
        <w:rPr>
          <w:rFonts w:eastAsiaTheme="minorEastAsia"/>
        </w:rPr>
        <w:fldChar w:fldCharType="end"/>
      </w:r>
      <w:r>
        <w:rPr>
          <w:rFonts w:eastAsiaTheme="minorEastAsia"/>
        </w:rPr>
        <w:t xml:space="preserve">, we defined </w:t>
      </w:r>
      <m:oMath>
        <m:sSub>
          <m:sSubPr>
            <m:ctrlPr>
              <w:rPr>
                <w:rFonts w:ascii="Cambria Math" w:hAnsi="Cambria Math"/>
                <w:i/>
              </w:rPr>
            </m:ctrlPr>
          </m:sSubPr>
          <m:e>
            <m:r>
              <w:rPr>
                <w:rFonts w:ascii="Cambria Math" w:hAnsi="Cambria Math"/>
              </w:rPr>
              <m:t>R</m:t>
            </m:r>
          </m:e>
          <m:sub>
            <m:r>
              <w:rPr>
                <w:rFonts w:ascii="Cambria Math" w:hAnsi="Cambria Math"/>
              </w:rPr>
              <m:t>A</m:t>
            </m:r>
          </m:sub>
        </m:sSub>
      </m:oMath>
      <w:r w:rsidRPr="00F60A9B">
        <w:rPr>
          <w:rFonts w:eastAsiaTheme="minorEastAsia"/>
        </w:rPr>
        <w:t xml:space="preserve"> </w:t>
      </w:r>
      <w:r>
        <w:rPr>
          <w:rFonts w:eastAsiaTheme="minorEastAsia"/>
        </w:rPr>
        <w:t>as the likely</w:t>
      </w:r>
      <w:r w:rsidR="00392B7C">
        <w:rPr>
          <w:rFonts w:eastAsiaTheme="minorEastAsia"/>
        </w:rPr>
        <w:t xml:space="preserve"> amount of</w:t>
      </w:r>
      <w:r w:rsidR="00392B7C" w:rsidRPr="00F60A9B">
        <w:rPr>
          <w:rFonts w:eastAsiaTheme="minorEastAsia"/>
        </w:rPr>
        <w:t xml:space="preserve"> </w:t>
      </w:r>
      <w:r w:rsidRPr="00F60A9B">
        <w:rPr>
          <w:rFonts w:eastAsiaTheme="minorEastAsia"/>
        </w:rPr>
        <w:t xml:space="preserve">patient </w:t>
      </w:r>
      <w:r>
        <w:rPr>
          <w:rFonts w:eastAsiaTheme="minorEastAsia"/>
        </w:rPr>
        <w:t>risk from</w:t>
      </w:r>
      <w:r w:rsidRPr="00F60A9B">
        <w:t xml:space="preserve"> the patient’s health condition </w:t>
      </w:r>
      <w:r>
        <w:rPr>
          <w:b/>
          <w:bCs/>
          <w:i/>
          <w:iCs/>
        </w:rPr>
        <w:t>A</w:t>
      </w:r>
      <w:r w:rsidRPr="00F60A9B">
        <w:t>f</w:t>
      </w:r>
      <w:r>
        <w:t xml:space="preserve">ter </w:t>
      </w:r>
      <w:r w:rsidRPr="00F60A9B">
        <w:t>the medical treatment</w:t>
      </w:r>
      <w:r>
        <w:rPr>
          <w:rFonts w:eastAsiaTheme="minorEastAsia"/>
        </w:rPr>
        <w:t>.</w:t>
      </w:r>
    </w:p>
  </w:footnote>
  <w:footnote w:id="25">
    <w:p w14:paraId="0AAA1AAA" w14:textId="6FF209AC" w:rsidR="00D72E60" w:rsidRDefault="00D72E60">
      <w:pPr>
        <w:pStyle w:val="FootnoteText"/>
      </w:pPr>
      <w:r>
        <w:rPr>
          <w:rStyle w:val="FootnoteReference"/>
        </w:rPr>
        <w:footnoteRef/>
      </w:r>
      <w:r>
        <w:t xml:space="preserve"> </w:t>
      </w:r>
      <w:r>
        <w:rPr>
          <w:rFonts w:eastAsiaTheme="minorEastAsia"/>
        </w:rPr>
        <w:t xml:space="preserve">Right before </w:t>
      </w:r>
      <w:r>
        <w:rPr>
          <w:rFonts w:eastAsiaTheme="minorEastAsia"/>
        </w:rPr>
        <w:fldChar w:fldCharType="begin"/>
      </w:r>
      <w:r>
        <w:rPr>
          <w:rFonts w:eastAsiaTheme="minorEastAsia"/>
        </w:rPr>
        <w:instrText xml:space="preserve"> REF _Ref132953418 \h </w:instrText>
      </w:r>
      <w:r>
        <w:rPr>
          <w:rFonts w:eastAsiaTheme="minorEastAsia"/>
        </w:rPr>
      </w:r>
      <w:r>
        <w:rPr>
          <w:rFonts w:eastAsiaTheme="minorEastAsia"/>
        </w:rPr>
        <w:fldChar w:fldCharType="separate"/>
      </w:r>
      <w:r w:rsidR="001E41EA" w:rsidRPr="00F60A9B">
        <w:t xml:space="preserve">Equation </w:t>
      </w:r>
      <w:r w:rsidR="001E41EA">
        <w:rPr>
          <w:noProof/>
        </w:rPr>
        <w:t>1</w:t>
      </w:r>
      <w:r>
        <w:rPr>
          <w:rFonts w:eastAsiaTheme="minorEastAsia"/>
        </w:rPr>
        <w:fldChar w:fldCharType="end"/>
      </w:r>
      <w:r>
        <w:rPr>
          <w:rFonts w:eastAsiaTheme="minorEastAsia"/>
        </w:rPr>
        <w:t xml:space="preserve">, we defined </w:t>
      </w:r>
      <m:oMath>
        <m:r>
          <w:rPr>
            <w:rFonts w:ascii="Cambria Math" w:hAnsi="Cambria Math"/>
          </w:rPr>
          <m:t>R</m:t>
        </m:r>
      </m:oMath>
      <w:r w:rsidRPr="00F60A9B">
        <w:rPr>
          <w:rFonts w:eastAsiaTheme="minorEastAsia"/>
        </w:rPr>
        <w:t xml:space="preserve"> </w:t>
      </w:r>
      <w:r>
        <w:rPr>
          <w:rFonts w:eastAsiaTheme="minorEastAsia"/>
        </w:rPr>
        <w:t xml:space="preserve">as </w:t>
      </w:r>
      <w:r w:rsidRPr="00F60A9B">
        <w:rPr>
          <w:rFonts w:eastAsiaTheme="minorEastAsia"/>
        </w:rPr>
        <w:t>the likely</w:t>
      </w:r>
      <w:r w:rsidR="00392B7C">
        <w:rPr>
          <w:rFonts w:eastAsiaTheme="minorEastAsia"/>
        </w:rPr>
        <w:t xml:space="preserve"> amount of</w:t>
      </w:r>
      <w:r w:rsidR="00392B7C" w:rsidRPr="00F60A9B">
        <w:rPr>
          <w:rFonts w:eastAsiaTheme="minorEastAsia"/>
        </w:rPr>
        <w:t xml:space="preserve"> </w:t>
      </w:r>
      <w:r w:rsidRPr="00F60A9B">
        <w:rPr>
          <w:rFonts w:eastAsiaTheme="minorEastAsia"/>
        </w:rPr>
        <w:t xml:space="preserve">patient risk </w:t>
      </w:r>
      <w:r>
        <w:rPr>
          <w:rFonts w:eastAsiaTheme="minorEastAsia"/>
        </w:rPr>
        <w:t>from</w:t>
      </w:r>
      <w:r w:rsidRPr="00F60A9B">
        <w:rPr>
          <w:rFonts w:eastAsiaTheme="minorEastAsia"/>
        </w:rPr>
        <w:t xml:space="preserve"> </w:t>
      </w:r>
      <w:r w:rsidR="00CD7DC3">
        <w:rPr>
          <w:rFonts w:eastAsiaTheme="minorEastAsia"/>
        </w:rPr>
        <w:t>the</w:t>
      </w:r>
      <w:r w:rsidRPr="00F60A9B">
        <w:rPr>
          <w:rFonts w:eastAsiaTheme="minorEastAsia"/>
        </w:rPr>
        <w:t xml:space="preserve"> medical treatment</w:t>
      </w:r>
      <w:r>
        <w:rPr>
          <w:rFonts w:eastAsiaTheme="minorEastAsia"/>
        </w:rPr>
        <w:t>.</w:t>
      </w:r>
    </w:p>
  </w:footnote>
  <w:footnote w:id="26">
    <w:p w14:paraId="7F257247" w14:textId="77777777" w:rsidR="00BC27D1" w:rsidRDefault="00BC27D1" w:rsidP="00BC27D1">
      <w:pPr>
        <w:pStyle w:val="FootnoteText"/>
      </w:pPr>
      <w:r>
        <w:rPr>
          <w:rStyle w:val="FootnoteReference"/>
        </w:rPr>
        <w:footnoteRef/>
      </w:r>
      <w:r>
        <w:t xml:space="preserve"> Section 3 of </w:t>
      </w:r>
      <w:r w:rsidRPr="00DE2891">
        <w:rPr>
          <w:i/>
          <w:iCs/>
        </w:rPr>
        <w:t>Translating the Dose Response into Risk and Benefit</w:t>
      </w:r>
      <w:r>
        <w:t xml:space="preserve">, John B. Warren, </w:t>
      </w:r>
      <w:r w:rsidRPr="008D738E">
        <w:t>British Journal of Clinical Pharmacology</w:t>
      </w:r>
      <w:r>
        <w:t>, Oct. 2019</w:t>
      </w:r>
    </w:p>
  </w:footnote>
  <w:footnote w:id="27">
    <w:p w14:paraId="701A47C2" w14:textId="77777777" w:rsidR="00AD7747" w:rsidRDefault="00AD7747" w:rsidP="00C747E2">
      <w:pPr>
        <w:pStyle w:val="FootnoteText"/>
        <w:spacing w:after="80"/>
      </w:pPr>
      <w:r>
        <w:rPr>
          <w:rStyle w:val="FootnoteReference"/>
        </w:rPr>
        <w:footnoteRef/>
      </w:r>
      <w:r>
        <w:t xml:space="preserve"> ISO/TR</w:t>
      </w:r>
      <w:r>
        <w:rPr>
          <w:rFonts w:ascii="Calibri" w:eastAsia="Calibri" w:hAnsi="Calibri" w:cs="Calibri"/>
        </w:rPr>
        <w:t xml:space="preserve"> 24971:2020, Guidance on the application of ISO 14971</w:t>
      </w:r>
    </w:p>
  </w:footnote>
  <w:footnote w:id="28">
    <w:p w14:paraId="1D38C108" w14:textId="77777777" w:rsidR="006448E8" w:rsidRDefault="006448E8" w:rsidP="0099285A">
      <w:pPr>
        <w:pStyle w:val="FootnoteText"/>
        <w:spacing w:after="80"/>
      </w:pPr>
      <w:r>
        <w:rPr>
          <w:rStyle w:val="FootnoteReference"/>
        </w:rPr>
        <w:footnoteRef/>
      </w:r>
      <w:r>
        <w:t xml:space="preserve"> </w:t>
      </w:r>
      <w:r w:rsidRPr="00076A49">
        <w:t xml:space="preserve">The following nomenclature is critical to understanding the metric for risk.  </w:t>
      </w:r>
    </w:p>
  </w:footnote>
  <w:footnote w:id="29">
    <w:p w14:paraId="2951BAD0" w14:textId="1F30929F" w:rsidR="0099285A" w:rsidRDefault="0099285A">
      <w:pPr>
        <w:pStyle w:val="FootnoteText"/>
      </w:pPr>
      <w:r>
        <w:rPr>
          <w:rStyle w:val="FootnoteReference"/>
        </w:rPr>
        <w:footnoteRef/>
      </w:r>
      <w:r>
        <w:t xml:space="preserve"> While non-table-based risk metrics can be created to measure both benefit and risk, this paper will discuss only table-based risk metrics.</w:t>
      </w:r>
    </w:p>
  </w:footnote>
  <w:footnote w:id="30">
    <w:p w14:paraId="3ECAC6C4" w14:textId="0B6B58BC" w:rsidR="00F77691" w:rsidRDefault="00F77691" w:rsidP="00F77691">
      <w:pPr>
        <w:pStyle w:val="FootnoteText"/>
      </w:pPr>
      <w:r>
        <w:rPr>
          <w:rStyle w:val="FootnoteReference"/>
        </w:rPr>
        <w:footnoteRef/>
      </w:r>
      <w:r>
        <w:t xml:space="preserve"> Many Risk Management systems that follow ISO 14971 will create a table like </w:t>
      </w:r>
      <w:r>
        <w:rPr>
          <w:rFonts w:eastAsiaTheme="minorEastAsia"/>
        </w:rPr>
        <w:fldChar w:fldCharType="begin"/>
      </w:r>
      <w:r>
        <w:rPr>
          <w:rFonts w:eastAsiaTheme="minorEastAsia"/>
        </w:rPr>
        <w:instrText xml:space="preserve"> REF _Ref145006272 \h </w:instrText>
      </w:r>
      <w:r>
        <w:rPr>
          <w:rFonts w:eastAsiaTheme="minorEastAsia"/>
        </w:rPr>
      </w:r>
      <w:r>
        <w:rPr>
          <w:rFonts w:eastAsiaTheme="minorEastAsia"/>
        </w:rPr>
        <w:fldChar w:fldCharType="separate"/>
      </w:r>
      <w:r w:rsidR="001E41EA" w:rsidRPr="006921FF">
        <w:t xml:space="preserve">Table </w:t>
      </w:r>
      <w:r w:rsidR="001E41EA">
        <w:rPr>
          <w:noProof/>
        </w:rPr>
        <w:t>8</w:t>
      </w:r>
      <w:r>
        <w:rPr>
          <w:rFonts w:eastAsiaTheme="minorEastAsia"/>
        </w:rPr>
        <w:fldChar w:fldCharType="end"/>
      </w:r>
      <w:r>
        <w:t xml:space="preserve"> to summarize a product’s individual residual risks. </w:t>
      </w:r>
    </w:p>
  </w:footnote>
  <w:footnote w:id="31">
    <w:p w14:paraId="3F37A022" w14:textId="0914A507" w:rsidR="0085350B" w:rsidRPr="0085350B" w:rsidRDefault="0085350B" w:rsidP="0085350B">
      <w:pPr>
        <w:rPr>
          <w:rFonts w:eastAsiaTheme="minorEastAsia"/>
          <w:sz w:val="20"/>
          <w:szCs w:val="20"/>
        </w:rPr>
      </w:pPr>
      <w:r w:rsidRPr="0085350B">
        <w:rPr>
          <w:rStyle w:val="FootnoteReference"/>
          <w:sz w:val="20"/>
          <w:szCs w:val="20"/>
        </w:rPr>
        <w:footnoteRef/>
      </w:r>
      <w:r w:rsidRPr="0085350B">
        <w:rPr>
          <w:sz w:val="20"/>
          <w:szCs w:val="20"/>
        </w:rPr>
        <w:t xml:space="preserve"> </w:t>
      </w:r>
      <w:r w:rsidRPr="0085350B">
        <w:rPr>
          <w:rFonts w:eastAsiaTheme="minorEastAsia"/>
          <w:sz w:val="20"/>
          <w:szCs w:val="20"/>
        </w:rPr>
        <w:t>The fundamental problem with many risk metrics is that they assign sequential integers to each severity category; i.e., ‘1’ for ‘Negligible’ and ‘5’ for ‘Catastrophic/Fatal’.  This leads to the conclusion that three ‘Minor’ harms as more important than one ‘Catastrophic/Fatal’ harm, which no one agrees with.  A strength of this method is that the previous two rules of ‘Risk Algebra’ always work within the same severity level, so comparisons of the relative importance of three ‘Serious’ harms and one ‘Catastrophic/Fatal’ harm are avoided.  However, the last two ‘risk algebra’ rules can word across severity levels, so we will take several steps to ensure these ‘risk algebra’ rules “</w:t>
      </w:r>
      <w:r w:rsidRPr="0085350B">
        <w:rPr>
          <w:sz w:val="20"/>
          <w:szCs w:val="20"/>
        </w:rPr>
        <w:t>never change a false equation to a true one</w:t>
      </w:r>
      <w:r w:rsidRPr="0085350B">
        <w:rPr>
          <w:rFonts w:eastAsiaTheme="minorEastAsia"/>
          <w:sz w:val="20"/>
          <w:szCs w:val="20"/>
        </w:rPr>
        <w:t xml:space="preserve">”, as was stated in the section titled “Risk Algebra Concepts”. </w:t>
      </w:r>
    </w:p>
  </w:footnote>
  <w:footnote w:id="32">
    <w:p w14:paraId="1FD480B6" w14:textId="4A2CAA05" w:rsidR="001F61C2" w:rsidRDefault="001F61C2">
      <w:pPr>
        <w:pStyle w:val="FootnoteText"/>
      </w:pPr>
      <w:r w:rsidRPr="00CA0AA8">
        <w:rPr>
          <w:rStyle w:val="FootnoteReference"/>
        </w:rPr>
        <w:footnoteRef/>
      </w:r>
      <w:r w:rsidRPr="00CA0AA8">
        <w:t xml:space="preserve"> </w:t>
      </w:r>
      <w:r w:rsidR="00CA0AA8" w:rsidRPr="00CA0AA8">
        <w:rPr>
          <w:rFonts w:cs="Arial"/>
          <w:iCs/>
        </w:rPr>
        <w:t xml:space="preserve">The decision on which health condition and treatment risks to include impacts the scope of a Benefit-Risk Analysis; e.g., in a fully expanded version of </w:t>
      </w:r>
      <w:r w:rsidR="00CA0AA8" w:rsidRPr="00CA0AA8">
        <w:fldChar w:fldCharType="begin"/>
      </w:r>
      <w:r w:rsidR="00CA0AA8" w:rsidRPr="00CA0AA8">
        <w:instrText xml:space="preserve"> REF _Ref147639186 \h  \* MERGEFORMAT </w:instrText>
      </w:r>
      <w:r w:rsidR="00CA0AA8" w:rsidRPr="00CA0AA8">
        <w:fldChar w:fldCharType="separate"/>
      </w:r>
      <w:r w:rsidR="001E41EA">
        <w:t xml:space="preserve">Equation </w:t>
      </w:r>
      <w:r w:rsidR="001E41EA">
        <w:rPr>
          <w:noProof/>
        </w:rPr>
        <w:t>9</w:t>
      </w:r>
      <w:r w:rsidR="00CA0AA8" w:rsidRPr="00CA0AA8">
        <w:fldChar w:fldCharType="end"/>
      </w:r>
      <w:r w:rsidR="00CA0AA8" w:rsidRPr="00CA0AA8">
        <w:t>, as described in the application titled ‘Models of patient health’.</w:t>
      </w:r>
      <w:r w:rsidR="00CA0AA8" w:rsidRPr="00CA0AA8">
        <w:rPr>
          <w:rFonts w:cs="Arial"/>
          <w:iCs/>
        </w:rPr>
        <w:t>)</w:t>
      </w:r>
    </w:p>
  </w:footnote>
  <w:footnote w:id="33">
    <w:p w14:paraId="015C6B79" w14:textId="49FA9637" w:rsidR="008562EB" w:rsidRDefault="008562EB" w:rsidP="008562EB">
      <w:pPr>
        <w:pStyle w:val="FootnoteText"/>
      </w:pPr>
      <w:r>
        <w:rPr>
          <w:rStyle w:val="FootnoteReference"/>
        </w:rPr>
        <w:footnoteRef/>
      </w:r>
      <w:r>
        <w:t xml:space="preserve"> Cross-functional teams following ISO 14971 traditionally include members from </w:t>
      </w:r>
      <w:r w:rsidRPr="00B0245F">
        <w:t>Marketing/Sales, Medical Perso</w:t>
      </w:r>
      <w:r>
        <w:t>n</w:t>
      </w:r>
      <w:r w:rsidRPr="00B0245F">
        <w:t>nel, Engineering, Production, Complaint Investigation, etc.</w:t>
      </w:r>
    </w:p>
  </w:footnote>
  <w:footnote w:id="34">
    <w:p w14:paraId="2860E2B9" w14:textId="77777777" w:rsidR="00E937BB" w:rsidRDefault="00E937BB" w:rsidP="00E937BB">
      <w:pPr>
        <w:pStyle w:val="FootnoteText"/>
      </w:pPr>
      <w:r>
        <w:rPr>
          <w:rStyle w:val="FootnoteReference"/>
        </w:rPr>
        <w:footnoteRef/>
      </w:r>
      <w:r>
        <w:t xml:space="preserve"> Per the section of </w:t>
      </w:r>
      <w:r w:rsidRPr="009944CE">
        <w:t>ISO 14971:2019+A11:2021</w:t>
      </w:r>
      <w:r>
        <w:t xml:space="preserve"> named ‘Relationship between this European standard and the General Safety and Performance Requirements of Regulation (EU) 2017 /745 or 746 aimed to be covered’,</w:t>
      </w:r>
      <w:r w:rsidRPr="009944CE">
        <w:t xml:space="preserve"> </w:t>
      </w:r>
      <w:r>
        <w:t>“The manufacturer's policy for determining acceptable risk must be in compliance with General Safety and Performance Requirements 1, 2, 3, 4, 5, 8, 10, 11, 13, 15, 16, 17, 18 and 19 of the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1EB0" w14:textId="6241BAF0" w:rsidR="00CB4B5C" w:rsidRPr="00A13CD3" w:rsidRDefault="00067EAB" w:rsidP="00A13CD3">
    <w:pPr>
      <w:pStyle w:val="Footer"/>
      <w:spacing w:after="240"/>
    </w:pPr>
    <w:r>
      <w:t xml:space="preserve">ASSESSING </w:t>
    </w:r>
    <w:r w:rsidR="00A13CD3" w:rsidRPr="0044371B">
      <w:t>BENEFIT</w:t>
    </w:r>
    <w:r>
      <w:t>-</w:t>
    </w:r>
    <w:r w:rsidR="00A13CD3" w:rsidRPr="0044371B">
      <w:t>RISK</w:t>
    </w:r>
    <w:r w:rsidR="00A13CD3">
      <w:tab/>
    </w:r>
    <w:r w:rsidR="00A13CD3">
      <w:tab/>
      <w:t xml:space="preserve">Page </w:t>
    </w:r>
    <w:r w:rsidR="00A13CD3">
      <w:fldChar w:fldCharType="begin"/>
    </w:r>
    <w:r w:rsidR="00A13CD3">
      <w:instrText xml:space="preserve"> PAGE   \* MERGEFORMAT </w:instrText>
    </w:r>
    <w:r w:rsidR="00A13CD3">
      <w:fldChar w:fldCharType="separate"/>
    </w:r>
    <w:r w:rsidR="00A13CD3">
      <w:t>2</w:t>
    </w:r>
    <w:r w:rsidR="00A13CD3">
      <w:fldChar w:fldCharType="end"/>
    </w:r>
    <w:r w:rsidR="00A13CD3">
      <w:t xml:space="preserve"> of </w:t>
    </w:r>
    <w:fldSimple w:instr=" NUMPAGES   \* MERGEFORMAT ">
      <w:r w:rsidR="00A13CD3">
        <w:t>87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AC28" w14:textId="07E421D1" w:rsidR="00A13CD3" w:rsidRDefault="00067EAB" w:rsidP="00A13CD3">
    <w:pPr>
      <w:pStyle w:val="Header"/>
      <w:spacing w:after="240"/>
    </w:pPr>
    <w:r>
      <w:t>ASSESSING BENEFIT-RISK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B3DF" w14:textId="77777777" w:rsidR="00775327" w:rsidRPr="00A13CD3" w:rsidRDefault="00775327" w:rsidP="00A13CD3">
    <w:pPr>
      <w:pStyle w:val="Footer"/>
      <w:spacing w:after="240"/>
    </w:pPr>
    <w:r w:rsidRPr="0044371B">
      <w:t>BENEFIT / RISK ANALYSIS</w:t>
    </w:r>
    <w:r>
      <w:tab/>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87</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7662" w14:textId="77777777" w:rsidR="00775327" w:rsidRDefault="00775327" w:rsidP="00A13CD3">
    <w:pPr>
      <w:pStyle w:val="Header"/>
      <w:spacing w:after="240"/>
    </w:pPr>
    <w:r>
      <w:t>MORE OBJECTIVE BENEFIT / RISK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76651"/>
    <w:multiLevelType w:val="hybridMultilevel"/>
    <w:tmpl w:val="115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77FD"/>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2A0D53"/>
    <w:multiLevelType w:val="hybridMultilevel"/>
    <w:tmpl w:val="13480E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51D87"/>
    <w:multiLevelType w:val="hybridMultilevel"/>
    <w:tmpl w:val="088E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D7898"/>
    <w:multiLevelType w:val="hybridMultilevel"/>
    <w:tmpl w:val="78E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B7C"/>
    <w:multiLevelType w:val="hybridMultilevel"/>
    <w:tmpl w:val="8D6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E5167"/>
    <w:multiLevelType w:val="hybridMultilevel"/>
    <w:tmpl w:val="698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60A1"/>
    <w:multiLevelType w:val="hybridMultilevel"/>
    <w:tmpl w:val="B3E8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D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686AC2"/>
    <w:multiLevelType w:val="hybridMultilevel"/>
    <w:tmpl w:val="AF0E31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3003A"/>
    <w:multiLevelType w:val="hybridMultilevel"/>
    <w:tmpl w:val="A4AA7A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1D4A24"/>
    <w:multiLevelType w:val="hybridMultilevel"/>
    <w:tmpl w:val="2BA23638"/>
    <w:lvl w:ilvl="0" w:tplc="3E604CAC">
      <w:start w:val="2"/>
      <w:numFmt w:val="lowerLetter"/>
      <w:lvlText w:val="%1)"/>
      <w:lvlJc w:val="left"/>
      <w:pPr>
        <w:ind w:left="171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 w15:restartNumberingAfterBreak="0">
    <w:nsid w:val="2E4250A9"/>
    <w:multiLevelType w:val="hybridMultilevel"/>
    <w:tmpl w:val="6CD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E79E9"/>
    <w:multiLevelType w:val="hybridMultilevel"/>
    <w:tmpl w:val="4C421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465326"/>
    <w:multiLevelType w:val="hybridMultilevel"/>
    <w:tmpl w:val="5F72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A457A"/>
    <w:multiLevelType w:val="hybridMultilevel"/>
    <w:tmpl w:val="8AF8B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E78AD"/>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3641672"/>
    <w:multiLevelType w:val="hybridMultilevel"/>
    <w:tmpl w:val="99F4D50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396150A"/>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286613"/>
    <w:multiLevelType w:val="hybridMultilevel"/>
    <w:tmpl w:val="577E1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670DEB"/>
    <w:multiLevelType w:val="hybridMultilevel"/>
    <w:tmpl w:val="3ABA5394"/>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4AA144E8"/>
    <w:multiLevelType w:val="hybridMultilevel"/>
    <w:tmpl w:val="6228FD3C"/>
    <w:lvl w:ilvl="0" w:tplc="04090001">
      <w:start w:val="1"/>
      <w:numFmt w:val="bullet"/>
      <w:lvlText w:val=""/>
      <w:lvlJc w:val="left"/>
      <w:pPr>
        <w:ind w:left="1710" w:hanging="360"/>
      </w:pPr>
      <w:rPr>
        <w:rFonts w:ascii="Symbol" w:hAnsi="Symbol"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3" w15:restartNumberingAfterBreak="0">
    <w:nsid w:val="4E9869D8"/>
    <w:multiLevelType w:val="hybridMultilevel"/>
    <w:tmpl w:val="B8B44D7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DA780F"/>
    <w:multiLevelType w:val="hybridMultilevel"/>
    <w:tmpl w:val="55C0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C625D"/>
    <w:multiLevelType w:val="hybridMultilevel"/>
    <w:tmpl w:val="B8B44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D04E6F"/>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E732F6"/>
    <w:multiLevelType w:val="hybridMultilevel"/>
    <w:tmpl w:val="AD06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C7ADF"/>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D05C61"/>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DF132F"/>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21075F"/>
    <w:multiLevelType w:val="hybridMultilevel"/>
    <w:tmpl w:val="CF7A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52276"/>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DA2230"/>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1A2F6F"/>
    <w:multiLevelType w:val="hybridMultilevel"/>
    <w:tmpl w:val="AA761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D2416"/>
    <w:multiLevelType w:val="hybridMultilevel"/>
    <w:tmpl w:val="209C5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D4CCD"/>
    <w:multiLevelType w:val="hybridMultilevel"/>
    <w:tmpl w:val="35D6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33787"/>
    <w:multiLevelType w:val="hybridMultilevel"/>
    <w:tmpl w:val="A8205A40"/>
    <w:lvl w:ilvl="0" w:tplc="9E2C852E">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0293A"/>
    <w:multiLevelType w:val="hybridMultilevel"/>
    <w:tmpl w:val="3CB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25371"/>
    <w:multiLevelType w:val="hybridMultilevel"/>
    <w:tmpl w:val="DE90DA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5D24F4"/>
    <w:multiLevelType w:val="hybridMultilevel"/>
    <w:tmpl w:val="C9C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E75000"/>
    <w:multiLevelType w:val="hybridMultilevel"/>
    <w:tmpl w:val="EC76015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15:restartNumberingAfterBreak="0">
    <w:nsid w:val="689452FD"/>
    <w:multiLevelType w:val="hybridMultilevel"/>
    <w:tmpl w:val="985225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60C3E"/>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E9E6DEA"/>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865D45"/>
    <w:multiLevelType w:val="hybridMultilevel"/>
    <w:tmpl w:val="0A469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AA5099"/>
    <w:multiLevelType w:val="hybridMultilevel"/>
    <w:tmpl w:val="769E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A4177"/>
    <w:multiLevelType w:val="multilevel"/>
    <w:tmpl w:val="E9DC2EC8"/>
    <w:lvl w:ilvl="0">
      <w:start w:val="1"/>
      <w:numFmt w:val="decimal"/>
      <w:lvlText w:val="Step %1)"/>
      <w:lvlJc w:val="left"/>
      <w:pPr>
        <w:ind w:left="720" w:hanging="720"/>
      </w:pPr>
      <w:rPr>
        <w:rFonts w:hint="default"/>
      </w:rPr>
    </w:lvl>
    <w:lvl w:ilvl="1">
      <w:start w:val="1"/>
      <w:numFmt w:val="lowerLetter"/>
      <w:lvlText w:val="%2."/>
      <w:lvlJc w:val="left"/>
      <w:pPr>
        <w:ind w:left="864" w:hanging="360"/>
      </w:pPr>
      <w:rPr>
        <w:rFonts w:hint="default"/>
      </w:rPr>
    </w:lvl>
    <w:lvl w:ilvl="2">
      <w:start w:val="1"/>
      <w:numFmt w:val="lowerRoman"/>
      <w:lvlText w:val="%3."/>
      <w:lvlJc w:val="right"/>
      <w:pPr>
        <w:ind w:left="1152" w:hanging="144"/>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216"/>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CC60FBC"/>
    <w:multiLevelType w:val="hybridMultilevel"/>
    <w:tmpl w:val="A0267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395928"/>
    <w:multiLevelType w:val="hybridMultilevel"/>
    <w:tmpl w:val="811208A4"/>
    <w:lvl w:ilvl="0" w:tplc="5126741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904173">
    <w:abstractNumId w:val="42"/>
  </w:num>
  <w:num w:numId="2" w16cid:durableId="298851209">
    <w:abstractNumId w:val="3"/>
  </w:num>
  <w:num w:numId="3" w16cid:durableId="304237962">
    <w:abstractNumId w:val="40"/>
  </w:num>
  <w:num w:numId="4" w16cid:durableId="1402096214">
    <w:abstractNumId w:val="1"/>
  </w:num>
  <w:num w:numId="5" w16cid:durableId="1476676747">
    <w:abstractNumId w:val="11"/>
  </w:num>
  <w:num w:numId="6" w16cid:durableId="633100165">
    <w:abstractNumId w:val="34"/>
  </w:num>
  <w:num w:numId="7" w16cid:durableId="78989223">
    <w:abstractNumId w:val="9"/>
  </w:num>
  <w:num w:numId="8" w16cid:durableId="53436958">
    <w:abstractNumId w:val="0"/>
  </w:num>
  <w:num w:numId="9" w16cid:durableId="146367738">
    <w:abstractNumId w:val="10"/>
  </w:num>
  <w:num w:numId="10" w16cid:durableId="506989096">
    <w:abstractNumId w:val="18"/>
  </w:num>
  <w:num w:numId="11" w16cid:durableId="2031107144">
    <w:abstractNumId w:val="21"/>
  </w:num>
  <w:num w:numId="12" w16cid:durableId="952983028">
    <w:abstractNumId w:val="6"/>
  </w:num>
  <w:num w:numId="13" w16cid:durableId="1134785706">
    <w:abstractNumId w:val="29"/>
  </w:num>
  <w:num w:numId="14" w16cid:durableId="1010329043">
    <w:abstractNumId w:val="5"/>
  </w:num>
  <w:num w:numId="15" w16cid:durableId="789203365">
    <w:abstractNumId w:val="4"/>
  </w:num>
  <w:num w:numId="16" w16cid:durableId="1912812298">
    <w:abstractNumId w:val="15"/>
  </w:num>
  <w:num w:numId="17" w16cid:durableId="951742963">
    <w:abstractNumId w:val="20"/>
  </w:num>
  <w:num w:numId="18" w16cid:durableId="639727437">
    <w:abstractNumId w:val="7"/>
  </w:num>
  <w:num w:numId="19" w16cid:durableId="320693170">
    <w:abstractNumId w:val="45"/>
  </w:num>
  <w:num w:numId="20" w16cid:durableId="1987472742">
    <w:abstractNumId w:val="14"/>
  </w:num>
  <w:num w:numId="21" w16cid:durableId="959215973">
    <w:abstractNumId w:val="48"/>
  </w:num>
  <w:num w:numId="22" w16cid:durableId="1881942456">
    <w:abstractNumId w:val="2"/>
  </w:num>
  <w:num w:numId="23" w16cid:durableId="851989209">
    <w:abstractNumId w:val="8"/>
  </w:num>
  <w:num w:numId="24" w16cid:durableId="1754742122">
    <w:abstractNumId w:val="35"/>
  </w:num>
  <w:num w:numId="25" w16cid:durableId="1007833108">
    <w:abstractNumId w:val="31"/>
  </w:num>
  <w:num w:numId="26" w16cid:durableId="245921151">
    <w:abstractNumId w:val="39"/>
  </w:num>
  <w:num w:numId="27" w16cid:durableId="273828544">
    <w:abstractNumId w:val="38"/>
  </w:num>
  <w:num w:numId="28" w16cid:durableId="1847476966">
    <w:abstractNumId w:val="16"/>
  </w:num>
  <w:num w:numId="29" w16cid:durableId="1931304504">
    <w:abstractNumId w:val="27"/>
  </w:num>
  <w:num w:numId="30" w16cid:durableId="841965921">
    <w:abstractNumId w:val="33"/>
  </w:num>
  <w:num w:numId="31" w16cid:durableId="1011028462">
    <w:abstractNumId w:val="47"/>
  </w:num>
  <w:num w:numId="32" w16cid:durableId="954487676">
    <w:abstractNumId w:val="32"/>
  </w:num>
  <w:num w:numId="33" w16cid:durableId="1732726879">
    <w:abstractNumId w:val="44"/>
  </w:num>
  <w:num w:numId="34" w16cid:durableId="106632273">
    <w:abstractNumId w:val="28"/>
  </w:num>
  <w:num w:numId="35" w16cid:durableId="1175145457">
    <w:abstractNumId w:val="19"/>
  </w:num>
  <w:num w:numId="36" w16cid:durableId="153028730">
    <w:abstractNumId w:val="41"/>
  </w:num>
  <w:num w:numId="37" w16cid:durableId="1101993455">
    <w:abstractNumId w:val="22"/>
  </w:num>
  <w:num w:numId="38" w16cid:durableId="616764625">
    <w:abstractNumId w:val="24"/>
  </w:num>
  <w:num w:numId="39" w16cid:durableId="1211108684">
    <w:abstractNumId w:val="25"/>
  </w:num>
  <w:num w:numId="40" w16cid:durableId="1645550725">
    <w:abstractNumId w:val="23"/>
  </w:num>
  <w:num w:numId="41" w16cid:durableId="1702510550">
    <w:abstractNumId w:val="12"/>
  </w:num>
  <w:num w:numId="42" w16cid:durableId="454256657">
    <w:abstractNumId w:val="13"/>
  </w:num>
  <w:num w:numId="43" w16cid:durableId="360788304">
    <w:abstractNumId w:val="46"/>
  </w:num>
  <w:num w:numId="44" w16cid:durableId="636688704">
    <w:abstractNumId w:val="36"/>
  </w:num>
  <w:num w:numId="45" w16cid:durableId="1379360627">
    <w:abstractNumId w:val="43"/>
  </w:num>
  <w:num w:numId="46" w16cid:durableId="1196578834">
    <w:abstractNumId w:val="26"/>
  </w:num>
  <w:num w:numId="47" w16cid:durableId="704671278">
    <w:abstractNumId w:val="30"/>
  </w:num>
  <w:num w:numId="48" w16cid:durableId="605573883">
    <w:abstractNumId w:val="49"/>
  </w:num>
  <w:num w:numId="49" w16cid:durableId="1064986522">
    <w:abstractNumId w:val="37"/>
  </w:num>
  <w:num w:numId="50" w16cid:durableId="1184511472">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5C"/>
    <w:rsid w:val="00000F5C"/>
    <w:rsid w:val="0000331A"/>
    <w:rsid w:val="00004712"/>
    <w:rsid w:val="000064EE"/>
    <w:rsid w:val="00006E52"/>
    <w:rsid w:val="00007844"/>
    <w:rsid w:val="000101D3"/>
    <w:rsid w:val="00010838"/>
    <w:rsid w:val="00010F8B"/>
    <w:rsid w:val="00011701"/>
    <w:rsid w:val="00011E50"/>
    <w:rsid w:val="00011EE6"/>
    <w:rsid w:val="0001448C"/>
    <w:rsid w:val="0001497D"/>
    <w:rsid w:val="000157F2"/>
    <w:rsid w:val="00015C1D"/>
    <w:rsid w:val="00017957"/>
    <w:rsid w:val="000205E8"/>
    <w:rsid w:val="000219F2"/>
    <w:rsid w:val="00021E55"/>
    <w:rsid w:val="000239E1"/>
    <w:rsid w:val="000244E7"/>
    <w:rsid w:val="000253F5"/>
    <w:rsid w:val="00026C48"/>
    <w:rsid w:val="00026FE1"/>
    <w:rsid w:val="00027EDD"/>
    <w:rsid w:val="00030C44"/>
    <w:rsid w:val="000312E3"/>
    <w:rsid w:val="000331A7"/>
    <w:rsid w:val="00035955"/>
    <w:rsid w:val="00036D8D"/>
    <w:rsid w:val="00036FCB"/>
    <w:rsid w:val="0004207C"/>
    <w:rsid w:val="0004272D"/>
    <w:rsid w:val="00045261"/>
    <w:rsid w:val="00047038"/>
    <w:rsid w:val="00053561"/>
    <w:rsid w:val="00053665"/>
    <w:rsid w:val="0005372D"/>
    <w:rsid w:val="00053866"/>
    <w:rsid w:val="00054ACC"/>
    <w:rsid w:val="00057464"/>
    <w:rsid w:val="00057925"/>
    <w:rsid w:val="00060801"/>
    <w:rsid w:val="00063346"/>
    <w:rsid w:val="00064180"/>
    <w:rsid w:val="00064679"/>
    <w:rsid w:val="000646C2"/>
    <w:rsid w:val="00064ED6"/>
    <w:rsid w:val="000651F9"/>
    <w:rsid w:val="000656C2"/>
    <w:rsid w:val="00065F1B"/>
    <w:rsid w:val="00065F93"/>
    <w:rsid w:val="000666A6"/>
    <w:rsid w:val="0006686E"/>
    <w:rsid w:val="00067EAB"/>
    <w:rsid w:val="0007085A"/>
    <w:rsid w:val="0007096F"/>
    <w:rsid w:val="0007121B"/>
    <w:rsid w:val="00072354"/>
    <w:rsid w:val="00072726"/>
    <w:rsid w:val="0007276F"/>
    <w:rsid w:val="00073B9C"/>
    <w:rsid w:val="00074673"/>
    <w:rsid w:val="00076A49"/>
    <w:rsid w:val="00076F03"/>
    <w:rsid w:val="0008000D"/>
    <w:rsid w:val="000805F7"/>
    <w:rsid w:val="000807BF"/>
    <w:rsid w:val="0008120C"/>
    <w:rsid w:val="00082E8D"/>
    <w:rsid w:val="00084EFA"/>
    <w:rsid w:val="00085483"/>
    <w:rsid w:val="00086EDF"/>
    <w:rsid w:val="000879DB"/>
    <w:rsid w:val="00093E4F"/>
    <w:rsid w:val="00094B40"/>
    <w:rsid w:val="00095F8F"/>
    <w:rsid w:val="00097CD3"/>
    <w:rsid w:val="000A0EF8"/>
    <w:rsid w:val="000A0F4D"/>
    <w:rsid w:val="000A1602"/>
    <w:rsid w:val="000A1D1F"/>
    <w:rsid w:val="000A4000"/>
    <w:rsid w:val="000A5364"/>
    <w:rsid w:val="000A6A88"/>
    <w:rsid w:val="000A6AEA"/>
    <w:rsid w:val="000B0172"/>
    <w:rsid w:val="000B134C"/>
    <w:rsid w:val="000B13CB"/>
    <w:rsid w:val="000B166C"/>
    <w:rsid w:val="000B3671"/>
    <w:rsid w:val="000B5C46"/>
    <w:rsid w:val="000B5FFB"/>
    <w:rsid w:val="000C0E03"/>
    <w:rsid w:val="000C3622"/>
    <w:rsid w:val="000C37D5"/>
    <w:rsid w:val="000C6230"/>
    <w:rsid w:val="000C6539"/>
    <w:rsid w:val="000C7158"/>
    <w:rsid w:val="000D2BD2"/>
    <w:rsid w:val="000D2D4C"/>
    <w:rsid w:val="000D32C8"/>
    <w:rsid w:val="000D4BEB"/>
    <w:rsid w:val="000D5BCE"/>
    <w:rsid w:val="000D774F"/>
    <w:rsid w:val="000E1376"/>
    <w:rsid w:val="000E3F5A"/>
    <w:rsid w:val="000E468E"/>
    <w:rsid w:val="000E5229"/>
    <w:rsid w:val="000E5646"/>
    <w:rsid w:val="000E7974"/>
    <w:rsid w:val="000F0D89"/>
    <w:rsid w:val="000F2A1D"/>
    <w:rsid w:val="000F3840"/>
    <w:rsid w:val="000F4980"/>
    <w:rsid w:val="000F4FC0"/>
    <w:rsid w:val="000F7731"/>
    <w:rsid w:val="00100166"/>
    <w:rsid w:val="001028CB"/>
    <w:rsid w:val="00107E98"/>
    <w:rsid w:val="00110085"/>
    <w:rsid w:val="00110198"/>
    <w:rsid w:val="001126F6"/>
    <w:rsid w:val="00113C3A"/>
    <w:rsid w:val="00121634"/>
    <w:rsid w:val="00122019"/>
    <w:rsid w:val="00123E1F"/>
    <w:rsid w:val="0012476D"/>
    <w:rsid w:val="001265DB"/>
    <w:rsid w:val="00131F5C"/>
    <w:rsid w:val="00132C6E"/>
    <w:rsid w:val="00132FB5"/>
    <w:rsid w:val="0013375F"/>
    <w:rsid w:val="00134F02"/>
    <w:rsid w:val="00134F4B"/>
    <w:rsid w:val="00136CE0"/>
    <w:rsid w:val="00140F0D"/>
    <w:rsid w:val="001417DD"/>
    <w:rsid w:val="00141D7C"/>
    <w:rsid w:val="00142B3C"/>
    <w:rsid w:val="001430F0"/>
    <w:rsid w:val="00144FBF"/>
    <w:rsid w:val="00145B41"/>
    <w:rsid w:val="00150CAB"/>
    <w:rsid w:val="0015173D"/>
    <w:rsid w:val="0015189C"/>
    <w:rsid w:val="00153292"/>
    <w:rsid w:val="00154E56"/>
    <w:rsid w:val="00156804"/>
    <w:rsid w:val="00156E3D"/>
    <w:rsid w:val="00160088"/>
    <w:rsid w:val="00160340"/>
    <w:rsid w:val="0016047B"/>
    <w:rsid w:val="00160CF6"/>
    <w:rsid w:val="00160F0C"/>
    <w:rsid w:val="00161596"/>
    <w:rsid w:val="001617D1"/>
    <w:rsid w:val="001639C0"/>
    <w:rsid w:val="00164227"/>
    <w:rsid w:val="0016542D"/>
    <w:rsid w:val="0016793F"/>
    <w:rsid w:val="00171B66"/>
    <w:rsid w:val="001722C8"/>
    <w:rsid w:val="00172B9D"/>
    <w:rsid w:val="00172D3C"/>
    <w:rsid w:val="001734B9"/>
    <w:rsid w:val="001734D9"/>
    <w:rsid w:val="0017392D"/>
    <w:rsid w:val="001745D7"/>
    <w:rsid w:val="0017590F"/>
    <w:rsid w:val="00175927"/>
    <w:rsid w:val="001775B2"/>
    <w:rsid w:val="00177EE4"/>
    <w:rsid w:val="00180DE2"/>
    <w:rsid w:val="0018174E"/>
    <w:rsid w:val="001834E4"/>
    <w:rsid w:val="001840AE"/>
    <w:rsid w:val="001847CD"/>
    <w:rsid w:val="00184FB5"/>
    <w:rsid w:val="0018524C"/>
    <w:rsid w:val="00185BB9"/>
    <w:rsid w:val="001866AF"/>
    <w:rsid w:val="00191F09"/>
    <w:rsid w:val="001922C8"/>
    <w:rsid w:val="00193436"/>
    <w:rsid w:val="00193B3B"/>
    <w:rsid w:val="0019558C"/>
    <w:rsid w:val="001955EA"/>
    <w:rsid w:val="001969D2"/>
    <w:rsid w:val="001973BE"/>
    <w:rsid w:val="0019770E"/>
    <w:rsid w:val="00197A92"/>
    <w:rsid w:val="00197CA2"/>
    <w:rsid w:val="00197F1E"/>
    <w:rsid w:val="001A1248"/>
    <w:rsid w:val="001A15B4"/>
    <w:rsid w:val="001A516B"/>
    <w:rsid w:val="001A675B"/>
    <w:rsid w:val="001A6A4A"/>
    <w:rsid w:val="001A731D"/>
    <w:rsid w:val="001B1576"/>
    <w:rsid w:val="001B1A9A"/>
    <w:rsid w:val="001B2D8B"/>
    <w:rsid w:val="001B2FC5"/>
    <w:rsid w:val="001B33E2"/>
    <w:rsid w:val="001B3BA3"/>
    <w:rsid w:val="001C0630"/>
    <w:rsid w:val="001C108A"/>
    <w:rsid w:val="001C208C"/>
    <w:rsid w:val="001C302E"/>
    <w:rsid w:val="001C3522"/>
    <w:rsid w:val="001C396B"/>
    <w:rsid w:val="001C5F40"/>
    <w:rsid w:val="001C7480"/>
    <w:rsid w:val="001D053B"/>
    <w:rsid w:val="001D0F69"/>
    <w:rsid w:val="001D178A"/>
    <w:rsid w:val="001D2393"/>
    <w:rsid w:val="001D2F20"/>
    <w:rsid w:val="001D3FDB"/>
    <w:rsid w:val="001D55C8"/>
    <w:rsid w:val="001D5A63"/>
    <w:rsid w:val="001D68E8"/>
    <w:rsid w:val="001E0243"/>
    <w:rsid w:val="001E05F8"/>
    <w:rsid w:val="001E17A3"/>
    <w:rsid w:val="001E1D3D"/>
    <w:rsid w:val="001E2072"/>
    <w:rsid w:val="001E2E38"/>
    <w:rsid w:val="001E2E78"/>
    <w:rsid w:val="001E3179"/>
    <w:rsid w:val="001E33A8"/>
    <w:rsid w:val="001E4086"/>
    <w:rsid w:val="001E41EA"/>
    <w:rsid w:val="001E5CD5"/>
    <w:rsid w:val="001E6AA3"/>
    <w:rsid w:val="001E6CD7"/>
    <w:rsid w:val="001E6E94"/>
    <w:rsid w:val="001F031E"/>
    <w:rsid w:val="001F05F2"/>
    <w:rsid w:val="001F0CEE"/>
    <w:rsid w:val="001F12E3"/>
    <w:rsid w:val="001F263F"/>
    <w:rsid w:val="001F2F48"/>
    <w:rsid w:val="001F38D0"/>
    <w:rsid w:val="001F4119"/>
    <w:rsid w:val="001F4C7E"/>
    <w:rsid w:val="001F61C2"/>
    <w:rsid w:val="001F6DC8"/>
    <w:rsid w:val="001F7D7C"/>
    <w:rsid w:val="0020191B"/>
    <w:rsid w:val="00203D75"/>
    <w:rsid w:val="002041E2"/>
    <w:rsid w:val="00204ACE"/>
    <w:rsid w:val="00205D42"/>
    <w:rsid w:val="00206478"/>
    <w:rsid w:val="00206B01"/>
    <w:rsid w:val="002103EF"/>
    <w:rsid w:val="00210DD1"/>
    <w:rsid w:val="00213CED"/>
    <w:rsid w:val="002149AF"/>
    <w:rsid w:val="00214BF6"/>
    <w:rsid w:val="002151FA"/>
    <w:rsid w:val="0021552F"/>
    <w:rsid w:val="00216BC6"/>
    <w:rsid w:val="002200EE"/>
    <w:rsid w:val="00220203"/>
    <w:rsid w:val="0022034F"/>
    <w:rsid w:val="0022085F"/>
    <w:rsid w:val="00221088"/>
    <w:rsid w:val="00226D0E"/>
    <w:rsid w:val="00230948"/>
    <w:rsid w:val="00230A72"/>
    <w:rsid w:val="002332E2"/>
    <w:rsid w:val="00240812"/>
    <w:rsid w:val="002416C6"/>
    <w:rsid w:val="00241A4C"/>
    <w:rsid w:val="00241B0F"/>
    <w:rsid w:val="00242978"/>
    <w:rsid w:val="002435A5"/>
    <w:rsid w:val="00244594"/>
    <w:rsid w:val="00244E9C"/>
    <w:rsid w:val="00246A0B"/>
    <w:rsid w:val="002474BD"/>
    <w:rsid w:val="002520CF"/>
    <w:rsid w:val="00252C8C"/>
    <w:rsid w:val="00252D8F"/>
    <w:rsid w:val="00253624"/>
    <w:rsid w:val="002536AA"/>
    <w:rsid w:val="00254A3E"/>
    <w:rsid w:val="00255709"/>
    <w:rsid w:val="002567D7"/>
    <w:rsid w:val="00260DED"/>
    <w:rsid w:val="00261930"/>
    <w:rsid w:val="00263C55"/>
    <w:rsid w:val="002644F2"/>
    <w:rsid w:val="00265DAC"/>
    <w:rsid w:val="00267D0F"/>
    <w:rsid w:val="0027034B"/>
    <w:rsid w:val="00270C67"/>
    <w:rsid w:val="00270DCC"/>
    <w:rsid w:val="00271BFD"/>
    <w:rsid w:val="00272EDA"/>
    <w:rsid w:val="0027346A"/>
    <w:rsid w:val="00273F4D"/>
    <w:rsid w:val="00274522"/>
    <w:rsid w:val="002765EF"/>
    <w:rsid w:val="002776B0"/>
    <w:rsid w:val="0028231C"/>
    <w:rsid w:val="00282D09"/>
    <w:rsid w:val="0028452C"/>
    <w:rsid w:val="00284550"/>
    <w:rsid w:val="00284737"/>
    <w:rsid w:val="00285609"/>
    <w:rsid w:val="0028656E"/>
    <w:rsid w:val="00286974"/>
    <w:rsid w:val="002879DD"/>
    <w:rsid w:val="0029048B"/>
    <w:rsid w:val="0029080F"/>
    <w:rsid w:val="00292C18"/>
    <w:rsid w:val="00292D23"/>
    <w:rsid w:val="00293F5B"/>
    <w:rsid w:val="00295097"/>
    <w:rsid w:val="00295870"/>
    <w:rsid w:val="00297547"/>
    <w:rsid w:val="00297951"/>
    <w:rsid w:val="002A12E8"/>
    <w:rsid w:val="002A221F"/>
    <w:rsid w:val="002A258C"/>
    <w:rsid w:val="002A267C"/>
    <w:rsid w:val="002A6EF8"/>
    <w:rsid w:val="002B0180"/>
    <w:rsid w:val="002B2304"/>
    <w:rsid w:val="002B41E0"/>
    <w:rsid w:val="002B4B46"/>
    <w:rsid w:val="002B5016"/>
    <w:rsid w:val="002B6E49"/>
    <w:rsid w:val="002C08DA"/>
    <w:rsid w:val="002C2171"/>
    <w:rsid w:val="002C27B9"/>
    <w:rsid w:val="002C316F"/>
    <w:rsid w:val="002C441A"/>
    <w:rsid w:val="002C4B2B"/>
    <w:rsid w:val="002C52E1"/>
    <w:rsid w:val="002C75F1"/>
    <w:rsid w:val="002C7F5A"/>
    <w:rsid w:val="002D0188"/>
    <w:rsid w:val="002D04B1"/>
    <w:rsid w:val="002D3FA4"/>
    <w:rsid w:val="002D4BF9"/>
    <w:rsid w:val="002D60DE"/>
    <w:rsid w:val="002D63E7"/>
    <w:rsid w:val="002D6412"/>
    <w:rsid w:val="002D68FD"/>
    <w:rsid w:val="002D6DF6"/>
    <w:rsid w:val="002D7E3F"/>
    <w:rsid w:val="002E0206"/>
    <w:rsid w:val="002E2336"/>
    <w:rsid w:val="002E26EC"/>
    <w:rsid w:val="002E2D35"/>
    <w:rsid w:val="002E4CE7"/>
    <w:rsid w:val="002E4E96"/>
    <w:rsid w:val="002E6EA0"/>
    <w:rsid w:val="002F135E"/>
    <w:rsid w:val="002F1BAC"/>
    <w:rsid w:val="002F1C87"/>
    <w:rsid w:val="002F2749"/>
    <w:rsid w:val="002F3A8C"/>
    <w:rsid w:val="002F4446"/>
    <w:rsid w:val="002F5BEE"/>
    <w:rsid w:val="00300421"/>
    <w:rsid w:val="00301EDC"/>
    <w:rsid w:val="0030402B"/>
    <w:rsid w:val="003040E2"/>
    <w:rsid w:val="00304AA8"/>
    <w:rsid w:val="003057E2"/>
    <w:rsid w:val="00307914"/>
    <w:rsid w:val="00311F74"/>
    <w:rsid w:val="0031446C"/>
    <w:rsid w:val="00314546"/>
    <w:rsid w:val="00315DE1"/>
    <w:rsid w:val="003171C7"/>
    <w:rsid w:val="00317707"/>
    <w:rsid w:val="00320438"/>
    <w:rsid w:val="003232FD"/>
    <w:rsid w:val="0032670E"/>
    <w:rsid w:val="003300DA"/>
    <w:rsid w:val="003303D1"/>
    <w:rsid w:val="00330566"/>
    <w:rsid w:val="00330786"/>
    <w:rsid w:val="003310A1"/>
    <w:rsid w:val="00331E91"/>
    <w:rsid w:val="00333DDD"/>
    <w:rsid w:val="00334DE7"/>
    <w:rsid w:val="00334F08"/>
    <w:rsid w:val="003364EA"/>
    <w:rsid w:val="00340768"/>
    <w:rsid w:val="0034085E"/>
    <w:rsid w:val="00340C8B"/>
    <w:rsid w:val="00340E96"/>
    <w:rsid w:val="0034376C"/>
    <w:rsid w:val="003438F9"/>
    <w:rsid w:val="0034405F"/>
    <w:rsid w:val="003447E6"/>
    <w:rsid w:val="00344E37"/>
    <w:rsid w:val="00345B5B"/>
    <w:rsid w:val="0034645A"/>
    <w:rsid w:val="003468AE"/>
    <w:rsid w:val="00352DFA"/>
    <w:rsid w:val="00352EF5"/>
    <w:rsid w:val="00352EF7"/>
    <w:rsid w:val="00354100"/>
    <w:rsid w:val="003561A3"/>
    <w:rsid w:val="0035698A"/>
    <w:rsid w:val="00356D50"/>
    <w:rsid w:val="003579F0"/>
    <w:rsid w:val="00357EDB"/>
    <w:rsid w:val="003606D7"/>
    <w:rsid w:val="00360F8E"/>
    <w:rsid w:val="00361FED"/>
    <w:rsid w:val="003634AB"/>
    <w:rsid w:val="00363E36"/>
    <w:rsid w:val="00364012"/>
    <w:rsid w:val="003640EA"/>
    <w:rsid w:val="00366205"/>
    <w:rsid w:val="00366C93"/>
    <w:rsid w:val="00367249"/>
    <w:rsid w:val="0036794A"/>
    <w:rsid w:val="003679B6"/>
    <w:rsid w:val="00367C59"/>
    <w:rsid w:val="00370887"/>
    <w:rsid w:val="003740F2"/>
    <w:rsid w:val="00374190"/>
    <w:rsid w:val="0037431B"/>
    <w:rsid w:val="00374399"/>
    <w:rsid w:val="0037442F"/>
    <w:rsid w:val="00374958"/>
    <w:rsid w:val="00387B0C"/>
    <w:rsid w:val="0039014C"/>
    <w:rsid w:val="003903FA"/>
    <w:rsid w:val="0039069F"/>
    <w:rsid w:val="00392B7C"/>
    <w:rsid w:val="00393177"/>
    <w:rsid w:val="00393A61"/>
    <w:rsid w:val="00393F06"/>
    <w:rsid w:val="0039415A"/>
    <w:rsid w:val="00395EDD"/>
    <w:rsid w:val="00396F78"/>
    <w:rsid w:val="00397E88"/>
    <w:rsid w:val="003A0CAD"/>
    <w:rsid w:val="003A11F6"/>
    <w:rsid w:val="003A35DA"/>
    <w:rsid w:val="003A3C96"/>
    <w:rsid w:val="003A4753"/>
    <w:rsid w:val="003A63C2"/>
    <w:rsid w:val="003A6F9E"/>
    <w:rsid w:val="003B087C"/>
    <w:rsid w:val="003B0D56"/>
    <w:rsid w:val="003B2680"/>
    <w:rsid w:val="003B2CED"/>
    <w:rsid w:val="003B33C3"/>
    <w:rsid w:val="003B357B"/>
    <w:rsid w:val="003B4BF8"/>
    <w:rsid w:val="003B5038"/>
    <w:rsid w:val="003B611D"/>
    <w:rsid w:val="003B7920"/>
    <w:rsid w:val="003C02B5"/>
    <w:rsid w:val="003C10B9"/>
    <w:rsid w:val="003C2286"/>
    <w:rsid w:val="003C22FC"/>
    <w:rsid w:val="003C2AA7"/>
    <w:rsid w:val="003C2BEF"/>
    <w:rsid w:val="003C3DC7"/>
    <w:rsid w:val="003C441D"/>
    <w:rsid w:val="003C57E5"/>
    <w:rsid w:val="003C5987"/>
    <w:rsid w:val="003C6151"/>
    <w:rsid w:val="003C6908"/>
    <w:rsid w:val="003D0836"/>
    <w:rsid w:val="003D1C99"/>
    <w:rsid w:val="003D3F4B"/>
    <w:rsid w:val="003D6837"/>
    <w:rsid w:val="003D7626"/>
    <w:rsid w:val="003E20B5"/>
    <w:rsid w:val="003E2D48"/>
    <w:rsid w:val="003E3FC1"/>
    <w:rsid w:val="003E5147"/>
    <w:rsid w:val="003E5718"/>
    <w:rsid w:val="003E6072"/>
    <w:rsid w:val="003F0403"/>
    <w:rsid w:val="003F0D39"/>
    <w:rsid w:val="003F190A"/>
    <w:rsid w:val="003F31FC"/>
    <w:rsid w:val="003F4DD1"/>
    <w:rsid w:val="003F6761"/>
    <w:rsid w:val="003F6DA4"/>
    <w:rsid w:val="0040045E"/>
    <w:rsid w:val="00400A5F"/>
    <w:rsid w:val="0040170E"/>
    <w:rsid w:val="00401BC7"/>
    <w:rsid w:val="00403881"/>
    <w:rsid w:val="0040458F"/>
    <w:rsid w:val="00404976"/>
    <w:rsid w:val="00404D73"/>
    <w:rsid w:val="004051EA"/>
    <w:rsid w:val="004060CB"/>
    <w:rsid w:val="00406962"/>
    <w:rsid w:val="00410542"/>
    <w:rsid w:val="00411BE2"/>
    <w:rsid w:val="004122B8"/>
    <w:rsid w:val="00414327"/>
    <w:rsid w:val="0041486B"/>
    <w:rsid w:val="00415BB8"/>
    <w:rsid w:val="00415C23"/>
    <w:rsid w:val="00417B39"/>
    <w:rsid w:val="0042220E"/>
    <w:rsid w:val="00422904"/>
    <w:rsid w:val="00422D28"/>
    <w:rsid w:val="00423D63"/>
    <w:rsid w:val="00424731"/>
    <w:rsid w:val="00427224"/>
    <w:rsid w:val="00432077"/>
    <w:rsid w:val="00432321"/>
    <w:rsid w:val="00433119"/>
    <w:rsid w:val="004331DC"/>
    <w:rsid w:val="004352A9"/>
    <w:rsid w:val="00435997"/>
    <w:rsid w:val="004359C7"/>
    <w:rsid w:val="00436032"/>
    <w:rsid w:val="004362C4"/>
    <w:rsid w:val="004364E9"/>
    <w:rsid w:val="00437EF8"/>
    <w:rsid w:val="00440208"/>
    <w:rsid w:val="004422F6"/>
    <w:rsid w:val="0044369D"/>
    <w:rsid w:val="00443BA5"/>
    <w:rsid w:val="0044583F"/>
    <w:rsid w:val="00445AB5"/>
    <w:rsid w:val="00446083"/>
    <w:rsid w:val="00446DF4"/>
    <w:rsid w:val="004544C1"/>
    <w:rsid w:val="004554EB"/>
    <w:rsid w:val="00456EA3"/>
    <w:rsid w:val="0045710F"/>
    <w:rsid w:val="00457226"/>
    <w:rsid w:val="0045725D"/>
    <w:rsid w:val="00460071"/>
    <w:rsid w:val="004627E1"/>
    <w:rsid w:val="004634AF"/>
    <w:rsid w:val="004636AF"/>
    <w:rsid w:val="00463B5F"/>
    <w:rsid w:val="00463F61"/>
    <w:rsid w:val="004643F2"/>
    <w:rsid w:val="00464E12"/>
    <w:rsid w:val="0046541F"/>
    <w:rsid w:val="004679CC"/>
    <w:rsid w:val="004713F7"/>
    <w:rsid w:val="00475AFF"/>
    <w:rsid w:val="004767E1"/>
    <w:rsid w:val="00477BD2"/>
    <w:rsid w:val="004807F5"/>
    <w:rsid w:val="00480C82"/>
    <w:rsid w:val="00481839"/>
    <w:rsid w:val="00481B97"/>
    <w:rsid w:val="004820A5"/>
    <w:rsid w:val="00482DB1"/>
    <w:rsid w:val="00483DFD"/>
    <w:rsid w:val="004845CD"/>
    <w:rsid w:val="00484AD0"/>
    <w:rsid w:val="00485062"/>
    <w:rsid w:val="004862A6"/>
    <w:rsid w:val="00487360"/>
    <w:rsid w:val="004877BC"/>
    <w:rsid w:val="00492771"/>
    <w:rsid w:val="00492838"/>
    <w:rsid w:val="004929DD"/>
    <w:rsid w:val="004939EB"/>
    <w:rsid w:val="00493E4B"/>
    <w:rsid w:val="00494593"/>
    <w:rsid w:val="004963A5"/>
    <w:rsid w:val="004A18B2"/>
    <w:rsid w:val="004A1C5A"/>
    <w:rsid w:val="004A261D"/>
    <w:rsid w:val="004A26A2"/>
    <w:rsid w:val="004A6127"/>
    <w:rsid w:val="004A65C2"/>
    <w:rsid w:val="004A66A3"/>
    <w:rsid w:val="004B0027"/>
    <w:rsid w:val="004B0D6B"/>
    <w:rsid w:val="004B1372"/>
    <w:rsid w:val="004B1811"/>
    <w:rsid w:val="004B23EE"/>
    <w:rsid w:val="004B3779"/>
    <w:rsid w:val="004B522A"/>
    <w:rsid w:val="004B6BD4"/>
    <w:rsid w:val="004B77C1"/>
    <w:rsid w:val="004B7F66"/>
    <w:rsid w:val="004C0B01"/>
    <w:rsid w:val="004C52C5"/>
    <w:rsid w:val="004C7380"/>
    <w:rsid w:val="004D062A"/>
    <w:rsid w:val="004D0F3A"/>
    <w:rsid w:val="004D145E"/>
    <w:rsid w:val="004D1AF3"/>
    <w:rsid w:val="004D35C4"/>
    <w:rsid w:val="004D391E"/>
    <w:rsid w:val="004D5A1B"/>
    <w:rsid w:val="004D6076"/>
    <w:rsid w:val="004E2473"/>
    <w:rsid w:val="004E6071"/>
    <w:rsid w:val="004F0A81"/>
    <w:rsid w:val="004F2111"/>
    <w:rsid w:val="004F30C6"/>
    <w:rsid w:val="004F5216"/>
    <w:rsid w:val="004F597D"/>
    <w:rsid w:val="004F6028"/>
    <w:rsid w:val="0050008E"/>
    <w:rsid w:val="00500153"/>
    <w:rsid w:val="00502CCE"/>
    <w:rsid w:val="00503D96"/>
    <w:rsid w:val="0050469C"/>
    <w:rsid w:val="00506EFD"/>
    <w:rsid w:val="00507103"/>
    <w:rsid w:val="0051088E"/>
    <w:rsid w:val="00510965"/>
    <w:rsid w:val="00511753"/>
    <w:rsid w:val="005134A0"/>
    <w:rsid w:val="00513FF5"/>
    <w:rsid w:val="005158F6"/>
    <w:rsid w:val="00515971"/>
    <w:rsid w:val="005175AD"/>
    <w:rsid w:val="005175DD"/>
    <w:rsid w:val="005178C5"/>
    <w:rsid w:val="00524CE0"/>
    <w:rsid w:val="00526DD1"/>
    <w:rsid w:val="00526E99"/>
    <w:rsid w:val="00527F38"/>
    <w:rsid w:val="00534951"/>
    <w:rsid w:val="00534A2F"/>
    <w:rsid w:val="005373BE"/>
    <w:rsid w:val="00540072"/>
    <w:rsid w:val="00541036"/>
    <w:rsid w:val="00542129"/>
    <w:rsid w:val="0054295A"/>
    <w:rsid w:val="0054342E"/>
    <w:rsid w:val="005467C8"/>
    <w:rsid w:val="00547326"/>
    <w:rsid w:val="0055666F"/>
    <w:rsid w:val="00561161"/>
    <w:rsid w:val="0056340B"/>
    <w:rsid w:val="005639D8"/>
    <w:rsid w:val="00564D29"/>
    <w:rsid w:val="0056512D"/>
    <w:rsid w:val="00565370"/>
    <w:rsid w:val="005668DC"/>
    <w:rsid w:val="005679CD"/>
    <w:rsid w:val="00570BA5"/>
    <w:rsid w:val="00573D6D"/>
    <w:rsid w:val="00574BF1"/>
    <w:rsid w:val="00576914"/>
    <w:rsid w:val="00577D51"/>
    <w:rsid w:val="00577E06"/>
    <w:rsid w:val="005800ED"/>
    <w:rsid w:val="00580501"/>
    <w:rsid w:val="00583555"/>
    <w:rsid w:val="00583F12"/>
    <w:rsid w:val="00584A36"/>
    <w:rsid w:val="00584B40"/>
    <w:rsid w:val="005906C9"/>
    <w:rsid w:val="0059098F"/>
    <w:rsid w:val="005909A9"/>
    <w:rsid w:val="00590CF3"/>
    <w:rsid w:val="005915FA"/>
    <w:rsid w:val="00591730"/>
    <w:rsid w:val="00594447"/>
    <w:rsid w:val="00594EEC"/>
    <w:rsid w:val="005954FD"/>
    <w:rsid w:val="0059644E"/>
    <w:rsid w:val="005A12A5"/>
    <w:rsid w:val="005A2B68"/>
    <w:rsid w:val="005A3515"/>
    <w:rsid w:val="005A388F"/>
    <w:rsid w:val="005A3A79"/>
    <w:rsid w:val="005A3EFA"/>
    <w:rsid w:val="005A3FE2"/>
    <w:rsid w:val="005A5862"/>
    <w:rsid w:val="005B00F9"/>
    <w:rsid w:val="005B2D93"/>
    <w:rsid w:val="005B3558"/>
    <w:rsid w:val="005B38E8"/>
    <w:rsid w:val="005B459C"/>
    <w:rsid w:val="005B6F8D"/>
    <w:rsid w:val="005B7382"/>
    <w:rsid w:val="005B78D9"/>
    <w:rsid w:val="005B7BEE"/>
    <w:rsid w:val="005C1586"/>
    <w:rsid w:val="005C204E"/>
    <w:rsid w:val="005C3A47"/>
    <w:rsid w:val="005C4208"/>
    <w:rsid w:val="005C505C"/>
    <w:rsid w:val="005D13EE"/>
    <w:rsid w:val="005D2E21"/>
    <w:rsid w:val="005D39F7"/>
    <w:rsid w:val="005D59D7"/>
    <w:rsid w:val="005D6273"/>
    <w:rsid w:val="005E08AC"/>
    <w:rsid w:val="005E15EC"/>
    <w:rsid w:val="005E2E2C"/>
    <w:rsid w:val="005E359C"/>
    <w:rsid w:val="005E39A5"/>
    <w:rsid w:val="005E3AD2"/>
    <w:rsid w:val="005E3D43"/>
    <w:rsid w:val="005E401A"/>
    <w:rsid w:val="005E4BEA"/>
    <w:rsid w:val="005E4D84"/>
    <w:rsid w:val="005E648A"/>
    <w:rsid w:val="005E65A4"/>
    <w:rsid w:val="005E7303"/>
    <w:rsid w:val="005E7F41"/>
    <w:rsid w:val="005F176C"/>
    <w:rsid w:val="005F22AB"/>
    <w:rsid w:val="005F25EA"/>
    <w:rsid w:val="005F578F"/>
    <w:rsid w:val="005F5D27"/>
    <w:rsid w:val="005F76C0"/>
    <w:rsid w:val="006003FA"/>
    <w:rsid w:val="00600579"/>
    <w:rsid w:val="006006D6"/>
    <w:rsid w:val="006013B8"/>
    <w:rsid w:val="00601A0D"/>
    <w:rsid w:val="00602274"/>
    <w:rsid w:val="00604143"/>
    <w:rsid w:val="006045B9"/>
    <w:rsid w:val="006046E3"/>
    <w:rsid w:val="00604981"/>
    <w:rsid w:val="006050A5"/>
    <w:rsid w:val="006050B2"/>
    <w:rsid w:val="006055F7"/>
    <w:rsid w:val="00605E72"/>
    <w:rsid w:val="006119C4"/>
    <w:rsid w:val="006135E7"/>
    <w:rsid w:val="00614922"/>
    <w:rsid w:val="00614A48"/>
    <w:rsid w:val="00617578"/>
    <w:rsid w:val="00617E59"/>
    <w:rsid w:val="00620185"/>
    <w:rsid w:val="0062025E"/>
    <w:rsid w:val="00620A22"/>
    <w:rsid w:val="00620A84"/>
    <w:rsid w:val="00621FD3"/>
    <w:rsid w:val="00623490"/>
    <w:rsid w:val="006302FB"/>
    <w:rsid w:val="00631F71"/>
    <w:rsid w:val="00633025"/>
    <w:rsid w:val="006337DB"/>
    <w:rsid w:val="00634B2A"/>
    <w:rsid w:val="0063577A"/>
    <w:rsid w:val="006357AE"/>
    <w:rsid w:val="00640769"/>
    <w:rsid w:val="00640A98"/>
    <w:rsid w:val="006419F7"/>
    <w:rsid w:val="00642B51"/>
    <w:rsid w:val="006448E8"/>
    <w:rsid w:val="00646086"/>
    <w:rsid w:val="00652C23"/>
    <w:rsid w:val="006555E8"/>
    <w:rsid w:val="006556D0"/>
    <w:rsid w:val="006602A2"/>
    <w:rsid w:val="00661C0A"/>
    <w:rsid w:val="00662274"/>
    <w:rsid w:val="0066286A"/>
    <w:rsid w:val="00663D9B"/>
    <w:rsid w:val="006643DE"/>
    <w:rsid w:val="00666DF3"/>
    <w:rsid w:val="00667421"/>
    <w:rsid w:val="0067119B"/>
    <w:rsid w:val="006718DF"/>
    <w:rsid w:val="00672550"/>
    <w:rsid w:val="00672BF7"/>
    <w:rsid w:val="0067335D"/>
    <w:rsid w:val="006741B0"/>
    <w:rsid w:val="00674992"/>
    <w:rsid w:val="00676772"/>
    <w:rsid w:val="00676EBF"/>
    <w:rsid w:val="00677435"/>
    <w:rsid w:val="006803CC"/>
    <w:rsid w:val="00680AA2"/>
    <w:rsid w:val="00681AEB"/>
    <w:rsid w:val="00686AD6"/>
    <w:rsid w:val="0068725F"/>
    <w:rsid w:val="00691D53"/>
    <w:rsid w:val="006921FF"/>
    <w:rsid w:val="00692EEF"/>
    <w:rsid w:val="006939D9"/>
    <w:rsid w:val="006956BA"/>
    <w:rsid w:val="00695B2F"/>
    <w:rsid w:val="0069699B"/>
    <w:rsid w:val="006A0A57"/>
    <w:rsid w:val="006A15FF"/>
    <w:rsid w:val="006A2773"/>
    <w:rsid w:val="006A3B2B"/>
    <w:rsid w:val="006A4630"/>
    <w:rsid w:val="006A52B5"/>
    <w:rsid w:val="006A5B6D"/>
    <w:rsid w:val="006B2E8D"/>
    <w:rsid w:val="006B30D1"/>
    <w:rsid w:val="006B3A0C"/>
    <w:rsid w:val="006B3C2A"/>
    <w:rsid w:val="006B3C3C"/>
    <w:rsid w:val="006B4518"/>
    <w:rsid w:val="006C0935"/>
    <w:rsid w:val="006C0EA7"/>
    <w:rsid w:val="006C2989"/>
    <w:rsid w:val="006C3714"/>
    <w:rsid w:val="006C3E16"/>
    <w:rsid w:val="006C3F99"/>
    <w:rsid w:val="006C5B06"/>
    <w:rsid w:val="006C730A"/>
    <w:rsid w:val="006D07AD"/>
    <w:rsid w:val="006D09EC"/>
    <w:rsid w:val="006D0A92"/>
    <w:rsid w:val="006D0B98"/>
    <w:rsid w:val="006D15FA"/>
    <w:rsid w:val="006D206B"/>
    <w:rsid w:val="006D4754"/>
    <w:rsid w:val="006D69EE"/>
    <w:rsid w:val="006D7443"/>
    <w:rsid w:val="006E04BA"/>
    <w:rsid w:val="006E0822"/>
    <w:rsid w:val="006E1F7B"/>
    <w:rsid w:val="006E2D52"/>
    <w:rsid w:val="006E314F"/>
    <w:rsid w:val="006E333A"/>
    <w:rsid w:val="006E3377"/>
    <w:rsid w:val="006E399C"/>
    <w:rsid w:val="006E5ED0"/>
    <w:rsid w:val="006E614A"/>
    <w:rsid w:val="006E643A"/>
    <w:rsid w:val="006E791D"/>
    <w:rsid w:val="006F149F"/>
    <w:rsid w:val="006F2A4B"/>
    <w:rsid w:val="006F3AF2"/>
    <w:rsid w:val="006F40D6"/>
    <w:rsid w:val="006F5A1A"/>
    <w:rsid w:val="006F717C"/>
    <w:rsid w:val="007006F0"/>
    <w:rsid w:val="0070087C"/>
    <w:rsid w:val="007017E6"/>
    <w:rsid w:val="0070241C"/>
    <w:rsid w:val="007026E6"/>
    <w:rsid w:val="007027F5"/>
    <w:rsid w:val="00702898"/>
    <w:rsid w:val="00704FED"/>
    <w:rsid w:val="007068C7"/>
    <w:rsid w:val="00706FF1"/>
    <w:rsid w:val="0070757E"/>
    <w:rsid w:val="007111A6"/>
    <w:rsid w:val="007114EA"/>
    <w:rsid w:val="00711CA4"/>
    <w:rsid w:val="007128BC"/>
    <w:rsid w:val="007152C0"/>
    <w:rsid w:val="007155FC"/>
    <w:rsid w:val="0071578E"/>
    <w:rsid w:val="00717972"/>
    <w:rsid w:val="00720005"/>
    <w:rsid w:val="00721F27"/>
    <w:rsid w:val="007235EF"/>
    <w:rsid w:val="00723837"/>
    <w:rsid w:val="00724274"/>
    <w:rsid w:val="00724EAE"/>
    <w:rsid w:val="00725CEA"/>
    <w:rsid w:val="0072613A"/>
    <w:rsid w:val="0073076E"/>
    <w:rsid w:val="007325C7"/>
    <w:rsid w:val="0073290A"/>
    <w:rsid w:val="00733C79"/>
    <w:rsid w:val="007369D9"/>
    <w:rsid w:val="00737161"/>
    <w:rsid w:val="0074017B"/>
    <w:rsid w:val="0074093B"/>
    <w:rsid w:val="00740D1D"/>
    <w:rsid w:val="00740E84"/>
    <w:rsid w:val="007418A4"/>
    <w:rsid w:val="00741B85"/>
    <w:rsid w:val="007420BD"/>
    <w:rsid w:val="0074386F"/>
    <w:rsid w:val="00743DFD"/>
    <w:rsid w:val="00744DB9"/>
    <w:rsid w:val="007451F9"/>
    <w:rsid w:val="00746116"/>
    <w:rsid w:val="00746BC4"/>
    <w:rsid w:val="00750036"/>
    <w:rsid w:val="00750893"/>
    <w:rsid w:val="00750909"/>
    <w:rsid w:val="00750DBA"/>
    <w:rsid w:val="00750F67"/>
    <w:rsid w:val="0075306F"/>
    <w:rsid w:val="00753506"/>
    <w:rsid w:val="00754F22"/>
    <w:rsid w:val="00754F6D"/>
    <w:rsid w:val="00757DAF"/>
    <w:rsid w:val="00757FF8"/>
    <w:rsid w:val="0076284A"/>
    <w:rsid w:val="00762852"/>
    <w:rsid w:val="007630D9"/>
    <w:rsid w:val="00763C84"/>
    <w:rsid w:val="00763F0C"/>
    <w:rsid w:val="00763F60"/>
    <w:rsid w:val="00764CBC"/>
    <w:rsid w:val="0076526A"/>
    <w:rsid w:val="00765ED0"/>
    <w:rsid w:val="00770C39"/>
    <w:rsid w:val="00770D05"/>
    <w:rsid w:val="00770DB8"/>
    <w:rsid w:val="00771320"/>
    <w:rsid w:val="00771697"/>
    <w:rsid w:val="00771B6C"/>
    <w:rsid w:val="00771DFC"/>
    <w:rsid w:val="00771F5E"/>
    <w:rsid w:val="00773E57"/>
    <w:rsid w:val="00775327"/>
    <w:rsid w:val="00775B4A"/>
    <w:rsid w:val="00776103"/>
    <w:rsid w:val="00776429"/>
    <w:rsid w:val="00776637"/>
    <w:rsid w:val="0077733B"/>
    <w:rsid w:val="00777DD1"/>
    <w:rsid w:val="0078110F"/>
    <w:rsid w:val="00785123"/>
    <w:rsid w:val="00785314"/>
    <w:rsid w:val="00786149"/>
    <w:rsid w:val="007870D2"/>
    <w:rsid w:val="00787527"/>
    <w:rsid w:val="00787C7D"/>
    <w:rsid w:val="0079132C"/>
    <w:rsid w:val="0079220F"/>
    <w:rsid w:val="00792633"/>
    <w:rsid w:val="00793466"/>
    <w:rsid w:val="007937D6"/>
    <w:rsid w:val="00793F39"/>
    <w:rsid w:val="007940DC"/>
    <w:rsid w:val="00796FFB"/>
    <w:rsid w:val="00797E49"/>
    <w:rsid w:val="007A238A"/>
    <w:rsid w:val="007A5917"/>
    <w:rsid w:val="007A7464"/>
    <w:rsid w:val="007A75E7"/>
    <w:rsid w:val="007B229F"/>
    <w:rsid w:val="007B41B1"/>
    <w:rsid w:val="007B42C3"/>
    <w:rsid w:val="007B4A6D"/>
    <w:rsid w:val="007B4FA6"/>
    <w:rsid w:val="007B6BFB"/>
    <w:rsid w:val="007B74CF"/>
    <w:rsid w:val="007C02B8"/>
    <w:rsid w:val="007C065C"/>
    <w:rsid w:val="007C081D"/>
    <w:rsid w:val="007C4E3B"/>
    <w:rsid w:val="007C5574"/>
    <w:rsid w:val="007C5C26"/>
    <w:rsid w:val="007C65A6"/>
    <w:rsid w:val="007D09CE"/>
    <w:rsid w:val="007D0DE1"/>
    <w:rsid w:val="007D2C73"/>
    <w:rsid w:val="007D33AF"/>
    <w:rsid w:val="007D4A4C"/>
    <w:rsid w:val="007D5BBC"/>
    <w:rsid w:val="007D7D6D"/>
    <w:rsid w:val="007E0186"/>
    <w:rsid w:val="007E04AA"/>
    <w:rsid w:val="007E097C"/>
    <w:rsid w:val="007E2608"/>
    <w:rsid w:val="007E282D"/>
    <w:rsid w:val="007E2DF0"/>
    <w:rsid w:val="007E3288"/>
    <w:rsid w:val="007E434A"/>
    <w:rsid w:val="007E563F"/>
    <w:rsid w:val="007E7615"/>
    <w:rsid w:val="007F4EC4"/>
    <w:rsid w:val="007F515C"/>
    <w:rsid w:val="007F6B1B"/>
    <w:rsid w:val="007F7241"/>
    <w:rsid w:val="007F724A"/>
    <w:rsid w:val="00802CC8"/>
    <w:rsid w:val="00804D5A"/>
    <w:rsid w:val="008052F9"/>
    <w:rsid w:val="00806685"/>
    <w:rsid w:val="008109D9"/>
    <w:rsid w:val="00811026"/>
    <w:rsid w:val="008115B4"/>
    <w:rsid w:val="00811F51"/>
    <w:rsid w:val="00813495"/>
    <w:rsid w:val="00814075"/>
    <w:rsid w:val="008149D9"/>
    <w:rsid w:val="00816414"/>
    <w:rsid w:val="00817DBD"/>
    <w:rsid w:val="00820AB9"/>
    <w:rsid w:val="00820F9D"/>
    <w:rsid w:val="0082299D"/>
    <w:rsid w:val="0082373F"/>
    <w:rsid w:val="0082378F"/>
    <w:rsid w:val="00826EB5"/>
    <w:rsid w:val="00831486"/>
    <w:rsid w:val="008329E5"/>
    <w:rsid w:val="0083330E"/>
    <w:rsid w:val="00833ED1"/>
    <w:rsid w:val="00833F78"/>
    <w:rsid w:val="0083419E"/>
    <w:rsid w:val="0083668E"/>
    <w:rsid w:val="008370E4"/>
    <w:rsid w:val="00840907"/>
    <w:rsid w:val="00840C88"/>
    <w:rsid w:val="00840DB8"/>
    <w:rsid w:val="00841366"/>
    <w:rsid w:val="00843521"/>
    <w:rsid w:val="00847C04"/>
    <w:rsid w:val="0085350B"/>
    <w:rsid w:val="00855731"/>
    <w:rsid w:val="00855B45"/>
    <w:rsid w:val="00855D00"/>
    <w:rsid w:val="008560ED"/>
    <w:rsid w:val="008562EB"/>
    <w:rsid w:val="008569FD"/>
    <w:rsid w:val="00857A20"/>
    <w:rsid w:val="00860A48"/>
    <w:rsid w:val="00863122"/>
    <w:rsid w:val="0086534A"/>
    <w:rsid w:val="00866318"/>
    <w:rsid w:val="008673D9"/>
    <w:rsid w:val="008674CD"/>
    <w:rsid w:val="00867EAF"/>
    <w:rsid w:val="0087333C"/>
    <w:rsid w:val="00873E81"/>
    <w:rsid w:val="0087428B"/>
    <w:rsid w:val="008753F7"/>
    <w:rsid w:val="008755BB"/>
    <w:rsid w:val="00875717"/>
    <w:rsid w:val="008777A6"/>
    <w:rsid w:val="008804A4"/>
    <w:rsid w:val="00881207"/>
    <w:rsid w:val="0088141C"/>
    <w:rsid w:val="00881607"/>
    <w:rsid w:val="00881B2A"/>
    <w:rsid w:val="00881C49"/>
    <w:rsid w:val="008844E6"/>
    <w:rsid w:val="008846E8"/>
    <w:rsid w:val="00884766"/>
    <w:rsid w:val="008873A7"/>
    <w:rsid w:val="00887F0D"/>
    <w:rsid w:val="008901D1"/>
    <w:rsid w:val="0089035F"/>
    <w:rsid w:val="00891416"/>
    <w:rsid w:val="00892476"/>
    <w:rsid w:val="008938E5"/>
    <w:rsid w:val="00893ED6"/>
    <w:rsid w:val="00894DC6"/>
    <w:rsid w:val="008957A5"/>
    <w:rsid w:val="008960BA"/>
    <w:rsid w:val="00897048"/>
    <w:rsid w:val="008A1892"/>
    <w:rsid w:val="008A21B4"/>
    <w:rsid w:val="008A365F"/>
    <w:rsid w:val="008A4158"/>
    <w:rsid w:val="008A4CF9"/>
    <w:rsid w:val="008A67D4"/>
    <w:rsid w:val="008A6A72"/>
    <w:rsid w:val="008A6BC3"/>
    <w:rsid w:val="008A6EE6"/>
    <w:rsid w:val="008A7C59"/>
    <w:rsid w:val="008A7D4D"/>
    <w:rsid w:val="008B171E"/>
    <w:rsid w:val="008B438C"/>
    <w:rsid w:val="008B4C4F"/>
    <w:rsid w:val="008B5AB3"/>
    <w:rsid w:val="008C0D5B"/>
    <w:rsid w:val="008C1394"/>
    <w:rsid w:val="008C4516"/>
    <w:rsid w:val="008C4FFF"/>
    <w:rsid w:val="008C5452"/>
    <w:rsid w:val="008D066A"/>
    <w:rsid w:val="008D10B7"/>
    <w:rsid w:val="008D14D9"/>
    <w:rsid w:val="008D34FA"/>
    <w:rsid w:val="008D5A23"/>
    <w:rsid w:val="008D5FAA"/>
    <w:rsid w:val="008D626E"/>
    <w:rsid w:val="008D738E"/>
    <w:rsid w:val="008D799D"/>
    <w:rsid w:val="008E03B7"/>
    <w:rsid w:val="008F155D"/>
    <w:rsid w:val="008F1C32"/>
    <w:rsid w:val="008F52D2"/>
    <w:rsid w:val="008F56A3"/>
    <w:rsid w:val="008F57D0"/>
    <w:rsid w:val="008F5DDB"/>
    <w:rsid w:val="00902DDE"/>
    <w:rsid w:val="00903037"/>
    <w:rsid w:val="009030E7"/>
    <w:rsid w:val="00903AC2"/>
    <w:rsid w:val="009043EA"/>
    <w:rsid w:val="00905605"/>
    <w:rsid w:val="00906E1F"/>
    <w:rsid w:val="009077A5"/>
    <w:rsid w:val="00910166"/>
    <w:rsid w:val="009109AB"/>
    <w:rsid w:val="00910B94"/>
    <w:rsid w:val="009135D2"/>
    <w:rsid w:val="009144F9"/>
    <w:rsid w:val="00914B64"/>
    <w:rsid w:val="00916EEB"/>
    <w:rsid w:val="00921998"/>
    <w:rsid w:val="0092516F"/>
    <w:rsid w:val="009262D1"/>
    <w:rsid w:val="009277DD"/>
    <w:rsid w:val="0093066A"/>
    <w:rsid w:val="00930A33"/>
    <w:rsid w:val="00930C26"/>
    <w:rsid w:val="009319CE"/>
    <w:rsid w:val="00931C6E"/>
    <w:rsid w:val="00931D3A"/>
    <w:rsid w:val="009332E3"/>
    <w:rsid w:val="009339F2"/>
    <w:rsid w:val="00935730"/>
    <w:rsid w:val="00937B5C"/>
    <w:rsid w:val="00940312"/>
    <w:rsid w:val="00940614"/>
    <w:rsid w:val="00940D9A"/>
    <w:rsid w:val="0094116C"/>
    <w:rsid w:val="009440DF"/>
    <w:rsid w:val="009457D9"/>
    <w:rsid w:val="00945C61"/>
    <w:rsid w:val="00950E32"/>
    <w:rsid w:val="009522F4"/>
    <w:rsid w:val="00953BAD"/>
    <w:rsid w:val="00960175"/>
    <w:rsid w:val="00960227"/>
    <w:rsid w:val="009611C3"/>
    <w:rsid w:val="009613E9"/>
    <w:rsid w:val="0096155F"/>
    <w:rsid w:val="009621A1"/>
    <w:rsid w:val="00963C1A"/>
    <w:rsid w:val="0096435F"/>
    <w:rsid w:val="00966521"/>
    <w:rsid w:val="00971BE1"/>
    <w:rsid w:val="00972902"/>
    <w:rsid w:val="0097396F"/>
    <w:rsid w:val="00975690"/>
    <w:rsid w:val="00976AC8"/>
    <w:rsid w:val="00976E19"/>
    <w:rsid w:val="009807FB"/>
    <w:rsid w:val="009816D3"/>
    <w:rsid w:val="00981F76"/>
    <w:rsid w:val="00985407"/>
    <w:rsid w:val="0098688C"/>
    <w:rsid w:val="0098727F"/>
    <w:rsid w:val="00990651"/>
    <w:rsid w:val="0099285A"/>
    <w:rsid w:val="009944CE"/>
    <w:rsid w:val="00994E9E"/>
    <w:rsid w:val="00995AEB"/>
    <w:rsid w:val="009A08F8"/>
    <w:rsid w:val="009A0DAC"/>
    <w:rsid w:val="009A232B"/>
    <w:rsid w:val="009A5457"/>
    <w:rsid w:val="009A56C5"/>
    <w:rsid w:val="009A5932"/>
    <w:rsid w:val="009A622F"/>
    <w:rsid w:val="009A69E8"/>
    <w:rsid w:val="009A7B18"/>
    <w:rsid w:val="009B06F6"/>
    <w:rsid w:val="009B2001"/>
    <w:rsid w:val="009B3033"/>
    <w:rsid w:val="009B333B"/>
    <w:rsid w:val="009B7569"/>
    <w:rsid w:val="009B7CC3"/>
    <w:rsid w:val="009C0AA9"/>
    <w:rsid w:val="009C277C"/>
    <w:rsid w:val="009C2BA8"/>
    <w:rsid w:val="009C4B52"/>
    <w:rsid w:val="009C4D1B"/>
    <w:rsid w:val="009C5B2B"/>
    <w:rsid w:val="009C71A7"/>
    <w:rsid w:val="009D27AD"/>
    <w:rsid w:val="009D390D"/>
    <w:rsid w:val="009D6679"/>
    <w:rsid w:val="009E11F0"/>
    <w:rsid w:val="009E1265"/>
    <w:rsid w:val="009E14D5"/>
    <w:rsid w:val="009E1A79"/>
    <w:rsid w:val="009E27A4"/>
    <w:rsid w:val="009E2E54"/>
    <w:rsid w:val="009E3004"/>
    <w:rsid w:val="009E34EB"/>
    <w:rsid w:val="009E35A5"/>
    <w:rsid w:val="009E4437"/>
    <w:rsid w:val="009E4559"/>
    <w:rsid w:val="009E557C"/>
    <w:rsid w:val="009E56BE"/>
    <w:rsid w:val="009F092C"/>
    <w:rsid w:val="009F0B45"/>
    <w:rsid w:val="009F1830"/>
    <w:rsid w:val="009F2EA0"/>
    <w:rsid w:val="009F4094"/>
    <w:rsid w:val="009F49CB"/>
    <w:rsid w:val="009F4BEF"/>
    <w:rsid w:val="009F4C61"/>
    <w:rsid w:val="009F4F57"/>
    <w:rsid w:val="009F7806"/>
    <w:rsid w:val="00A0055A"/>
    <w:rsid w:val="00A007EF"/>
    <w:rsid w:val="00A00F1C"/>
    <w:rsid w:val="00A01724"/>
    <w:rsid w:val="00A01D7E"/>
    <w:rsid w:val="00A022CA"/>
    <w:rsid w:val="00A035BE"/>
    <w:rsid w:val="00A03885"/>
    <w:rsid w:val="00A03AE4"/>
    <w:rsid w:val="00A05D83"/>
    <w:rsid w:val="00A072E7"/>
    <w:rsid w:val="00A07708"/>
    <w:rsid w:val="00A07CD3"/>
    <w:rsid w:val="00A1005E"/>
    <w:rsid w:val="00A10EFD"/>
    <w:rsid w:val="00A12343"/>
    <w:rsid w:val="00A124D6"/>
    <w:rsid w:val="00A12925"/>
    <w:rsid w:val="00A12F86"/>
    <w:rsid w:val="00A13C13"/>
    <w:rsid w:val="00A13CD3"/>
    <w:rsid w:val="00A14AAF"/>
    <w:rsid w:val="00A14D9E"/>
    <w:rsid w:val="00A1534C"/>
    <w:rsid w:val="00A17EBE"/>
    <w:rsid w:val="00A2118C"/>
    <w:rsid w:val="00A22180"/>
    <w:rsid w:val="00A277E8"/>
    <w:rsid w:val="00A302B1"/>
    <w:rsid w:val="00A30C54"/>
    <w:rsid w:val="00A3310E"/>
    <w:rsid w:val="00A332FE"/>
    <w:rsid w:val="00A3394A"/>
    <w:rsid w:val="00A34A4E"/>
    <w:rsid w:val="00A370D3"/>
    <w:rsid w:val="00A37E69"/>
    <w:rsid w:val="00A37F88"/>
    <w:rsid w:val="00A409BC"/>
    <w:rsid w:val="00A4312F"/>
    <w:rsid w:val="00A44BAE"/>
    <w:rsid w:val="00A4555B"/>
    <w:rsid w:val="00A45E9E"/>
    <w:rsid w:val="00A4797B"/>
    <w:rsid w:val="00A47B23"/>
    <w:rsid w:val="00A50861"/>
    <w:rsid w:val="00A5109F"/>
    <w:rsid w:val="00A51DB3"/>
    <w:rsid w:val="00A5304A"/>
    <w:rsid w:val="00A5333B"/>
    <w:rsid w:val="00A535E1"/>
    <w:rsid w:val="00A556EE"/>
    <w:rsid w:val="00A558B3"/>
    <w:rsid w:val="00A55A76"/>
    <w:rsid w:val="00A600C8"/>
    <w:rsid w:val="00A605D7"/>
    <w:rsid w:val="00A60993"/>
    <w:rsid w:val="00A61CB1"/>
    <w:rsid w:val="00A62050"/>
    <w:rsid w:val="00A65557"/>
    <w:rsid w:val="00A6566F"/>
    <w:rsid w:val="00A6634D"/>
    <w:rsid w:val="00A66649"/>
    <w:rsid w:val="00A67010"/>
    <w:rsid w:val="00A67F13"/>
    <w:rsid w:val="00A713DE"/>
    <w:rsid w:val="00A7381B"/>
    <w:rsid w:val="00A75668"/>
    <w:rsid w:val="00A757F3"/>
    <w:rsid w:val="00A75AF6"/>
    <w:rsid w:val="00A8416D"/>
    <w:rsid w:val="00A84D99"/>
    <w:rsid w:val="00A86B36"/>
    <w:rsid w:val="00A87D2F"/>
    <w:rsid w:val="00A91CE5"/>
    <w:rsid w:val="00A94380"/>
    <w:rsid w:val="00A94684"/>
    <w:rsid w:val="00A94D02"/>
    <w:rsid w:val="00AA15C2"/>
    <w:rsid w:val="00AA1E29"/>
    <w:rsid w:val="00AA1FC4"/>
    <w:rsid w:val="00AA2310"/>
    <w:rsid w:val="00AA2C41"/>
    <w:rsid w:val="00AA47D2"/>
    <w:rsid w:val="00AA7B0D"/>
    <w:rsid w:val="00AB18C7"/>
    <w:rsid w:val="00AB1EAF"/>
    <w:rsid w:val="00AB2BAE"/>
    <w:rsid w:val="00AB40D2"/>
    <w:rsid w:val="00AB6395"/>
    <w:rsid w:val="00AB67BA"/>
    <w:rsid w:val="00AB7CCA"/>
    <w:rsid w:val="00AB7F8A"/>
    <w:rsid w:val="00AC0222"/>
    <w:rsid w:val="00AC0534"/>
    <w:rsid w:val="00AC063F"/>
    <w:rsid w:val="00AC5440"/>
    <w:rsid w:val="00AC5D80"/>
    <w:rsid w:val="00AC64B9"/>
    <w:rsid w:val="00AD0089"/>
    <w:rsid w:val="00AD0C32"/>
    <w:rsid w:val="00AD17A0"/>
    <w:rsid w:val="00AD1CC4"/>
    <w:rsid w:val="00AD258F"/>
    <w:rsid w:val="00AD317C"/>
    <w:rsid w:val="00AD51EB"/>
    <w:rsid w:val="00AD552D"/>
    <w:rsid w:val="00AD68F6"/>
    <w:rsid w:val="00AD69A2"/>
    <w:rsid w:val="00AD7075"/>
    <w:rsid w:val="00AD7747"/>
    <w:rsid w:val="00AD7829"/>
    <w:rsid w:val="00AE26BD"/>
    <w:rsid w:val="00AE40BE"/>
    <w:rsid w:val="00AE53A0"/>
    <w:rsid w:val="00AE7D53"/>
    <w:rsid w:val="00AF0CC4"/>
    <w:rsid w:val="00AF2E25"/>
    <w:rsid w:val="00AF3EE0"/>
    <w:rsid w:val="00AF421A"/>
    <w:rsid w:val="00AF5BFF"/>
    <w:rsid w:val="00AF7D01"/>
    <w:rsid w:val="00B01C77"/>
    <w:rsid w:val="00B0209B"/>
    <w:rsid w:val="00B0245F"/>
    <w:rsid w:val="00B03D2D"/>
    <w:rsid w:val="00B10902"/>
    <w:rsid w:val="00B12557"/>
    <w:rsid w:val="00B1260B"/>
    <w:rsid w:val="00B129D5"/>
    <w:rsid w:val="00B131E4"/>
    <w:rsid w:val="00B1343F"/>
    <w:rsid w:val="00B13725"/>
    <w:rsid w:val="00B13FD4"/>
    <w:rsid w:val="00B15837"/>
    <w:rsid w:val="00B15875"/>
    <w:rsid w:val="00B161BA"/>
    <w:rsid w:val="00B17315"/>
    <w:rsid w:val="00B17472"/>
    <w:rsid w:val="00B17FBF"/>
    <w:rsid w:val="00B21248"/>
    <w:rsid w:val="00B21C0C"/>
    <w:rsid w:val="00B2202A"/>
    <w:rsid w:val="00B22030"/>
    <w:rsid w:val="00B222F4"/>
    <w:rsid w:val="00B243EC"/>
    <w:rsid w:val="00B25A88"/>
    <w:rsid w:val="00B359AE"/>
    <w:rsid w:val="00B3676D"/>
    <w:rsid w:val="00B404C6"/>
    <w:rsid w:val="00B42FED"/>
    <w:rsid w:val="00B44606"/>
    <w:rsid w:val="00B464AC"/>
    <w:rsid w:val="00B46AC4"/>
    <w:rsid w:val="00B47728"/>
    <w:rsid w:val="00B5198D"/>
    <w:rsid w:val="00B52D55"/>
    <w:rsid w:val="00B551B8"/>
    <w:rsid w:val="00B55204"/>
    <w:rsid w:val="00B562E3"/>
    <w:rsid w:val="00B6131E"/>
    <w:rsid w:val="00B61A36"/>
    <w:rsid w:val="00B636D1"/>
    <w:rsid w:val="00B63B44"/>
    <w:rsid w:val="00B66468"/>
    <w:rsid w:val="00B668F2"/>
    <w:rsid w:val="00B66C73"/>
    <w:rsid w:val="00B71F93"/>
    <w:rsid w:val="00B72CCB"/>
    <w:rsid w:val="00B72F9D"/>
    <w:rsid w:val="00B73068"/>
    <w:rsid w:val="00B7327E"/>
    <w:rsid w:val="00B7341C"/>
    <w:rsid w:val="00B750A8"/>
    <w:rsid w:val="00B800C4"/>
    <w:rsid w:val="00B80650"/>
    <w:rsid w:val="00B81070"/>
    <w:rsid w:val="00B8130C"/>
    <w:rsid w:val="00B84B3A"/>
    <w:rsid w:val="00B85D00"/>
    <w:rsid w:val="00B86F13"/>
    <w:rsid w:val="00B94303"/>
    <w:rsid w:val="00B9467E"/>
    <w:rsid w:val="00B95973"/>
    <w:rsid w:val="00B95B78"/>
    <w:rsid w:val="00B95E83"/>
    <w:rsid w:val="00B96C0C"/>
    <w:rsid w:val="00B97111"/>
    <w:rsid w:val="00BA1165"/>
    <w:rsid w:val="00BA2604"/>
    <w:rsid w:val="00BA4289"/>
    <w:rsid w:val="00BA5133"/>
    <w:rsid w:val="00BA73D5"/>
    <w:rsid w:val="00BA7C0D"/>
    <w:rsid w:val="00BB2059"/>
    <w:rsid w:val="00BB33D9"/>
    <w:rsid w:val="00BB36E3"/>
    <w:rsid w:val="00BB51AE"/>
    <w:rsid w:val="00BB569E"/>
    <w:rsid w:val="00BB5DC8"/>
    <w:rsid w:val="00BB6366"/>
    <w:rsid w:val="00BB740A"/>
    <w:rsid w:val="00BB7D2E"/>
    <w:rsid w:val="00BC02C7"/>
    <w:rsid w:val="00BC27D1"/>
    <w:rsid w:val="00BC3770"/>
    <w:rsid w:val="00BC45D4"/>
    <w:rsid w:val="00BC4D18"/>
    <w:rsid w:val="00BC619C"/>
    <w:rsid w:val="00BC6EF9"/>
    <w:rsid w:val="00BC7618"/>
    <w:rsid w:val="00BD4445"/>
    <w:rsid w:val="00BD4F8B"/>
    <w:rsid w:val="00BD685B"/>
    <w:rsid w:val="00BD7636"/>
    <w:rsid w:val="00BD7D19"/>
    <w:rsid w:val="00BE0978"/>
    <w:rsid w:val="00BE0FCE"/>
    <w:rsid w:val="00BE3072"/>
    <w:rsid w:val="00BE3AFD"/>
    <w:rsid w:val="00BE6B5F"/>
    <w:rsid w:val="00BE7860"/>
    <w:rsid w:val="00BE7A08"/>
    <w:rsid w:val="00BF1A6D"/>
    <w:rsid w:val="00BF3883"/>
    <w:rsid w:val="00BF3E5E"/>
    <w:rsid w:val="00BF407A"/>
    <w:rsid w:val="00BF4B96"/>
    <w:rsid w:val="00BF5FE7"/>
    <w:rsid w:val="00BF6027"/>
    <w:rsid w:val="00BF69F8"/>
    <w:rsid w:val="00C010EF"/>
    <w:rsid w:val="00C02BA3"/>
    <w:rsid w:val="00C048A2"/>
    <w:rsid w:val="00C049C9"/>
    <w:rsid w:val="00C1046B"/>
    <w:rsid w:val="00C11099"/>
    <w:rsid w:val="00C1257A"/>
    <w:rsid w:val="00C1307E"/>
    <w:rsid w:val="00C14945"/>
    <w:rsid w:val="00C154B9"/>
    <w:rsid w:val="00C16BCD"/>
    <w:rsid w:val="00C2041C"/>
    <w:rsid w:val="00C213AB"/>
    <w:rsid w:val="00C21AA2"/>
    <w:rsid w:val="00C22B4C"/>
    <w:rsid w:val="00C24DA7"/>
    <w:rsid w:val="00C24FE8"/>
    <w:rsid w:val="00C251F9"/>
    <w:rsid w:val="00C26E29"/>
    <w:rsid w:val="00C27379"/>
    <w:rsid w:val="00C27802"/>
    <w:rsid w:val="00C30B7B"/>
    <w:rsid w:val="00C3181E"/>
    <w:rsid w:val="00C331E1"/>
    <w:rsid w:val="00C35254"/>
    <w:rsid w:val="00C417D4"/>
    <w:rsid w:val="00C41C4C"/>
    <w:rsid w:val="00C42234"/>
    <w:rsid w:val="00C44917"/>
    <w:rsid w:val="00C455DD"/>
    <w:rsid w:val="00C45E04"/>
    <w:rsid w:val="00C47147"/>
    <w:rsid w:val="00C50035"/>
    <w:rsid w:val="00C51A3E"/>
    <w:rsid w:val="00C52D99"/>
    <w:rsid w:val="00C55FF6"/>
    <w:rsid w:val="00C56126"/>
    <w:rsid w:val="00C5664F"/>
    <w:rsid w:val="00C56F9B"/>
    <w:rsid w:val="00C5705B"/>
    <w:rsid w:val="00C60769"/>
    <w:rsid w:val="00C60CFC"/>
    <w:rsid w:val="00C61C45"/>
    <w:rsid w:val="00C61C4D"/>
    <w:rsid w:val="00C61D61"/>
    <w:rsid w:val="00C6207B"/>
    <w:rsid w:val="00C6258D"/>
    <w:rsid w:val="00C628BA"/>
    <w:rsid w:val="00C63478"/>
    <w:rsid w:val="00C6449D"/>
    <w:rsid w:val="00C6710F"/>
    <w:rsid w:val="00C67360"/>
    <w:rsid w:val="00C72B69"/>
    <w:rsid w:val="00C72C70"/>
    <w:rsid w:val="00C747E2"/>
    <w:rsid w:val="00C76819"/>
    <w:rsid w:val="00C76E4B"/>
    <w:rsid w:val="00C7723D"/>
    <w:rsid w:val="00C821DF"/>
    <w:rsid w:val="00C8251A"/>
    <w:rsid w:val="00C82F79"/>
    <w:rsid w:val="00C82F7B"/>
    <w:rsid w:val="00C87EC3"/>
    <w:rsid w:val="00C9011D"/>
    <w:rsid w:val="00C901CA"/>
    <w:rsid w:val="00C92AD6"/>
    <w:rsid w:val="00C94215"/>
    <w:rsid w:val="00C943A6"/>
    <w:rsid w:val="00C94844"/>
    <w:rsid w:val="00C94EE7"/>
    <w:rsid w:val="00C95B4D"/>
    <w:rsid w:val="00C9789C"/>
    <w:rsid w:val="00CA0AA8"/>
    <w:rsid w:val="00CA0EFB"/>
    <w:rsid w:val="00CA2978"/>
    <w:rsid w:val="00CA2E6B"/>
    <w:rsid w:val="00CA2FCB"/>
    <w:rsid w:val="00CA3B69"/>
    <w:rsid w:val="00CA45E9"/>
    <w:rsid w:val="00CA5912"/>
    <w:rsid w:val="00CA5C90"/>
    <w:rsid w:val="00CA6E47"/>
    <w:rsid w:val="00CB0BE8"/>
    <w:rsid w:val="00CB127E"/>
    <w:rsid w:val="00CB12F2"/>
    <w:rsid w:val="00CB179E"/>
    <w:rsid w:val="00CB3939"/>
    <w:rsid w:val="00CB4B5C"/>
    <w:rsid w:val="00CB4E8F"/>
    <w:rsid w:val="00CB5EE9"/>
    <w:rsid w:val="00CB78F3"/>
    <w:rsid w:val="00CC025E"/>
    <w:rsid w:val="00CC245F"/>
    <w:rsid w:val="00CC345E"/>
    <w:rsid w:val="00CC35F4"/>
    <w:rsid w:val="00CC4CA0"/>
    <w:rsid w:val="00CC60CD"/>
    <w:rsid w:val="00CC7B9F"/>
    <w:rsid w:val="00CD07ED"/>
    <w:rsid w:val="00CD1E76"/>
    <w:rsid w:val="00CD2A50"/>
    <w:rsid w:val="00CD4040"/>
    <w:rsid w:val="00CD4B28"/>
    <w:rsid w:val="00CD4BB7"/>
    <w:rsid w:val="00CD50E3"/>
    <w:rsid w:val="00CD55F1"/>
    <w:rsid w:val="00CD7DC3"/>
    <w:rsid w:val="00CE2307"/>
    <w:rsid w:val="00CE33E5"/>
    <w:rsid w:val="00CE48B8"/>
    <w:rsid w:val="00CE6E86"/>
    <w:rsid w:val="00CF17B8"/>
    <w:rsid w:val="00D01831"/>
    <w:rsid w:val="00D01B95"/>
    <w:rsid w:val="00D05351"/>
    <w:rsid w:val="00D05629"/>
    <w:rsid w:val="00D05E83"/>
    <w:rsid w:val="00D06397"/>
    <w:rsid w:val="00D06AAF"/>
    <w:rsid w:val="00D07F0D"/>
    <w:rsid w:val="00D109DF"/>
    <w:rsid w:val="00D13AE4"/>
    <w:rsid w:val="00D143D8"/>
    <w:rsid w:val="00D15E95"/>
    <w:rsid w:val="00D16C53"/>
    <w:rsid w:val="00D17666"/>
    <w:rsid w:val="00D17C1D"/>
    <w:rsid w:val="00D2002E"/>
    <w:rsid w:val="00D208A0"/>
    <w:rsid w:val="00D22091"/>
    <w:rsid w:val="00D229ED"/>
    <w:rsid w:val="00D23184"/>
    <w:rsid w:val="00D24389"/>
    <w:rsid w:val="00D26BB2"/>
    <w:rsid w:val="00D30244"/>
    <w:rsid w:val="00D30693"/>
    <w:rsid w:val="00D31706"/>
    <w:rsid w:val="00D31EC9"/>
    <w:rsid w:val="00D32B05"/>
    <w:rsid w:val="00D32DDD"/>
    <w:rsid w:val="00D335B9"/>
    <w:rsid w:val="00D36024"/>
    <w:rsid w:val="00D36573"/>
    <w:rsid w:val="00D374EF"/>
    <w:rsid w:val="00D40D63"/>
    <w:rsid w:val="00D41A8A"/>
    <w:rsid w:val="00D42C11"/>
    <w:rsid w:val="00D4518F"/>
    <w:rsid w:val="00D45C9A"/>
    <w:rsid w:val="00D46451"/>
    <w:rsid w:val="00D47469"/>
    <w:rsid w:val="00D511BC"/>
    <w:rsid w:val="00D514D9"/>
    <w:rsid w:val="00D53426"/>
    <w:rsid w:val="00D56550"/>
    <w:rsid w:val="00D575ED"/>
    <w:rsid w:val="00D60B07"/>
    <w:rsid w:val="00D63619"/>
    <w:rsid w:val="00D63CB5"/>
    <w:rsid w:val="00D64C59"/>
    <w:rsid w:val="00D655FC"/>
    <w:rsid w:val="00D660A0"/>
    <w:rsid w:val="00D66598"/>
    <w:rsid w:val="00D66899"/>
    <w:rsid w:val="00D71120"/>
    <w:rsid w:val="00D714EF"/>
    <w:rsid w:val="00D72E60"/>
    <w:rsid w:val="00D73299"/>
    <w:rsid w:val="00D740C0"/>
    <w:rsid w:val="00D74CB7"/>
    <w:rsid w:val="00D75C24"/>
    <w:rsid w:val="00D767BE"/>
    <w:rsid w:val="00D80C5D"/>
    <w:rsid w:val="00D80FB7"/>
    <w:rsid w:val="00D8206A"/>
    <w:rsid w:val="00D8304A"/>
    <w:rsid w:val="00D86306"/>
    <w:rsid w:val="00D86553"/>
    <w:rsid w:val="00D871E4"/>
    <w:rsid w:val="00D87391"/>
    <w:rsid w:val="00D905D9"/>
    <w:rsid w:val="00D91E80"/>
    <w:rsid w:val="00D923C4"/>
    <w:rsid w:val="00D9299E"/>
    <w:rsid w:val="00D92E04"/>
    <w:rsid w:val="00D93A56"/>
    <w:rsid w:val="00D9410C"/>
    <w:rsid w:val="00D9505C"/>
    <w:rsid w:val="00D953A9"/>
    <w:rsid w:val="00D96F50"/>
    <w:rsid w:val="00D96F61"/>
    <w:rsid w:val="00D97071"/>
    <w:rsid w:val="00DA3F34"/>
    <w:rsid w:val="00DA4C0B"/>
    <w:rsid w:val="00DA7B83"/>
    <w:rsid w:val="00DB1062"/>
    <w:rsid w:val="00DB2D27"/>
    <w:rsid w:val="00DB3116"/>
    <w:rsid w:val="00DB3F76"/>
    <w:rsid w:val="00DB4881"/>
    <w:rsid w:val="00DB5694"/>
    <w:rsid w:val="00DB6CFB"/>
    <w:rsid w:val="00DC04A3"/>
    <w:rsid w:val="00DC0833"/>
    <w:rsid w:val="00DC088F"/>
    <w:rsid w:val="00DC1BF0"/>
    <w:rsid w:val="00DC21C7"/>
    <w:rsid w:val="00DC26CB"/>
    <w:rsid w:val="00DC35AC"/>
    <w:rsid w:val="00DC4E8E"/>
    <w:rsid w:val="00DC546D"/>
    <w:rsid w:val="00DC6EC5"/>
    <w:rsid w:val="00DC7B94"/>
    <w:rsid w:val="00DC7F8A"/>
    <w:rsid w:val="00DD045F"/>
    <w:rsid w:val="00DD0825"/>
    <w:rsid w:val="00DD0F73"/>
    <w:rsid w:val="00DD2791"/>
    <w:rsid w:val="00DD40C7"/>
    <w:rsid w:val="00DD7103"/>
    <w:rsid w:val="00DD77C9"/>
    <w:rsid w:val="00DD7FAF"/>
    <w:rsid w:val="00DE10F6"/>
    <w:rsid w:val="00DE2891"/>
    <w:rsid w:val="00DE2F35"/>
    <w:rsid w:val="00DE3E56"/>
    <w:rsid w:val="00DE4E32"/>
    <w:rsid w:val="00DE51EF"/>
    <w:rsid w:val="00DE5A86"/>
    <w:rsid w:val="00DE7016"/>
    <w:rsid w:val="00DE77A9"/>
    <w:rsid w:val="00DE79A8"/>
    <w:rsid w:val="00DF064A"/>
    <w:rsid w:val="00DF1C6C"/>
    <w:rsid w:val="00DF391C"/>
    <w:rsid w:val="00DF633A"/>
    <w:rsid w:val="00DF761D"/>
    <w:rsid w:val="00E007E2"/>
    <w:rsid w:val="00E0175E"/>
    <w:rsid w:val="00E02223"/>
    <w:rsid w:val="00E039D5"/>
    <w:rsid w:val="00E0497A"/>
    <w:rsid w:val="00E06B4C"/>
    <w:rsid w:val="00E1017C"/>
    <w:rsid w:val="00E120CC"/>
    <w:rsid w:val="00E1241A"/>
    <w:rsid w:val="00E12531"/>
    <w:rsid w:val="00E12923"/>
    <w:rsid w:val="00E13236"/>
    <w:rsid w:val="00E136FF"/>
    <w:rsid w:val="00E13ACB"/>
    <w:rsid w:val="00E14B93"/>
    <w:rsid w:val="00E164E6"/>
    <w:rsid w:val="00E175F1"/>
    <w:rsid w:val="00E23BC4"/>
    <w:rsid w:val="00E24E94"/>
    <w:rsid w:val="00E25D91"/>
    <w:rsid w:val="00E3050B"/>
    <w:rsid w:val="00E32969"/>
    <w:rsid w:val="00E33E66"/>
    <w:rsid w:val="00E351B5"/>
    <w:rsid w:val="00E373E0"/>
    <w:rsid w:val="00E37F0A"/>
    <w:rsid w:val="00E40B0E"/>
    <w:rsid w:val="00E41149"/>
    <w:rsid w:val="00E411AE"/>
    <w:rsid w:val="00E41434"/>
    <w:rsid w:val="00E41C94"/>
    <w:rsid w:val="00E43AC3"/>
    <w:rsid w:val="00E449EA"/>
    <w:rsid w:val="00E45187"/>
    <w:rsid w:val="00E46F5A"/>
    <w:rsid w:val="00E50026"/>
    <w:rsid w:val="00E50D04"/>
    <w:rsid w:val="00E50DE5"/>
    <w:rsid w:val="00E51421"/>
    <w:rsid w:val="00E521AA"/>
    <w:rsid w:val="00E525E9"/>
    <w:rsid w:val="00E55DD4"/>
    <w:rsid w:val="00E600EC"/>
    <w:rsid w:val="00E604A7"/>
    <w:rsid w:val="00E611B7"/>
    <w:rsid w:val="00E61623"/>
    <w:rsid w:val="00E61BAB"/>
    <w:rsid w:val="00E61BC6"/>
    <w:rsid w:val="00E63128"/>
    <w:rsid w:val="00E639A6"/>
    <w:rsid w:val="00E639E0"/>
    <w:rsid w:val="00E655D0"/>
    <w:rsid w:val="00E662DE"/>
    <w:rsid w:val="00E67142"/>
    <w:rsid w:val="00E67459"/>
    <w:rsid w:val="00E67477"/>
    <w:rsid w:val="00E675FE"/>
    <w:rsid w:val="00E70B76"/>
    <w:rsid w:val="00E74049"/>
    <w:rsid w:val="00E7465A"/>
    <w:rsid w:val="00E7545F"/>
    <w:rsid w:val="00E762F9"/>
    <w:rsid w:val="00E80B12"/>
    <w:rsid w:val="00E81083"/>
    <w:rsid w:val="00E81AEB"/>
    <w:rsid w:val="00E84FB3"/>
    <w:rsid w:val="00E854D0"/>
    <w:rsid w:val="00E85958"/>
    <w:rsid w:val="00E875CE"/>
    <w:rsid w:val="00E87C61"/>
    <w:rsid w:val="00E92D1E"/>
    <w:rsid w:val="00E937BB"/>
    <w:rsid w:val="00E9393E"/>
    <w:rsid w:val="00E94EAF"/>
    <w:rsid w:val="00E95223"/>
    <w:rsid w:val="00E956B9"/>
    <w:rsid w:val="00E95F11"/>
    <w:rsid w:val="00E979E1"/>
    <w:rsid w:val="00EA1183"/>
    <w:rsid w:val="00EA1835"/>
    <w:rsid w:val="00EA3D57"/>
    <w:rsid w:val="00EB2D31"/>
    <w:rsid w:val="00EB439A"/>
    <w:rsid w:val="00EB459B"/>
    <w:rsid w:val="00EB469B"/>
    <w:rsid w:val="00EB50ED"/>
    <w:rsid w:val="00EB51B1"/>
    <w:rsid w:val="00EB67AF"/>
    <w:rsid w:val="00EB7610"/>
    <w:rsid w:val="00EC00AF"/>
    <w:rsid w:val="00EC01EC"/>
    <w:rsid w:val="00EC0DFD"/>
    <w:rsid w:val="00EC12D2"/>
    <w:rsid w:val="00EC3E02"/>
    <w:rsid w:val="00EC42E0"/>
    <w:rsid w:val="00EC45BF"/>
    <w:rsid w:val="00EC7BC5"/>
    <w:rsid w:val="00ED07E6"/>
    <w:rsid w:val="00ED084D"/>
    <w:rsid w:val="00ED2F6C"/>
    <w:rsid w:val="00ED3BA7"/>
    <w:rsid w:val="00ED45D9"/>
    <w:rsid w:val="00ED699E"/>
    <w:rsid w:val="00EE069C"/>
    <w:rsid w:val="00EE40B0"/>
    <w:rsid w:val="00EE6335"/>
    <w:rsid w:val="00EF0085"/>
    <w:rsid w:val="00EF159E"/>
    <w:rsid w:val="00EF22FE"/>
    <w:rsid w:val="00EF23F5"/>
    <w:rsid w:val="00EF2F3A"/>
    <w:rsid w:val="00EF3490"/>
    <w:rsid w:val="00EF4AA9"/>
    <w:rsid w:val="00EF7A49"/>
    <w:rsid w:val="00F00017"/>
    <w:rsid w:val="00F024C9"/>
    <w:rsid w:val="00F04C92"/>
    <w:rsid w:val="00F05374"/>
    <w:rsid w:val="00F06301"/>
    <w:rsid w:val="00F1100F"/>
    <w:rsid w:val="00F125DA"/>
    <w:rsid w:val="00F1372E"/>
    <w:rsid w:val="00F14AE2"/>
    <w:rsid w:val="00F16976"/>
    <w:rsid w:val="00F174B1"/>
    <w:rsid w:val="00F17C00"/>
    <w:rsid w:val="00F20482"/>
    <w:rsid w:val="00F20D7C"/>
    <w:rsid w:val="00F21C90"/>
    <w:rsid w:val="00F23FBC"/>
    <w:rsid w:val="00F2479D"/>
    <w:rsid w:val="00F25602"/>
    <w:rsid w:val="00F25C6B"/>
    <w:rsid w:val="00F26724"/>
    <w:rsid w:val="00F31A42"/>
    <w:rsid w:val="00F3272D"/>
    <w:rsid w:val="00F3345E"/>
    <w:rsid w:val="00F33C56"/>
    <w:rsid w:val="00F34032"/>
    <w:rsid w:val="00F3457C"/>
    <w:rsid w:val="00F34F57"/>
    <w:rsid w:val="00F35496"/>
    <w:rsid w:val="00F354C1"/>
    <w:rsid w:val="00F35FEF"/>
    <w:rsid w:val="00F374C1"/>
    <w:rsid w:val="00F42145"/>
    <w:rsid w:val="00F4242B"/>
    <w:rsid w:val="00F429B2"/>
    <w:rsid w:val="00F439FC"/>
    <w:rsid w:val="00F44E64"/>
    <w:rsid w:val="00F451E4"/>
    <w:rsid w:val="00F4567C"/>
    <w:rsid w:val="00F5274E"/>
    <w:rsid w:val="00F530AD"/>
    <w:rsid w:val="00F53B57"/>
    <w:rsid w:val="00F54069"/>
    <w:rsid w:val="00F55663"/>
    <w:rsid w:val="00F56526"/>
    <w:rsid w:val="00F5672C"/>
    <w:rsid w:val="00F57BBB"/>
    <w:rsid w:val="00F60A9B"/>
    <w:rsid w:val="00F617DC"/>
    <w:rsid w:val="00F6297D"/>
    <w:rsid w:val="00F650CF"/>
    <w:rsid w:val="00F70861"/>
    <w:rsid w:val="00F71B8A"/>
    <w:rsid w:val="00F720C2"/>
    <w:rsid w:val="00F72FA2"/>
    <w:rsid w:val="00F73AD1"/>
    <w:rsid w:val="00F75672"/>
    <w:rsid w:val="00F7730F"/>
    <w:rsid w:val="00F77691"/>
    <w:rsid w:val="00F82A10"/>
    <w:rsid w:val="00F83EF6"/>
    <w:rsid w:val="00F8486B"/>
    <w:rsid w:val="00F86B40"/>
    <w:rsid w:val="00F86F6B"/>
    <w:rsid w:val="00F8770C"/>
    <w:rsid w:val="00F90D49"/>
    <w:rsid w:val="00F9135E"/>
    <w:rsid w:val="00F95453"/>
    <w:rsid w:val="00F961A4"/>
    <w:rsid w:val="00F968C0"/>
    <w:rsid w:val="00F96939"/>
    <w:rsid w:val="00F9737F"/>
    <w:rsid w:val="00F97B2E"/>
    <w:rsid w:val="00FA23DD"/>
    <w:rsid w:val="00FA2FFC"/>
    <w:rsid w:val="00FA4480"/>
    <w:rsid w:val="00FA4690"/>
    <w:rsid w:val="00FA485E"/>
    <w:rsid w:val="00FA5D78"/>
    <w:rsid w:val="00FB04BA"/>
    <w:rsid w:val="00FB0721"/>
    <w:rsid w:val="00FB1163"/>
    <w:rsid w:val="00FB3EFB"/>
    <w:rsid w:val="00FB51B8"/>
    <w:rsid w:val="00FB5D59"/>
    <w:rsid w:val="00FB7662"/>
    <w:rsid w:val="00FB7A30"/>
    <w:rsid w:val="00FC19F3"/>
    <w:rsid w:val="00FC1F07"/>
    <w:rsid w:val="00FC3E7F"/>
    <w:rsid w:val="00FC3F6B"/>
    <w:rsid w:val="00FC4666"/>
    <w:rsid w:val="00FC5D0C"/>
    <w:rsid w:val="00FC7725"/>
    <w:rsid w:val="00FD0B57"/>
    <w:rsid w:val="00FD1D5F"/>
    <w:rsid w:val="00FD2993"/>
    <w:rsid w:val="00FD29B6"/>
    <w:rsid w:val="00FD29FD"/>
    <w:rsid w:val="00FD3B39"/>
    <w:rsid w:val="00FD4196"/>
    <w:rsid w:val="00FD5EA8"/>
    <w:rsid w:val="00FD6C43"/>
    <w:rsid w:val="00FD77AB"/>
    <w:rsid w:val="00FD7F6D"/>
    <w:rsid w:val="00FD7FDE"/>
    <w:rsid w:val="00FE0D2A"/>
    <w:rsid w:val="00FE253E"/>
    <w:rsid w:val="00FE43F5"/>
    <w:rsid w:val="00FE5932"/>
    <w:rsid w:val="00FE598E"/>
    <w:rsid w:val="00FE6743"/>
    <w:rsid w:val="00FE72DC"/>
    <w:rsid w:val="00FE7B1F"/>
    <w:rsid w:val="00FF0E93"/>
    <w:rsid w:val="00FF11FA"/>
    <w:rsid w:val="00FF1816"/>
    <w:rsid w:val="00FF4A56"/>
    <w:rsid w:val="00FF4AC2"/>
    <w:rsid w:val="00FF5718"/>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DEE59"/>
  <w15:chartTrackingRefBased/>
  <w15:docId w15:val="{1B1ED431-1E5F-4392-9C8E-4FC6175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36"/>
  </w:style>
  <w:style w:type="paragraph" w:styleId="Heading1">
    <w:name w:val="heading 1"/>
    <w:basedOn w:val="Normal"/>
    <w:next w:val="Normal"/>
    <w:link w:val="Heading1Char"/>
    <w:uiPriority w:val="9"/>
    <w:qFormat/>
    <w:rsid w:val="00945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3C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C1F07"/>
    <w:pPr>
      <w:keepNext/>
      <w:widowControl w:val="0"/>
      <w:numPr>
        <w:ilvl w:val="3"/>
        <w:numId w:val="8"/>
      </w:numPr>
      <w:suppressAutoHyphens/>
      <w:autoSpaceDE w:val="0"/>
      <w:spacing w:after="0" w:line="480" w:lineRule="atLeast"/>
      <w:jc w:val="center"/>
      <w:outlineLvl w:val="3"/>
    </w:pPr>
    <w:rPr>
      <w:rFonts w:ascii="Times New Roman" w:eastAsia="Times New Roman" w:hAnsi="Times New Roman" w:cs="Times New Roman"/>
      <w:b/>
      <w:kern w:val="0"/>
      <w:sz w:val="24"/>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B5C"/>
  </w:style>
  <w:style w:type="paragraph" w:styleId="Footer">
    <w:name w:val="footer"/>
    <w:basedOn w:val="Normal"/>
    <w:link w:val="FooterChar"/>
    <w:unhideWhenUsed/>
    <w:rsid w:val="00CB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B5C"/>
  </w:style>
  <w:style w:type="paragraph" w:styleId="FootnoteText">
    <w:name w:val="footnote text"/>
    <w:basedOn w:val="Normal"/>
    <w:link w:val="FootnoteTextChar"/>
    <w:uiPriority w:val="99"/>
    <w:unhideWhenUsed/>
    <w:rsid w:val="001722C8"/>
    <w:pPr>
      <w:spacing w:after="0" w:line="240" w:lineRule="auto"/>
    </w:pPr>
    <w:rPr>
      <w:sz w:val="20"/>
      <w:szCs w:val="20"/>
    </w:rPr>
  </w:style>
  <w:style w:type="character" w:customStyle="1" w:styleId="FootnoteTextChar">
    <w:name w:val="Footnote Text Char"/>
    <w:basedOn w:val="DefaultParagraphFont"/>
    <w:link w:val="FootnoteText"/>
    <w:uiPriority w:val="99"/>
    <w:rsid w:val="001722C8"/>
    <w:rPr>
      <w:sz w:val="20"/>
      <w:szCs w:val="20"/>
    </w:rPr>
  </w:style>
  <w:style w:type="character" w:styleId="FootnoteReference">
    <w:name w:val="footnote reference"/>
    <w:basedOn w:val="DefaultParagraphFont"/>
    <w:uiPriority w:val="99"/>
    <w:semiHidden/>
    <w:unhideWhenUsed/>
    <w:rsid w:val="001722C8"/>
    <w:rPr>
      <w:vertAlign w:val="superscript"/>
    </w:rPr>
  </w:style>
  <w:style w:type="paragraph" w:styleId="ListParagraph">
    <w:name w:val="List Paragraph"/>
    <w:basedOn w:val="Normal"/>
    <w:uiPriority w:val="34"/>
    <w:qFormat/>
    <w:rsid w:val="00B800C4"/>
    <w:pPr>
      <w:ind w:left="720"/>
      <w:contextualSpacing/>
    </w:pPr>
  </w:style>
  <w:style w:type="paragraph" w:styleId="Caption">
    <w:name w:val="caption"/>
    <w:basedOn w:val="Normal"/>
    <w:next w:val="Normal"/>
    <w:uiPriority w:val="35"/>
    <w:unhideWhenUsed/>
    <w:qFormat/>
    <w:rsid w:val="00D109DF"/>
    <w:pPr>
      <w:spacing w:after="200" w:line="240" w:lineRule="auto"/>
    </w:pPr>
    <w:rPr>
      <w:i/>
      <w:iCs/>
      <w:color w:val="44546A" w:themeColor="text2"/>
      <w:sz w:val="18"/>
      <w:szCs w:val="18"/>
    </w:rPr>
  </w:style>
  <w:style w:type="character" w:styleId="Hyperlink">
    <w:name w:val="Hyperlink"/>
    <w:basedOn w:val="DefaultParagraphFont"/>
    <w:uiPriority w:val="99"/>
    <w:unhideWhenUsed/>
    <w:rsid w:val="00E50DE5"/>
    <w:rPr>
      <w:color w:val="0563C1" w:themeColor="hyperlink"/>
      <w:u w:val="single"/>
    </w:rPr>
  </w:style>
  <w:style w:type="character" w:styleId="UnresolvedMention">
    <w:name w:val="Unresolved Mention"/>
    <w:basedOn w:val="DefaultParagraphFont"/>
    <w:uiPriority w:val="99"/>
    <w:semiHidden/>
    <w:unhideWhenUsed/>
    <w:rsid w:val="00E50DE5"/>
    <w:rPr>
      <w:color w:val="605E5C"/>
      <w:shd w:val="clear" w:color="auto" w:fill="E1DFDD"/>
    </w:rPr>
  </w:style>
  <w:style w:type="character" w:styleId="PlaceholderText">
    <w:name w:val="Placeholder Text"/>
    <w:basedOn w:val="DefaultParagraphFont"/>
    <w:uiPriority w:val="99"/>
    <w:semiHidden/>
    <w:rsid w:val="00DE4E32"/>
    <w:rPr>
      <w:color w:val="808080"/>
    </w:rPr>
  </w:style>
  <w:style w:type="table" w:styleId="TableGrid">
    <w:name w:val="Table Grid"/>
    <w:basedOn w:val="TableNormal"/>
    <w:uiPriority w:val="39"/>
    <w:rsid w:val="008F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63C2"/>
    <w:rPr>
      <w:color w:val="954F72" w:themeColor="followedHyperlink"/>
      <w:u w:val="single"/>
    </w:rPr>
  </w:style>
  <w:style w:type="paragraph" w:styleId="EndnoteText">
    <w:name w:val="endnote text"/>
    <w:basedOn w:val="Normal"/>
    <w:link w:val="EndnoteTextChar"/>
    <w:uiPriority w:val="99"/>
    <w:semiHidden/>
    <w:unhideWhenUsed/>
    <w:rsid w:val="00330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0DA"/>
    <w:rPr>
      <w:sz w:val="20"/>
      <w:szCs w:val="20"/>
    </w:rPr>
  </w:style>
  <w:style w:type="character" w:styleId="EndnoteReference">
    <w:name w:val="endnote reference"/>
    <w:basedOn w:val="DefaultParagraphFont"/>
    <w:uiPriority w:val="99"/>
    <w:semiHidden/>
    <w:unhideWhenUsed/>
    <w:rsid w:val="003300DA"/>
    <w:rPr>
      <w:vertAlign w:val="superscript"/>
    </w:rPr>
  </w:style>
  <w:style w:type="character" w:customStyle="1" w:styleId="Heading4Char">
    <w:name w:val="Heading 4 Char"/>
    <w:basedOn w:val="DefaultParagraphFont"/>
    <w:link w:val="Heading4"/>
    <w:rsid w:val="00FC1F07"/>
    <w:rPr>
      <w:rFonts w:ascii="Times New Roman" w:eastAsia="Times New Roman" w:hAnsi="Times New Roman" w:cs="Times New Roman"/>
      <w:b/>
      <w:kern w:val="0"/>
      <w:sz w:val="24"/>
      <w:szCs w:val="20"/>
      <w:lang w:eastAsia="ar-SA"/>
      <w14:ligatures w14:val="none"/>
    </w:rPr>
  </w:style>
  <w:style w:type="character" w:customStyle="1" w:styleId="Absatz-Standardschriftart">
    <w:name w:val="Absatz-Standardschriftart"/>
    <w:rsid w:val="00FC1F07"/>
  </w:style>
  <w:style w:type="character" w:customStyle="1" w:styleId="WW-Absatz-Standardschriftart">
    <w:name w:val="WW-Absatz-Standardschriftart"/>
    <w:rsid w:val="00FC1F07"/>
  </w:style>
  <w:style w:type="character" w:customStyle="1" w:styleId="WW-Absatz-Standardschriftart1">
    <w:name w:val="WW-Absatz-Standardschriftart1"/>
    <w:rsid w:val="00FC1F07"/>
  </w:style>
  <w:style w:type="character" w:customStyle="1" w:styleId="WW-Absatz-Standardschriftart11">
    <w:name w:val="WW-Absatz-Standardschriftart11"/>
    <w:rsid w:val="00FC1F07"/>
  </w:style>
  <w:style w:type="character" w:customStyle="1" w:styleId="WW-Absatz-Standardschriftart111">
    <w:name w:val="WW-Absatz-Standardschriftart111"/>
    <w:rsid w:val="00FC1F07"/>
  </w:style>
  <w:style w:type="character" w:customStyle="1" w:styleId="WW-Absatz-Standardschriftart1111">
    <w:name w:val="WW-Absatz-Standardschriftart1111"/>
    <w:rsid w:val="00FC1F07"/>
  </w:style>
  <w:style w:type="character" w:customStyle="1" w:styleId="WW-Absatz-Standardschriftart11111">
    <w:name w:val="WW-Absatz-Standardschriftart11111"/>
    <w:rsid w:val="00FC1F07"/>
  </w:style>
  <w:style w:type="character" w:customStyle="1" w:styleId="WW-Absatz-Standardschriftart111111">
    <w:name w:val="WW-Absatz-Standardschriftart111111"/>
    <w:rsid w:val="00FC1F07"/>
  </w:style>
  <w:style w:type="character" w:customStyle="1" w:styleId="WW-Absatz-Standardschriftart1111111">
    <w:name w:val="WW-Absatz-Standardschriftart1111111"/>
    <w:rsid w:val="00FC1F07"/>
  </w:style>
  <w:style w:type="character" w:customStyle="1" w:styleId="WW8Num2z0">
    <w:name w:val="WW8Num2z0"/>
    <w:rsid w:val="00FC1F07"/>
    <w:rPr>
      <w:rFonts w:ascii="Wingdings" w:hAnsi="Wingdings"/>
    </w:rPr>
  </w:style>
  <w:style w:type="character" w:customStyle="1" w:styleId="WW8Num2z1">
    <w:name w:val="WW8Num2z1"/>
    <w:rsid w:val="00FC1F07"/>
    <w:rPr>
      <w:rFonts w:ascii="Courier New" w:hAnsi="Courier New" w:cs="Courier New"/>
    </w:rPr>
  </w:style>
  <w:style w:type="character" w:customStyle="1" w:styleId="WW8Num2z3">
    <w:name w:val="WW8Num2z3"/>
    <w:rsid w:val="00FC1F07"/>
    <w:rPr>
      <w:rFonts w:ascii="Symbol" w:hAnsi="Symbol"/>
    </w:rPr>
  </w:style>
  <w:style w:type="character" w:customStyle="1" w:styleId="WW8Num3z0">
    <w:name w:val="WW8Num3z0"/>
    <w:rsid w:val="00FC1F07"/>
    <w:rPr>
      <w:rFonts w:ascii="Wingdings" w:hAnsi="Wingdings"/>
    </w:rPr>
  </w:style>
  <w:style w:type="character" w:customStyle="1" w:styleId="WW8Num4z0">
    <w:name w:val="WW8Num4z0"/>
    <w:rsid w:val="00FC1F07"/>
    <w:rPr>
      <w:rFonts w:ascii="Symbol" w:hAnsi="Symbol"/>
    </w:rPr>
  </w:style>
  <w:style w:type="character" w:customStyle="1" w:styleId="WW8Num4z1">
    <w:name w:val="WW8Num4z1"/>
    <w:rsid w:val="00FC1F07"/>
    <w:rPr>
      <w:rFonts w:ascii="Courier New" w:hAnsi="Courier New" w:cs="Courier New"/>
    </w:rPr>
  </w:style>
  <w:style w:type="character" w:customStyle="1" w:styleId="WW8Num4z2">
    <w:name w:val="WW8Num4z2"/>
    <w:rsid w:val="00FC1F07"/>
    <w:rPr>
      <w:rFonts w:ascii="Wingdings" w:hAnsi="Wingdings"/>
    </w:rPr>
  </w:style>
  <w:style w:type="character" w:customStyle="1" w:styleId="WW8Num5z0">
    <w:name w:val="WW8Num5z0"/>
    <w:rsid w:val="00FC1F07"/>
    <w:rPr>
      <w:rFonts w:ascii="Wingdings" w:hAnsi="Wingdings"/>
    </w:rPr>
  </w:style>
  <w:style w:type="character" w:customStyle="1" w:styleId="WW-Absatz-Standardschriftart11111111">
    <w:name w:val="WW-Absatz-Standardschriftart11111111"/>
    <w:rsid w:val="00FC1F07"/>
  </w:style>
  <w:style w:type="character" w:customStyle="1" w:styleId="WW-DefaultParagraphFont">
    <w:name w:val="WW-Default Paragraph Font"/>
    <w:rsid w:val="00FC1F07"/>
  </w:style>
  <w:style w:type="character" w:customStyle="1" w:styleId="WW-Absatz-Standardschriftart111111111">
    <w:name w:val="WW-Absatz-Standardschriftart111111111"/>
    <w:rsid w:val="00FC1F07"/>
  </w:style>
  <w:style w:type="character" w:customStyle="1" w:styleId="WW-Absatz-Standardschriftart1111111111">
    <w:name w:val="WW-Absatz-Standardschriftart1111111111"/>
    <w:rsid w:val="00FC1F07"/>
  </w:style>
  <w:style w:type="character" w:customStyle="1" w:styleId="WW-Absatz-Standardschriftart11111111111">
    <w:name w:val="WW-Absatz-Standardschriftart11111111111"/>
    <w:rsid w:val="00FC1F07"/>
  </w:style>
  <w:style w:type="character" w:customStyle="1" w:styleId="WW-DefaultParagraphFont1">
    <w:name w:val="WW-Default Paragraph Font1"/>
    <w:rsid w:val="00FC1F07"/>
  </w:style>
  <w:style w:type="character" w:styleId="CommentReference">
    <w:name w:val="annotation reference"/>
    <w:basedOn w:val="WW-DefaultParagraphFont1"/>
    <w:uiPriority w:val="99"/>
    <w:rsid w:val="00FC1F07"/>
    <w:rPr>
      <w:sz w:val="16"/>
      <w:szCs w:val="16"/>
    </w:rPr>
  </w:style>
  <w:style w:type="character" w:customStyle="1" w:styleId="Bullets">
    <w:name w:val="Bullets"/>
    <w:rsid w:val="00FC1F07"/>
    <w:rPr>
      <w:rFonts w:ascii="OpenSymbol" w:eastAsia="OpenSymbol" w:hAnsi="OpenSymbol" w:cs="OpenSymbol"/>
    </w:rPr>
  </w:style>
  <w:style w:type="character" w:customStyle="1" w:styleId="ListLabel1">
    <w:name w:val="ListLabel 1"/>
    <w:rsid w:val="00FC1F07"/>
    <w:rPr>
      <w:rFonts w:cs="Courier New"/>
    </w:rPr>
  </w:style>
  <w:style w:type="character" w:customStyle="1" w:styleId="NumberingSymbols">
    <w:name w:val="Numbering Symbols"/>
    <w:rsid w:val="00FC1F07"/>
  </w:style>
  <w:style w:type="character" w:customStyle="1" w:styleId="Placeholder">
    <w:name w:val="Placeholder"/>
    <w:rsid w:val="00FC1F07"/>
    <w:rPr>
      <w:smallCaps/>
      <w:color w:val="008080"/>
      <w:u w:val="dotted"/>
    </w:rPr>
  </w:style>
  <w:style w:type="paragraph" w:customStyle="1" w:styleId="Heading">
    <w:name w:val="Heading"/>
    <w:basedOn w:val="Normal"/>
    <w:next w:val="BodyText"/>
    <w:rsid w:val="00FC1F07"/>
    <w:pPr>
      <w:keepNext/>
      <w:widowControl w:val="0"/>
      <w:suppressAutoHyphens/>
      <w:autoSpaceDE w:val="0"/>
      <w:spacing w:before="240" w:after="120" w:line="480" w:lineRule="auto"/>
    </w:pPr>
    <w:rPr>
      <w:rFonts w:ascii="Arial" w:eastAsia="MS Mincho" w:hAnsi="Arial" w:cs="Tahoma"/>
      <w:kern w:val="0"/>
      <w:sz w:val="28"/>
      <w:szCs w:val="28"/>
      <w:lang w:eastAsia="ar-SA"/>
      <w14:ligatures w14:val="none"/>
    </w:rPr>
  </w:style>
  <w:style w:type="paragraph" w:styleId="BodyText">
    <w:name w:val="Body Text"/>
    <w:basedOn w:val="Normal"/>
    <w:link w:val="BodyTextChar"/>
    <w:rsid w:val="00FC1F07"/>
    <w:pPr>
      <w:widowControl w:val="0"/>
      <w:suppressAutoHyphens/>
      <w:autoSpaceDE w:val="0"/>
      <w:spacing w:after="0" w:line="480" w:lineRule="atLeast"/>
    </w:pPr>
    <w:rPr>
      <w:rFonts w:ascii="Courier New" w:eastAsia="Times New Roman" w:hAnsi="Courier New" w:cs="Times New Roman"/>
      <w:kern w:val="0"/>
      <w:sz w:val="24"/>
      <w:szCs w:val="20"/>
      <w:lang w:eastAsia="ar-SA"/>
      <w14:ligatures w14:val="none"/>
    </w:rPr>
  </w:style>
  <w:style w:type="character" w:customStyle="1" w:styleId="BodyTextChar">
    <w:name w:val="Body Text Char"/>
    <w:basedOn w:val="DefaultParagraphFont"/>
    <w:link w:val="BodyText"/>
    <w:rsid w:val="00FC1F07"/>
    <w:rPr>
      <w:rFonts w:ascii="Courier New" w:eastAsia="Times New Roman" w:hAnsi="Courier New" w:cs="Times New Roman"/>
      <w:kern w:val="0"/>
      <w:sz w:val="24"/>
      <w:szCs w:val="20"/>
      <w:lang w:eastAsia="ar-SA"/>
      <w14:ligatures w14:val="none"/>
    </w:rPr>
  </w:style>
  <w:style w:type="paragraph" w:styleId="List">
    <w:name w:val="List"/>
    <w:basedOn w:val="BodyText"/>
    <w:rsid w:val="00FC1F07"/>
    <w:rPr>
      <w:rFonts w:cs="Tahoma"/>
    </w:rPr>
  </w:style>
  <w:style w:type="paragraph" w:customStyle="1" w:styleId="Index">
    <w:name w:val="Index"/>
    <w:basedOn w:val="Normal"/>
    <w:rsid w:val="00FC1F07"/>
    <w:pPr>
      <w:widowControl w:val="0"/>
      <w:suppressLineNumbers/>
      <w:suppressAutoHyphens/>
      <w:autoSpaceDE w:val="0"/>
      <w:spacing w:after="0" w:line="480" w:lineRule="auto"/>
    </w:pPr>
    <w:rPr>
      <w:rFonts w:ascii="Times New Roman" w:eastAsia="Times New Roman" w:hAnsi="Times New Roman" w:cs="Tahoma"/>
      <w:kern w:val="0"/>
      <w:sz w:val="24"/>
      <w:szCs w:val="20"/>
      <w:lang w:eastAsia="ar-SA"/>
      <w14:ligatures w14:val="none"/>
    </w:rPr>
  </w:style>
  <w:style w:type="paragraph" w:styleId="Title">
    <w:name w:val="Title"/>
    <w:basedOn w:val="Normal"/>
    <w:next w:val="Subtitle"/>
    <w:link w:val="TitleChar"/>
    <w:qFormat/>
    <w:rsid w:val="00FC1F07"/>
    <w:pPr>
      <w:widowControl w:val="0"/>
      <w:suppressAutoHyphens/>
      <w:autoSpaceDE w:val="0"/>
      <w:spacing w:after="0" w:line="480" w:lineRule="atLeast"/>
      <w:jc w:val="center"/>
    </w:pPr>
    <w:rPr>
      <w:rFonts w:ascii="Times New Roman" w:eastAsia="Times New Roman" w:hAnsi="Times New Roman" w:cs="Times New Roman"/>
      <w:b/>
      <w:caps/>
      <w:kern w:val="0"/>
      <w:sz w:val="24"/>
      <w:szCs w:val="20"/>
      <w:lang w:eastAsia="ar-SA"/>
      <w14:ligatures w14:val="none"/>
    </w:rPr>
  </w:style>
  <w:style w:type="character" w:customStyle="1" w:styleId="TitleChar">
    <w:name w:val="Title Char"/>
    <w:basedOn w:val="DefaultParagraphFont"/>
    <w:link w:val="Title"/>
    <w:rsid w:val="00FC1F07"/>
    <w:rPr>
      <w:rFonts w:ascii="Times New Roman" w:eastAsia="Times New Roman" w:hAnsi="Times New Roman" w:cs="Times New Roman"/>
      <w:b/>
      <w:caps/>
      <w:kern w:val="0"/>
      <w:sz w:val="24"/>
      <w:szCs w:val="20"/>
      <w:lang w:eastAsia="ar-SA"/>
      <w14:ligatures w14:val="none"/>
    </w:rPr>
  </w:style>
  <w:style w:type="paragraph" w:styleId="Subtitle">
    <w:name w:val="Subtitle"/>
    <w:basedOn w:val="Normal"/>
    <w:next w:val="BodyText"/>
    <w:link w:val="SubtitleChar"/>
    <w:qFormat/>
    <w:rsid w:val="00FC1F07"/>
    <w:pPr>
      <w:widowControl w:val="0"/>
      <w:suppressAutoHyphens/>
      <w:autoSpaceDE w:val="0"/>
      <w:spacing w:after="60" w:line="480" w:lineRule="auto"/>
      <w:jc w:val="center"/>
    </w:pPr>
    <w:rPr>
      <w:rFonts w:ascii="Arial" w:eastAsia="Times New Roman" w:hAnsi="Arial" w:cs="Arial"/>
      <w:kern w:val="0"/>
      <w:sz w:val="24"/>
      <w:szCs w:val="24"/>
      <w:lang w:eastAsia="ar-SA"/>
      <w14:ligatures w14:val="none"/>
    </w:rPr>
  </w:style>
  <w:style w:type="character" w:customStyle="1" w:styleId="SubtitleChar">
    <w:name w:val="Subtitle Char"/>
    <w:basedOn w:val="DefaultParagraphFont"/>
    <w:link w:val="Subtitle"/>
    <w:rsid w:val="00FC1F07"/>
    <w:rPr>
      <w:rFonts w:ascii="Arial" w:eastAsia="Times New Roman" w:hAnsi="Arial" w:cs="Arial"/>
      <w:kern w:val="0"/>
      <w:sz w:val="24"/>
      <w:szCs w:val="24"/>
      <w:lang w:eastAsia="ar-SA"/>
      <w14:ligatures w14:val="none"/>
    </w:rPr>
  </w:style>
  <w:style w:type="paragraph" w:styleId="BodyTextIndent">
    <w:name w:val="Body Text Indent"/>
    <w:basedOn w:val="Normal"/>
    <w:link w:val="BodyTextIndentChar"/>
    <w:rsid w:val="00FC1F07"/>
    <w:pPr>
      <w:widowControl w:val="0"/>
      <w:suppressAutoHyphens/>
      <w:autoSpaceDE w:val="0"/>
      <w:spacing w:after="0" w:line="480" w:lineRule="atLeast"/>
      <w:ind w:firstLine="720"/>
    </w:pPr>
    <w:rPr>
      <w:rFonts w:ascii="Courier New" w:eastAsia="Times New Roman" w:hAnsi="Courier New" w:cs="Times New Roman"/>
      <w:kern w:val="0"/>
      <w:sz w:val="24"/>
      <w:szCs w:val="20"/>
      <w:lang w:eastAsia="ar-SA"/>
      <w14:ligatures w14:val="none"/>
    </w:rPr>
  </w:style>
  <w:style w:type="character" w:customStyle="1" w:styleId="BodyTextIndentChar">
    <w:name w:val="Body Text Indent Char"/>
    <w:basedOn w:val="DefaultParagraphFont"/>
    <w:link w:val="BodyTextIndent"/>
    <w:rsid w:val="00FC1F07"/>
    <w:rPr>
      <w:rFonts w:ascii="Courier New" w:eastAsia="Times New Roman" w:hAnsi="Courier New" w:cs="Times New Roman"/>
      <w:kern w:val="0"/>
      <w:sz w:val="24"/>
      <w:szCs w:val="20"/>
      <w:lang w:eastAsia="ar-SA"/>
      <w14:ligatures w14:val="none"/>
    </w:rPr>
  </w:style>
  <w:style w:type="paragraph" w:styleId="BalloonText">
    <w:name w:val="Balloon Text"/>
    <w:basedOn w:val="Normal"/>
    <w:link w:val="BalloonTextChar"/>
    <w:rsid w:val="00FC1F07"/>
    <w:pPr>
      <w:widowControl w:val="0"/>
      <w:suppressAutoHyphens/>
      <w:autoSpaceDE w:val="0"/>
      <w:spacing w:after="0" w:line="480" w:lineRule="auto"/>
    </w:pPr>
    <w:rPr>
      <w:rFonts w:ascii="Tahoma" w:eastAsia="Times New Roman" w:hAnsi="Tahoma" w:cs="Tahoma"/>
      <w:kern w:val="0"/>
      <w:sz w:val="16"/>
      <w:szCs w:val="16"/>
      <w:lang w:eastAsia="ar-SA"/>
      <w14:ligatures w14:val="none"/>
    </w:rPr>
  </w:style>
  <w:style w:type="character" w:customStyle="1" w:styleId="BalloonTextChar">
    <w:name w:val="Balloon Text Char"/>
    <w:basedOn w:val="DefaultParagraphFont"/>
    <w:link w:val="BalloonText"/>
    <w:rsid w:val="00FC1F07"/>
    <w:rPr>
      <w:rFonts w:ascii="Tahoma" w:eastAsia="Times New Roman" w:hAnsi="Tahoma" w:cs="Tahoma"/>
      <w:kern w:val="0"/>
      <w:sz w:val="16"/>
      <w:szCs w:val="16"/>
      <w:lang w:eastAsia="ar-SA"/>
      <w14:ligatures w14:val="none"/>
    </w:rPr>
  </w:style>
  <w:style w:type="paragraph" w:customStyle="1" w:styleId="Objectwitharrow">
    <w:name w:val="Object with arrow"/>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Objectwithshadow">
    <w:name w:val="Object with shadow"/>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Objectwithoutfill">
    <w:name w:val="Object without fill"/>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Text">
    <w:name w:val="Text"/>
    <w:basedOn w:val="Caption"/>
    <w:rsid w:val="00FC1F07"/>
    <w:pPr>
      <w:widowControl w:val="0"/>
      <w:suppressLineNumbers/>
      <w:suppressAutoHyphens/>
      <w:autoSpaceDE w:val="0"/>
      <w:spacing w:before="120" w:after="120" w:line="480" w:lineRule="auto"/>
    </w:pPr>
    <w:rPr>
      <w:rFonts w:ascii="Times New Roman" w:eastAsia="Times New Roman" w:hAnsi="Times New Roman" w:cs="Tahoma"/>
      <w:color w:val="auto"/>
      <w:kern w:val="0"/>
      <w:sz w:val="24"/>
      <w:szCs w:val="24"/>
      <w:lang w:eastAsia="ar-SA"/>
      <w14:ligatures w14:val="none"/>
    </w:rPr>
  </w:style>
  <w:style w:type="paragraph" w:customStyle="1" w:styleId="Textbodyjustified">
    <w:name w:val="Text body justified"/>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styleId="BodyTextFirstIndent">
    <w:name w:val="Body Text First Indent"/>
    <w:basedOn w:val="BodyText"/>
    <w:link w:val="BodyTextFirstIndentChar"/>
    <w:rsid w:val="00FC1F07"/>
    <w:pPr>
      <w:ind w:firstLine="283"/>
    </w:pPr>
  </w:style>
  <w:style w:type="character" w:customStyle="1" w:styleId="BodyTextFirstIndentChar">
    <w:name w:val="Body Text First Indent Char"/>
    <w:basedOn w:val="BodyTextChar"/>
    <w:link w:val="BodyTextFirstIndent"/>
    <w:rsid w:val="00FC1F07"/>
    <w:rPr>
      <w:rFonts w:ascii="Courier New" w:eastAsia="Times New Roman" w:hAnsi="Courier New" w:cs="Times New Roman"/>
      <w:kern w:val="0"/>
      <w:sz w:val="24"/>
      <w:szCs w:val="20"/>
      <w:lang w:eastAsia="ar-SA"/>
      <w14:ligatures w14:val="none"/>
    </w:rPr>
  </w:style>
  <w:style w:type="paragraph" w:customStyle="1" w:styleId="Title1">
    <w:name w:val="Title1"/>
    <w:basedOn w:val="Normal"/>
    <w:rsid w:val="00FC1F07"/>
    <w:pPr>
      <w:widowControl w:val="0"/>
      <w:suppressAutoHyphens/>
      <w:autoSpaceDE w:val="0"/>
      <w:spacing w:after="0" w:line="480" w:lineRule="auto"/>
      <w:jc w:val="center"/>
    </w:pPr>
    <w:rPr>
      <w:rFonts w:ascii="Times New Roman" w:eastAsia="Times New Roman" w:hAnsi="Times New Roman" w:cs="Times New Roman"/>
      <w:kern w:val="0"/>
      <w:sz w:val="24"/>
      <w:szCs w:val="20"/>
      <w:lang w:eastAsia="ar-SA"/>
      <w14:ligatures w14:val="none"/>
    </w:rPr>
  </w:style>
  <w:style w:type="paragraph" w:customStyle="1" w:styleId="Title2">
    <w:name w:val="Title2"/>
    <w:basedOn w:val="Normal"/>
    <w:rsid w:val="00FC1F07"/>
    <w:pPr>
      <w:widowControl w:val="0"/>
      <w:suppressAutoHyphens/>
      <w:autoSpaceDE w:val="0"/>
      <w:spacing w:before="57" w:after="57" w:line="480" w:lineRule="auto"/>
      <w:ind w:right="113"/>
      <w:jc w:val="center"/>
    </w:pPr>
    <w:rPr>
      <w:rFonts w:ascii="Times New Roman" w:eastAsia="Times New Roman" w:hAnsi="Times New Roman" w:cs="Times New Roman"/>
      <w:kern w:val="0"/>
      <w:sz w:val="24"/>
      <w:szCs w:val="20"/>
      <w:lang w:eastAsia="ar-SA"/>
      <w14:ligatures w14:val="none"/>
    </w:rPr>
  </w:style>
  <w:style w:type="paragraph" w:customStyle="1" w:styleId="Heading10">
    <w:name w:val="Heading1"/>
    <w:basedOn w:val="Normal"/>
    <w:rsid w:val="00FC1F07"/>
    <w:pPr>
      <w:widowControl w:val="0"/>
      <w:suppressAutoHyphens/>
      <w:autoSpaceDE w:val="0"/>
      <w:spacing w:before="238" w:after="119" w:line="480" w:lineRule="auto"/>
    </w:pPr>
    <w:rPr>
      <w:rFonts w:ascii="Times New Roman" w:eastAsia="Times New Roman" w:hAnsi="Times New Roman" w:cs="Times New Roman"/>
      <w:kern w:val="0"/>
      <w:sz w:val="24"/>
      <w:szCs w:val="20"/>
      <w:lang w:eastAsia="ar-SA"/>
      <w14:ligatures w14:val="none"/>
    </w:rPr>
  </w:style>
  <w:style w:type="paragraph" w:customStyle="1" w:styleId="Heading20">
    <w:name w:val="Heading2"/>
    <w:basedOn w:val="Normal"/>
    <w:rsid w:val="00FC1F07"/>
    <w:pPr>
      <w:widowControl w:val="0"/>
      <w:suppressAutoHyphens/>
      <w:autoSpaceDE w:val="0"/>
      <w:spacing w:before="238" w:after="119" w:line="480" w:lineRule="auto"/>
    </w:pPr>
    <w:rPr>
      <w:rFonts w:ascii="Times New Roman" w:eastAsia="Times New Roman" w:hAnsi="Times New Roman" w:cs="Times New Roman"/>
      <w:kern w:val="0"/>
      <w:sz w:val="24"/>
      <w:szCs w:val="20"/>
      <w:lang w:eastAsia="ar-SA"/>
      <w14:ligatures w14:val="none"/>
    </w:rPr>
  </w:style>
  <w:style w:type="paragraph" w:customStyle="1" w:styleId="DimensionLine">
    <w:name w:val="Dimension Line"/>
    <w:basedOn w:val="Normal"/>
    <w:rsid w:val="00FC1F07"/>
    <w:pPr>
      <w:widowControl w:val="0"/>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DefaultLTGliederung1">
    <w:name w:val="Default~LT~Gliederung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DefaultLTGliederung2">
    <w:name w:val="Default~LT~Gliederung 2"/>
    <w:basedOn w:val="DefaultLTGliederung1"/>
    <w:rsid w:val="00FC1F07"/>
    <w:pPr>
      <w:spacing w:after="227"/>
    </w:pPr>
    <w:rPr>
      <w:sz w:val="40"/>
      <w:szCs w:val="40"/>
    </w:rPr>
  </w:style>
  <w:style w:type="paragraph" w:customStyle="1" w:styleId="DefaultLTGliederung3">
    <w:name w:val="Default~LT~Gliederung 3"/>
    <w:basedOn w:val="DefaultLTGliederung2"/>
    <w:rsid w:val="00FC1F07"/>
    <w:pPr>
      <w:spacing w:after="170"/>
    </w:pPr>
  </w:style>
  <w:style w:type="paragraph" w:customStyle="1" w:styleId="DefaultLTGliederung4">
    <w:name w:val="Default~LT~Gliederung 4"/>
    <w:basedOn w:val="DefaultLTGliederung3"/>
    <w:rsid w:val="00FC1F07"/>
    <w:pPr>
      <w:spacing w:after="113"/>
    </w:pPr>
  </w:style>
  <w:style w:type="paragraph" w:customStyle="1" w:styleId="DefaultLTGliederung5">
    <w:name w:val="Default~LT~Gliederung 5"/>
    <w:basedOn w:val="DefaultLTGliederung4"/>
    <w:rsid w:val="00FC1F07"/>
    <w:pPr>
      <w:spacing w:after="57"/>
    </w:pPr>
  </w:style>
  <w:style w:type="paragraph" w:customStyle="1" w:styleId="DefaultLTGliederung6">
    <w:name w:val="Default~LT~Gliederung 6"/>
    <w:basedOn w:val="DefaultLTGliederung5"/>
    <w:rsid w:val="00FC1F07"/>
  </w:style>
  <w:style w:type="paragraph" w:customStyle="1" w:styleId="DefaultLTGliederung7">
    <w:name w:val="Default~LT~Gliederung 7"/>
    <w:basedOn w:val="DefaultLTGliederung6"/>
    <w:rsid w:val="00FC1F07"/>
  </w:style>
  <w:style w:type="paragraph" w:customStyle="1" w:styleId="DefaultLTGliederung8">
    <w:name w:val="Default~LT~Gliederung 8"/>
    <w:basedOn w:val="DefaultLTGliederung7"/>
    <w:rsid w:val="00FC1F07"/>
  </w:style>
  <w:style w:type="paragraph" w:customStyle="1" w:styleId="DefaultLTGliederung9">
    <w:name w:val="Default~LT~Gliederung 9"/>
    <w:basedOn w:val="DefaultLTGliederung8"/>
    <w:rsid w:val="00FC1F07"/>
  </w:style>
  <w:style w:type="paragraph" w:customStyle="1" w:styleId="DefaultLTTitel">
    <w:name w:val="Default~LT~Titel"/>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DefaultLTUntertitel">
    <w:name w:val="Default~LT~Untertitel"/>
    <w:rsid w:val="00FC1F07"/>
    <w:pPr>
      <w:widowControl w:val="0"/>
      <w:suppressAutoHyphens/>
      <w:autoSpaceDE w:val="0"/>
      <w:spacing w:after="0" w:line="240" w:lineRule="auto"/>
      <w:jc w:val="center"/>
    </w:pPr>
    <w:rPr>
      <w:rFonts w:ascii="Tahoma" w:eastAsia="Tahoma" w:hAnsi="Tahoma" w:cs="Times New Roman"/>
      <w:kern w:val="1"/>
      <w:sz w:val="64"/>
      <w:szCs w:val="64"/>
      <w:lang w:eastAsia="ar-SA"/>
      <w14:ligatures w14:val="none"/>
    </w:rPr>
  </w:style>
  <w:style w:type="paragraph" w:customStyle="1" w:styleId="DefaultLTNotizen">
    <w:name w:val="Default~LT~Notizen"/>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DefaultLTHintergrundobjekte">
    <w:name w:val="Default~LT~Hintergrundobjekte"/>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LTHintergrund">
    <w:name w:val="Default~LT~Hintergr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
    <w:name w:val="default"/>
    <w:rsid w:val="00FC1F07"/>
    <w:pPr>
      <w:widowControl w:val="0"/>
      <w:suppressAutoHyphens/>
      <w:autoSpaceDE w:val="0"/>
      <w:spacing w:after="0" w:line="200" w:lineRule="atLeast"/>
    </w:pPr>
    <w:rPr>
      <w:rFonts w:ascii="Tahoma" w:eastAsia="Tahoma" w:hAnsi="Tahoma" w:cs="Times New Roman"/>
      <w:kern w:val="1"/>
      <w:sz w:val="36"/>
      <w:szCs w:val="36"/>
      <w:lang w:eastAsia="ar-SA"/>
      <w14:ligatures w14:val="none"/>
    </w:rPr>
  </w:style>
  <w:style w:type="paragraph" w:customStyle="1" w:styleId="blue1">
    <w:name w:val="blue1"/>
    <w:basedOn w:val="default"/>
    <w:rsid w:val="00FC1F07"/>
  </w:style>
  <w:style w:type="paragraph" w:customStyle="1" w:styleId="blue2">
    <w:name w:val="blue2"/>
    <w:basedOn w:val="default"/>
    <w:rsid w:val="00FC1F07"/>
  </w:style>
  <w:style w:type="paragraph" w:customStyle="1" w:styleId="blue3">
    <w:name w:val="blue3"/>
    <w:basedOn w:val="default"/>
    <w:rsid w:val="00FC1F07"/>
  </w:style>
  <w:style w:type="paragraph" w:customStyle="1" w:styleId="bw1">
    <w:name w:val="bw1"/>
    <w:basedOn w:val="default"/>
    <w:rsid w:val="00FC1F07"/>
  </w:style>
  <w:style w:type="paragraph" w:customStyle="1" w:styleId="bw2">
    <w:name w:val="bw2"/>
    <w:basedOn w:val="default"/>
    <w:rsid w:val="00FC1F07"/>
  </w:style>
  <w:style w:type="paragraph" w:customStyle="1" w:styleId="bw3">
    <w:name w:val="bw3"/>
    <w:basedOn w:val="default"/>
    <w:rsid w:val="00FC1F07"/>
  </w:style>
  <w:style w:type="paragraph" w:customStyle="1" w:styleId="orange1">
    <w:name w:val="orange1"/>
    <w:basedOn w:val="default"/>
    <w:rsid w:val="00FC1F07"/>
  </w:style>
  <w:style w:type="paragraph" w:customStyle="1" w:styleId="orange2">
    <w:name w:val="orange2"/>
    <w:basedOn w:val="default"/>
    <w:rsid w:val="00FC1F07"/>
  </w:style>
  <w:style w:type="paragraph" w:customStyle="1" w:styleId="orange3">
    <w:name w:val="orange3"/>
    <w:basedOn w:val="default"/>
    <w:rsid w:val="00FC1F07"/>
  </w:style>
  <w:style w:type="paragraph" w:customStyle="1" w:styleId="turquise1">
    <w:name w:val="turquise1"/>
    <w:basedOn w:val="default"/>
    <w:rsid w:val="00FC1F07"/>
  </w:style>
  <w:style w:type="paragraph" w:customStyle="1" w:styleId="turquise2">
    <w:name w:val="turquise2"/>
    <w:basedOn w:val="default"/>
    <w:rsid w:val="00FC1F07"/>
  </w:style>
  <w:style w:type="paragraph" w:customStyle="1" w:styleId="turquise3">
    <w:name w:val="turquise3"/>
    <w:basedOn w:val="default"/>
    <w:rsid w:val="00FC1F07"/>
  </w:style>
  <w:style w:type="paragraph" w:customStyle="1" w:styleId="gray1">
    <w:name w:val="gray1"/>
    <w:basedOn w:val="default"/>
    <w:rsid w:val="00FC1F07"/>
  </w:style>
  <w:style w:type="paragraph" w:customStyle="1" w:styleId="gray2">
    <w:name w:val="gray2"/>
    <w:basedOn w:val="default"/>
    <w:rsid w:val="00FC1F07"/>
  </w:style>
  <w:style w:type="paragraph" w:customStyle="1" w:styleId="gray3">
    <w:name w:val="gray3"/>
    <w:basedOn w:val="default"/>
    <w:rsid w:val="00FC1F07"/>
  </w:style>
  <w:style w:type="paragraph" w:customStyle="1" w:styleId="sun1">
    <w:name w:val="sun1"/>
    <w:basedOn w:val="default"/>
    <w:rsid w:val="00FC1F07"/>
  </w:style>
  <w:style w:type="paragraph" w:customStyle="1" w:styleId="sun2">
    <w:name w:val="sun2"/>
    <w:basedOn w:val="default"/>
    <w:rsid w:val="00FC1F07"/>
  </w:style>
  <w:style w:type="paragraph" w:customStyle="1" w:styleId="sun3">
    <w:name w:val="sun3"/>
    <w:basedOn w:val="default"/>
    <w:rsid w:val="00FC1F07"/>
  </w:style>
  <w:style w:type="paragraph" w:customStyle="1" w:styleId="earth1">
    <w:name w:val="earth1"/>
    <w:basedOn w:val="default"/>
    <w:rsid w:val="00FC1F07"/>
  </w:style>
  <w:style w:type="paragraph" w:customStyle="1" w:styleId="earth2">
    <w:name w:val="earth2"/>
    <w:basedOn w:val="default"/>
    <w:rsid w:val="00FC1F07"/>
  </w:style>
  <w:style w:type="paragraph" w:customStyle="1" w:styleId="earth3">
    <w:name w:val="earth3"/>
    <w:basedOn w:val="default"/>
    <w:rsid w:val="00FC1F07"/>
  </w:style>
  <w:style w:type="paragraph" w:customStyle="1" w:styleId="green1">
    <w:name w:val="green1"/>
    <w:basedOn w:val="default"/>
    <w:rsid w:val="00FC1F07"/>
  </w:style>
  <w:style w:type="paragraph" w:customStyle="1" w:styleId="green2">
    <w:name w:val="green2"/>
    <w:basedOn w:val="default"/>
    <w:rsid w:val="00FC1F07"/>
  </w:style>
  <w:style w:type="paragraph" w:customStyle="1" w:styleId="green3">
    <w:name w:val="green3"/>
    <w:basedOn w:val="default"/>
    <w:rsid w:val="00FC1F07"/>
  </w:style>
  <w:style w:type="paragraph" w:customStyle="1" w:styleId="seetang1">
    <w:name w:val="seetang1"/>
    <w:basedOn w:val="default"/>
    <w:rsid w:val="00FC1F07"/>
  </w:style>
  <w:style w:type="paragraph" w:customStyle="1" w:styleId="seetang2">
    <w:name w:val="seetang2"/>
    <w:basedOn w:val="default"/>
    <w:rsid w:val="00FC1F07"/>
  </w:style>
  <w:style w:type="paragraph" w:customStyle="1" w:styleId="seetang3">
    <w:name w:val="seetang3"/>
    <w:basedOn w:val="default"/>
    <w:rsid w:val="00FC1F07"/>
  </w:style>
  <w:style w:type="paragraph" w:customStyle="1" w:styleId="lightblue1">
    <w:name w:val="lightblue1"/>
    <w:basedOn w:val="default"/>
    <w:rsid w:val="00FC1F07"/>
  </w:style>
  <w:style w:type="paragraph" w:customStyle="1" w:styleId="lightblue2">
    <w:name w:val="lightblue2"/>
    <w:basedOn w:val="default"/>
    <w:rsid w:val="00FC1F07"/>
  </w:style>
  <w:style w:type="paragraph" w:customStyle="1" w:styleId="lightblue3">
    <w:name w:val="lightblue3"/>
    <w:basedOn w:val="default"/>
    <w:rsid w:val="00FC1F07"/>
  </w:style>
  <w:style w:type="paragraph" w:customStyle="1" w:styleId="yellow1">
    <w:name w:val="yellow1"/>
    <w:basedOn w:val="default"/>
    <w:rsid w:val="00FC1F07"/>
  </w:style>
  <w:style w:type="paragraph" w:customStyle="1" w:styleId="yellow2">
    <w:name w:val="yellow2"/>
    <w:basedOn w:val="default"/>
    <w:rsid w:val="00FC1F07"/>
  </w:style>
  <w:style w:type="paragraph" w:customStyle="1" w:styleId="yellow3">
    <w:name w:val="yellow3"/>
    <w:basedOn w:val="default"/>
    <w:rsid w:val="00FC1F07"/>
  </w:style>
  <w:style w:type="paragraph" w:customStyle="1" w:styleId="WW-Title">
    <w:name w:val="WW-Title"/>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Backgroundobjects">
    <w:name w:val="Background objects"/>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Background">
    <w:name w:val="Backgro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Notes">
    <w:name w:val="Notes"/>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Outline1">
    <w:name w:val="Outline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Outline2">
    <w:name w:val="Outline 2"/>
    <w:basedOn w:val="Outline1"/>
    <w:rsid w:val="00FC1F07"/>
    <w:pPr>
      <w:spacing w:after="227"/>
    </w:pPr>
    <w:rPr>
      <w:sz w:val="40"/>
      <w:szCs w:val="40"/>
    </w:rPr>
  </w:style>
  <w:style w:type="paragraph" w:customStyle="1" w:styleId="Outline3">
    <w:name w:val="Outline 3"/>
    <w:basedOn w:val="Outline2"/>
    <w:rsid w:val="00FC1F07"/>
    <w:pPr>
      <w:spacing w:after="170"/>
    </w:pPr>
  </w:style>
  <w:style w:type="paragraph" w:customStyle="1" w:styleId="Outline4">
    <w:name w:val="Outline 4"/>
    <w:basedOn w:val="Outline3"/>
    <w:rsid w:val="00FC1F07"/>
    <w:pPr>
      <w:spacing w:after="113"/>
    </w:pPr>
  </w:style>
  <w:style w:type="paragraph" w:customStyle="1" w:styleId="Outline5">
    <w:name w:val="Outline 5"/>
    <w:basedOn w:val="Outline4"/>
    <w:rsid w:val="00FC1F07"/>
    <w:pPr>
      <w:spacing w:after="57"/>
    </w:pPr>
  </w:style>
  <w:style w:type="paragraph" w:customStyle="1" w:styleId="Outline6">
    <w:name w:val="Outline 6"/>
    <w:basedOn w:val="Outline5"/>
    <w:rsid w:val="00FC1F07"/>
  </w:style>
  <w:style w:type="paragraph" w:customStyle="1" w:styleId="Outline7">
    <w:name w:val="Outline 7"/>
    <w:basedOn w:val="Outline6"/>
    <w:rsid w:val="00FC1F07"/>
  </w:style>
  <w:style w:type="paragraph" w:customStyle="1" w:styleId="Outline8">
    <w:name w:val="Outline 8"/>
    <w:basedOn w:val="Outline7"/>
    <w:rsid w:val="00FC1F07"/>
  </w:style>
  <w:style w:type="paragraph" w:customStyle="1" w:styleId="Outline9">
    <w:name w:val="Outline 9"/>
    <w:basedOn w:val="Outline8"/>
    <w:rsid w:val="00FC1F07"/>
  </w:style>
  <w:style w:type="paragraph" w:customStyle="1" w:styleId="Default1LTGliederung1">
    <w:name w:val="Default 1~LT~Gliederung 1"/>
    <w:rsid w:val="00FC1F07"/>
    <w:pPr>
      <w:widowControl w:val="0"/>
      <w:suppressAutoHyphens/>
      <w:autoSpaceDE w:val="0"/>
      <w:spacing w:after="283" w:line="240" w:lineRule="auto"/>
    </w:pPr>
    <w:rPr>
      <w:rFonts w:ascii="Tahoma" w:eastAsia="Tahoma" w:hAnsi="Tahoma" w:cs="Times New Roman"/>
      <w:color w:val="000000"/>
      <w:kern w:val="1"/>
      <w:sz w:val="52"/>
      <w:szCs w:val="52"/>
      <w:lang w:eastAsia="ar-SA"/>
      <w14:ligatures w14:val="none"/>
    </w:rPr>
  </w:style>
  <w:style w:type="paragraph" w:customStyle="1" w:styleId="Default1LTGliederung2">
    <w:name w:val="Default 1~LT~Gliederung 2"/>
    <w:basedOn w:val="Default1LTGliederung1"/>
    <w:rsid w:val="00FC1F07"/>
    <w:pPr>
      <w:spacing w:after="227"/>
    </w:pPr>
    <w:rPr>
      <w:sz w:val="40"/>
      <w:szCs w:val="40"/>
    </w:rPr>
  </w:style>
  <w:style w:type="paragraph" w:customStyle="1" w:styleId="Default1LTGliederung3">
    <w:name w:val="Default 1~LT~Gliederung 3"/>
    <w:basedOn w:val="Default1LTGliederung2"/>
    <w:rsid w:val="00FC1F07"/>
    <w:pPr>
      <w:spacing w:after="170"/>
    </w:pPr>
  </w:style>
  <w:style w:type="paragraph" w:customStyle="1" w:styleId="Default1LTGliederung4">
    <w:name w:val="Default 1~LT~Gliederung 4"/>
    <w:basedOn w:val="Default1LTGliederung3"/>
    <w:rsid w:val="00FC1F07"/>
    <w:pPr>
      <w:spacing w:after="113"/>
    </w:pPr>
  </w:style>
  <w:style w:type="paragraph" w:customStyle="1" w:styleId="Default1LTGliederung5">
    <w:name w:val="Default 1~LT~Gliederung 5"/>
    <w:basedOn w:val="Default1LTGliederung4"/>
    <w:rsid w:val="00FC1F07"/>
    <w:pPr>
      <w:spacing w:after="57"/>
    </w:pPr>
  </w:style>
  <w:style w:type="paragraph" w:customStyle="1" w:styleId="Default1LTGliederung6">
    <w:name w:val="Default 1~LT~Gliederung 6"/>
    <w:basedOn w:val="Default1LTGliederung5"/>
    <w:rsid w:val="00FC1F07"/>
  </w:style>
  <w:style w:type="paragraph" w:customStyle="1" w:styleId="Default1LTGliederung7">
    <w:name w:val="Default 1~LT~Gliederung 7"/>
    <w:basedOn w:val="Default1LTGliederung6"/>
    <w:rsid w:val="00FC1F07"/>
  </w:style>
  <w:style w:type="paragraph" w:customStyle="1" w:styleId="Default1LTGliederung8">
    <w:name w:val="Default 1~LT~Gliederung 8"/>
    <w:basedOn w:val="Default1LTGliederung7"/>
    <w:rsid w:val="00FC1F07"/>
  </w:style>
  <w:style w:type="paragraph" w:customStyle="1" w:styleId="Default1LTGliederung9">
    <w:name w:val="Default 1~LT~Gliederung 9"/>
    <w:basedOn w:val="Default1LTGliederung8"/>
    <w:rsid w:val="00FC1F07"/>
  </w:style>
  <w:style w:type="paragraph" w:customStyle="1" w:styleId="Default1LTTitel">
    <w:name w:val="Default 1~LT~Titel"/>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Default1LTUntertitel">
    <w:name w:val="Default 1~LT~Untertitel"/>
    <w:rsid w:val="00FC1F07"/>
    <w:pPr>
      <w:widowControl w:val="0"/>
      <w:suppressAutoHyphens/>
      <w:autoSpaceDE w:val="0"/>
      <w:spacing w:after="0" w:line="240" w:lineRule="auto"/>
      <w:jc w:val="center"/>
    </w:pPr>
    <w:rPr>
      <w:rFonts w:ascii="Tahoma" w:eastAsia="Tahoma" w:hAnsi="Tahoma" w:cs="Times New Roman"/>
      <w:kern w:val="1"/>
      <w:sz w:val="64"/>
      <w:szCs w:val="64"/>
      <w:lang w:eastAsia="ar-SA"/>
      <w14:ligatures w14:val="none"/>
    </w:rPr>
  </w:style>
  <w:style w:type="paragraph" w:customStyle="1" w:styleId="Default1LTNotizen">
    <w:name w:val="Default 1~LT~Notizen"/>
    <w:rsid w:val="00FC1F07"/>
    <w:pPr>
      <w:widowControl w:val="0"/>
      <w:suppressAutoHyphens/>
      <w:autoSpaceDE w:val="0"/>
      <w:spacing w:after="0" w:line="240" w:lineRule="auto"/>
      <w:ind w:left="340" w:hanging="340"/>
    </w:pPr>
    <w:rPr>
      <w:rFonts w:ascii="Tahoma" w:eastAsia="Tahoma" w:hAnsi="Tahoma" w:cs="Times New Roman"/>
      <w:kern w:val="1"/>
      <w:sz w:val="40"/>
      <w:szCs w:val="40"/>
      <w:lang w:eastAsia="ar-SA"/>
      <w14:ligatures w14:val="none"/>
    </w:rPr>
  </w:style>
  <w:style w:type="paragraph" w:customStyle="1" w:styleId="Default1LTHintergrundobjekte">
    <w:name w:val="Default 1~LT~Hintergrundobjekte"/>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Default1LTHintergrund">
    <w:name w:val="Default 1~LT~Hintergrund"/>
    <w:rsid w:val="00FC1F07"/>
    <w:pPr>
      <w:widowControl w:val="0"/>
      <w:suppressAutoHyphens/>
      <w:autoSpaceDE w:val="0"/>
      <w:spacing w:after="0" w:line="240" w:lineRule="auto"/>
    </w:pPr>
    <w:rPr>
      <w:rFonts w:ascii="Times New Roman" w:eastAsia="Arial Unicode MS" w:hAnsi="Times New Roman" w:cs="Times New Roman"/>
      <w:kern w:val="1"/>
      <w:sz w:val="24"/>
      <w:szCs w:val="24"/>
      <w:lang w:eastAsia="ar-SA"/>
      <w14:ligatures w14:val="none"/>
    </w:rPr>
  </w:style>
  <w:style w:type="paragraph" w:customStyle="1" w:styleId="WW-Title1">
    <w:name w:val="WW-Title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
    <w:name w:val="WW-Title1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
    <w:name w:val="WW-Title12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
    <w:name w:val="WW-Title123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TableContents">
    <w:name w:val="Table Contents"/>
    <w:basedOn w:val="Normal"/>
    <w:rsid w:val="00FC1F07"/>
    <w:pPr>
      <w:widowControl w:val="0"/>
      <w:suppressLineNumbers/>
      <w:suppressAutoHyphens/>
      <w:autoSpaceDE w:val="0"/>
      <w:spacing w:after="0" w:line="480" w:lineRule="auto"/>
    </w:pPr>
    <w:rPr>
      <w:rFonts w:ascii="Times New Roman" w:eastAsia="Times New Roman" w:hAnsi="Times New Roman" w:cs="Times New Roman"/>
      <w:kern w:val="0"/>
      <w:sz w:val="24"/>
      <w:szCs w:val="20"/>
      <w:lang w:eastAsia="ar-SA"/>
      <w14:ligatures w14:val="none"/>
    </w:rPr>
  </w:style>
  <w:style w:type="paragraph" w:customStyle="1" w:styleId="TableHeading">
    <w:name w:val="Table Heading"/>
    <w:basedOn w:val="TableContents"/>
    <w:rsid w:val="00FC1F07"/>
    <w:pPr>
      <w:jc w:val="center"/>
    </w:pPr>
    <w:rPr>
      <w:b/>
      <w:bCs/>
    </w:rPr>
  </w:style>
  <w:style w:type="paragraph" w:customStyle="1" w:styleId="WW-Title12345">
    <w:name w:val="WW-Title1234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
    <w:name w:val="WW-Title12345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
    <w:name w:val="WW-Title123456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
    <w:name w:val="WW-Title1234567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
    <w:name w:val="WW-Title12345678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
    <w:name w:val="WW-Title1234567891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
    <w:name w:val="WW-Title123456789101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
    <w:name w:val="WW-Title12345678910111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
    <w:name w:val="WW-Title1234567891011121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
    <w:name w:val="WW-Title123456789101112131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
    <w:name w:val="WW-Title12345678910111213141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
    <w:name w:val="WW-Title1234567891011121314151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
    <w:name w:val="WW-Title123456789101112131415161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
    <w:name w:val="WW-Title12345678910111213141516171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
    <w:name w:val="WW-Title1234567891011121314151617181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
    <w:name w:val="WW-Title123456789101112131415161718192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
    <w:name w:val="WW-Title12345678910111213141516171819202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
    <w:name w:val="WW-Title1234567891011121314151617181920212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
    <w:name w:val="WW-Title123456789101112131415161718192021222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
    <w:name w:val="WW-Title12345678910111213141516171819202122232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
    <w:name w:val="WW-Title1234567891011121314151617181920212223242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
    <w:name w:val="WW-Title123456789101112131415161718192021222324252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
    <w:name w:val="WW-Title12345678910111213141516171819202122232425262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
    <w:name w:val="WW-Title1234567891011121314151617181920212223242526272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
    <w:name w:val="WW-Title123456789101112131415161718192021222324252627282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
    <w:name w:val="WW-Title12345678910111213141516171819202122232425262728293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
    <w:name w:val="WW-Title1234567891011121314151617181920212223242526272829303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
    <w:name w:val="WW-Title123456789101112131415161718192021222324252627282930313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
    <w:name w:val="WW-Title12345678910111213141516171819202122232425262728293031323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
    <w:name w:val="WW-Title12345678910111213141516171819202122232425262728293031323334"/>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
    <w:name w:val="WW-Title1234567891011121314151617181920212223242526272829303132333435"/>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
    <w:name w:val="WW-Title123456789101112131415161718192021222324252627282930313233343536"/>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
    <w:name w:val="WW-Title12345678910111213141516171819202122232425262728293031323334353637"/>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
    <w:name w:val="WW-Title1234567891011121314151617181920212223242526272829303132333435363738"/>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
    <w:name w:val="WW-Title123456789101112131415161718192021222324252627282930313233343536373839"/>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
    <w:name w:val="WW-Title12345678910111213141516171819202122232425262728293031323334353637383940"/>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
    <w:name w:val="WW-Title1234567891011121314151617181920212223242526272829303132333435363738394041"/>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42">
    <w:name w:val="WW-Title123456789101112131415161718192021222324252627282930313233343536373839404142"/>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customStyle="1" w:styleId="WW-Title12345678910111213141516171819202122232425262728293031323334353637383940414243">
    <w:name w:val="WW-Title12345678910111213141516171819202122232425262728293031323334353637383940414243"/>
    <w:rsid w:val="00FC1F07"/>
    <w:pPr>
      <w:widowControl w:val="0"/>
      <w:suppressAutoHyphens/>
      <w:autoSpaceDE w:val="0"/>
      <w:spacing w:after="0" w:line="240" w:lineRule="auto"/>
    </w:pPr>
    <w:rPr>
      <w:rFonts w:ascii="Tahoma" w:eastAsia="Tahoma" w:hAnsi="Tahoma" w:cs="Times New Roman"/>
      <w:color w:val="000000"/>
      <w:kern w:val="1"/>
      <w:sz w:val="48"/>
      <w:szCs w:val="48"/>
      <w:lang w:eastAsia="ar-SA"/>
      <w14:ligatures w14:val="none"/>
    </w:rPr>
  </w:style>
  <w:style w:type="paragraph" w:styleId="CommentText">
    <w:name w:val="annotation text"/>
    <w:basedOn w:val="Normal"/>
    <w:link w:val="CommentTextChar"/>
    <w:uiPriority w:val="99"/>
    <w:unhideWhenUsed/>
    <w:rsid w:val="00FC1F07"/>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CommentTextChar">
    <w:name w:val="Comment Text Char"/>
    <w:basedOn w:val="DefaultParagraphFont"/>
    <w:link w:val="CommentText"/>
    <w:uiPriority w:val="99"/>
    <w:rsid w:val="00FC1F07"/>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FC1F07"/>
    <w:rPr>
      <w:b/>
      <w:bCs/>
    </w:rPr>
  </w:style>
  <w:style w:type="character" w:customStyle="1" w:styleId="CommentSubjectChar">
    <w:name w:val="Comment Subject Char"/>
    <w:basedOn w:val="CommentTextChar"/>
    <w:link w:val="CommentSubject"/>
    <w:uiPriority w:val="99"/>
    <w:semiHidden/>
    <w:rsid w:val="00FC1F07"/>
    <w:rPr>
      <w:rFonts w:ascii="Times New Roman" w:eastAsia="Times New Roman" w:hAnsi="Times New Roman" w:cs="Times New Roman"/>
      <w:b/>
      <w:bCs/>
      <w:kern w:val="0"/>
      <w:sz w:val="20"/>
      <w:szCs w:val="20"/>
      <w:lang w:eastAsia="ar-SA"/>
      <w14:ligatures w14:val="none"/>
    </w:rPr>
  </w:style>
  <w:style w:type="paragraph" w:styleId="Revision">
    <w:name w:val="Revision"/>
    <w:hidden/>
    <w:uiPriority w:val="99"/>
    <w:semiHidden/>
    <w:rsid w:val="00FC1F07"/>
    <w:pPr>
      <w:spacing w:after="0" w:line="240" w:lineRule="auto"/>
    </w:pPr>
    <w:rPr>
      <w:rFonts w:ascii="Times New Roman" w:eastAsia="Times New Roman" w:hAnsi="Times New Roman" w:cs="Times New Roman"/>
      <w:kern w:val="0"/>
      <w:sz w:val="24"/>
      <w:szCs w:val="20"/>
      <w:lang w:eastAsia="ar-SA"/>
      <w14:ligatures w14:val="none"/>
    </w:rPr>
  </w:style>
  <w:style w:type="character" w:customStyle="1" w:styleId="FootnoteTextChar1">
    <w:name w:val="Footnote Text Char1"/>
    <w:basedOn w:val="DefaultParagraphFont"/>
    <w:uiPriority w:val="99"/>
    <w:semiHidden/>
    <w:rsid w:val="00FC1F07"/>
    <w:rPr>
      <w:sz w:val="24"/>
      <w:szCs w:val="24"/>
      <w:lang w:eastAsia="ar-SA"/>
    </w:rPr>
  </w:style>
  <w:style w:type="character" w:styleId="SubtleEmphasis">
    <w:name w:val="Subtle Emphasis"/>
    <w:basedOn w:val="DefaultParagraphFont"/>
    <w:uiPriority w:val="19"/>
    <w:qFormat/>
    <w:rsid w:val="00FC1F07"/>
    <w:rPr>
      <w:i/>
      <w:iCs/>
      <w:color w:val="404040" w:themeColor="text1" w:themeTint="BF"/>
    </w:rPr>
  </w:style>
  <w:style w:type="character" w:customStyle="1" w:styleId="Heading1Char">
    <w:name w:val="Heading 1 Char"/>
    <w:basedOn w:val="DefaultParagraphFont"/>
    <w:link w:val="Heading1"/>
    <w:uiPriority w:val="9"/>
    <w:rsid w:val="00945C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13CD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13CD3"/>
    <w:rPr>
      <w:i/>
      <w:iCs/>
    </w:rPr>
  </w:style>
  <w:style w:type="paragraph" w:customStyle="1" w:styleId="SectionTitle">
    <w:name w:val="Section Title"/>
    <w:basedOn w:val="Normal"/>
    <w:next w:val="Normal"/>
    <w:uiPriority w:val="12"/>
    <w:qFormat/>
    <w:rsid w:val="00A13CD3"/>
    <w:pPr>
      <w:spacing w:after="0" w:line="480" w:lineRule="auto"/>
      <w:jc w:val="center"/>
    </w:pPr>
    <w:rPr>
      <w:b/>
      <w:bCs/>
      <w:kern w:val="0"/>
      <w14:ligatures w14:val="none"/>
    </w:rPr>
  </w:style>
  <w:style w:type="character" w:styleId="Strong">
    <w:name w:val="Strong"/>
    <w:basedOn w:val="DefaultParagraphFont"/>
    <w:uiPriority w:val="22"/>
    <w:qFormat/>
    <w:rsid w:val="00A13CD3"/>
    <w:rPr>
      <w:b/>
      <w:bCs/>
    </w:rPr>
  </w:style>
  <w:style w:type="paragraph" w:customStyle="1" w:styleId="NoIndent">
    <w:name w:val="No Indent"/>
    <w:basedOn w:val="Normal"/>
    <w:qFormat/>
    <w:rsid w:val="00A13CD3"/>
    <w:pPr>
      <w:spacing w:after="0" w:line="480" w:lineRule="auto"/>
    </w:pPr>
    <w:rPr>
      <w:kern w:val="0"/>
      <w14:ligatures w14:val="none"/>
    </w:rPr>
  </w:style>
  <w:style w:type="paragraph" w:styleId="TOCHeading">
    <w:name w:val="TOC Heading"/>
    <w:basedOn w:val="Heading1"/>
    <w:next w:val="Normal"/>
    <w:uiPriority w:val="39"/>
    <w:unhideWhenUsed/>
    <w:qFormat/>
    <w:rsid w:val="00A13CD3"/>
    <w:pPr>
      <w:outlineLvl w:val="9"/>
    </w:pPr>
    <w:rPr>
      <w:kern w:val="0"/>
      <w14:ligatures w14:val="none"/>
    </w:rPr>
  </w:style>
  <w:style w:type="paragraph" w:styleId="TOC1">
    <w:name w:val="toc 1"/>
    <w:basedOn w:val="Normal"/>
    <w:next w:val="Normal"/>
    <w:autoRedefine/>
    <w:uiPriority w:val="39"/>
    <w:unhideWhenUsed/>
    <w:rsid w:val="002E2336"/>
    <w:pPr>
      <w:spacing w:after="0" w:line="360" w:lineRule="auto"/>
      <w:ind w:firstLine="720"/>
    </w:pPr>
    <w:rPr>
      <w:kern w:val="0"/>
      <w14:ligatures w14:val="none"/>
    </w:rPr>
  </w:style>
  <w:style w:type="paragraph" w:styleId="TOC2">
    <w:name w:val="toc 2"/>
    <w:basedOn w:val="Normal"/>
    <w:next w:val="Normal"/>
    <w:autoRedefine/>
    <w:uiPriority w:val="39"/>
    <w:unhideWhenUsed/>
    <w:rsid w:val="002E2336"/>
    <w:pPr>
      <w:tabs>
        <w:tab w:val="right" w:leader="dot" w:pos="9350"/>
      </w:tabs>
      <w:spacing w:after="0" w:line="360" w:lineRule="auto"/>
      <w:ind w:left="216" w:firstLine="720"/>
    </w:pPr>
    <w:rPr>
      <w:kern w:val="0"/>
      <w14:ligatures w14:val="none"/>
    </w:rPr>
  </w:style>
  <w:style w:type="paragraph" w:styleId="TOC3">
    <w:name w:val="toc 3"/>
    <w:basedOn w:val="Normal"/>
    <w:next w:val="Normal"/>
    <w:autoRedefine/>
    <w:uiPriority w:val="39"/>
    <w:unhideWhenUsed/>
    <w:rsid w:val="002E2336"/>
    <w:pPr>
      <w:spacing w:after="0" w:line="360" w:lineRule="auto"/>
      <w:ind w:left="446" w:firstLine="720"/>
    </w:pPr>
    <w:rPr>
      <w:kern w:val="0"/>
      <w14:ligatures w14:val="none"/>
    </w:rPr>
  </w:style>
  <w:style w:type="character" w:customStyle="1" w:styleId="Heading3Char">
    <w:name w:val="Heading 3 Char"/>
    <w:basedOn w:val="DefaultParagraphFont"/>
    <w:link w:val="Heading3"/>
    <w:uiPriority w:val="9"/>
    <w:rsid w:val="00BE3A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564">
      <w:bodyDiv w:val="1"/>
      <w:marLeft w:val="0"/>
      <w:marRight w:val="0"/>
      <w:marTop w:val="0"/>
      <w:marBottom w:val="0"/>
      <w:divBdr>
        <w:top w:val="none" w:sz="0" w:space="0" w:color="auto"/>
        <w:left w:val="none" w:sz="0" w:space="0" w:color="auto"/>
        <w:bottom w:val="none" w:sz="0" w:space="0" w:color="auto"/>
        <w:right w:val="none" w:sz="0" w:space="0" w:color="auto"/>
      </w:divBdr>
    </w:div>
    <w:div w:id="114954439">
      <w:bodyDiv w:val="1"/>
      <w:marLeft w:val="0"/>
      <w:marRight w:val="0"/>
      <w:marTop w:val="0"/>
      <w:marBottom w:val="0"/>
      <w:divBdr>
        <w:top w:val="none" w:sz="0" w:space="0" w:color="auto"/>
        <w:left w:val="none" w:sz="0" w:space="0" w:color="auto"/>
        <w:bottom w:val="none" w:sz="0" w:space="0" w:color="auto"/>
        <w:right w:val="none" w:sz="0" w:space="0" w:color="auto"/>
      </w:divBdr>
    </w:div>
    <w:div w:id="664209792">
      <w:bodyDiv w:val="1"/>
      <w:marLeft w:val="0"/>
      <w:marRight w:val="0"/>
      <w:marTop w:val="0"/>
      <w:marBottom w:val="0"/>
      <w:divBdr>
        <w:top w:val="none" w:sz="0" w:space="0" w:color="auto"/>
        <w:left w:val="none" w:sz="0" w:space="0" w:color="auto"/>
        <w:bottom w:val="none" w:sz="0" w:space="0" w:color="auto"/>
        <w:right w:val="none" w:sz="0" w:space="0" w:color="auto"/>
      </w:divBdr>
      <w:divsChild>
        <w:div w:id="1769228857">
          <w:marLeft w:val="0"/>
          <w:marRight w:val="0"/>
          <w:marTop w:val="0"/>
          <w:marBottom w:val="0"/>
          <w:divBdr>
            <w:top w:val="none" w:sz="0" w:space="0" w:color="auto"/>
            <w:left w:val="none" w:sz="0" w:space="0" w:color="auto"/>
            <w:bottom w:val="none" w:sz="0" w:space="0" w:color="auto"/>
            <w:right w:val="none" w:sz="0" w:space="0" w:color="auto"/>
          </w:divBdr>
          <w:divsChild>
            <w:div w:id="1796832444">
              <w:marLeft w:val="0"/>
              <w:marRight w:val="0"/>
              <w:marTop w:val="0"/>
              <w:marBottom w:val="0"/>
              <w:divBdr>
                <w:top w:val="none" w:sz="0" w:space="0" w:color="auto"/>
                <w:left w:val="none" w:sz="0" w:space="0" w:color="auto"/>
                <w:bottom w:val="none" w:sz="0" w:space="0" w:color="auto"/>
                <w:right w:val="none" w:sz="0" w:space="0" w:color="auto"/>
              </w:divBdr>
              <w:divsChild>
                <w:div w:id="650058543">
                  <w:marLeft w:val="0"/>
                  <w:marRight w:val="0"/>
                  <w:marTop w:val="0"/>
                  <w:marBottom w:val="0"/>
                  <w:divBdr>
                    <w:top w:val="none" w:sz="0" w:space="0" w:color="auto"/>
                    <w:left w:val="none" w:sz="0" w:space="0" w:color="auto"/>
                    <w:bottom w:val="none" w:sz="0" w:space="0" w:color="auto"/>
                    <w:right w:val="none" w:sz="0" w:space="0" w:color="auto"/>
                  </w:divBdr>
                  <w:divsChild>
                    <w:div w:id="14859746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16718797">
          <w:marLeft w:val="180"/>
          <w:marRight w:val="180"/>
          <w:marTop w:val="0"/>
          <w:marBottom w:val="0"/>
          <w:divBdr>
            <w:top w:val="none" w:sz="0" w:space="0" w:color="auto"/>
            <w:left w:val="none" w:sz="0" w:space="0" w:color="auto"/>
            <w:bottom w:val="none" w:sz="0" w:space="0" w:color="auto"/>
            <w:right w:val="none" w:sz="0" w:space="0" w:color="auto"/>
          </w:divBdr>
          <w:divsChild>
            <w:div w:id="140119332">
              <w:marLeft w:val="0"/>
              <w:marRight w:val="0"/>
              <w:marTop w:val="0"/>
              <w:marBottom w:val="0"/>
              <w:divBdr>
                <w:top w:val="none" w:sz="0" w:space="0" w:color="auto"/>
                <w:left w:val="none" w:sz="0" w:space="0" w:color="auto"/>
                <w:bottom w:val="none" w:sz="0" w:space="0" w:color="auto"/>
                <w:right w:val="none" w:sz="0" w:space="0" w:color="auto"/>
              </w:divBdr>
              <w:divsChild>
                <w:div w:id="772408194">
                  <w:marLeft w:val="0"/>
                  <w:marRight w:val="0"/>
                  <w:marTop w:val="0"/>
                  <w:marBottom w:val="0"/>
                  <w:divBdr>
                    <w:top w:val="none" w:sz="0" w:space="0" w:color="auto"/>
                    <w:left w:val="none" w:sz="0" w:space="0" w:color="auto"/>
                    <w:bottom w:val="none" w:sz="0" w:space="0" w:color="auto"/>
                    <w:right w:val="none" w:sz="0" w:space="0" w:color="auto"/>
                  </w:divBdr>
                  <w:divsChild>
                    <w:div w:id="201139437">
                      <w:marLeft w:val="0"/>
                      <w:marRight w:val="0"/>
                      <w:marTop w:val="0"/>
                      <w:marBottom w:val="0"/>
                      <w:divBdr>
                        <w:top w:val="none" w:sz="0" w:space="0" w:color="auto"/>
                        <w:left w:val="none" w:sz="0" w:space="0" w:color="auto"/>
                        <w:bottom w:val="none" w:sz="0" w:space="0" w:color="auto"/>
                        <w:right w:val="none" w:sz="0" w:space="0" w:color="auto"/>
                      </w:divBdr>
                      <w:divsChild>
                        <w:div w:id="679116402">
                          <w:marLeft w:val="0"/>
                          <w:marRight w:val="0"/>
                          <w:marTop w:val="0"/>
                          <w:marBottom w:val="0"/>
                          <w:divBdr>
                            <w:top w:val="none" w:sz="0" w:space="0" w:color="auto"/>
                            <w:left w:val="none" w:sz="0" w:space="0" w:color="auto"/>
                            <w:bottom w:val="none" w:sz="0" w:space="0" w:color="auto"/>
                            <w:right w:val="none" w:sz="0" w:space="0" w:color="auto"/>
                          </w:divBdr>
                          <w:divsChild>
                            <w:div w:id="480587233">
                              <w:marLeft w:val="0"/>
                              <w:marRight w:val="0"/>
                              <w:marTop w:val="0"/>
                              <w:marBottom w:val="0"/>
                              <w:divBdr>
                                <w:top w:val="single" w:sz="2" w:space="0" w:color="auto"/>
                                <w:left w:val="single" w:sz="2" w:space="0" w:color="auto"/>
                                <w:bottom w:val="single" w:sz="2" w:space="0" w:color="auto"/>
                                <w:right w:val="single" w:sz="2" w:space="0" w:color="auto"/>
                              </w:divBdr>
                              <w:divsChild>
                                <w:div w:id="941187373">
                                  <w:marLeft w:val="-60"/>
                                  <w:marRight w:val="-60"/>
                                  <w:marTop w:val="0"/>
                                  <w:marBottom w:val="0"/>
                                  <w:divBdr>
                                    <w:top w:val="none" w:sz="0" w:space="0" w:color="auto"/>
                                    <w:left w:val="none" w:sz="0" w:space="0" w:color="auto"/>
                                    <w:bottom w:val="none" w:sz="0" w:space="0" w:color="auto"/>
                                    <w:right w:val="none" w:sz="0" w:space="0" w:color="auto"/>
                                  </w:divBdr>
                                  <w:divsChild>
                                    <w:div w:id="390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2463">
                              <w:marLeft w:val="0"/>
                              <w:marRight w:val="0"/>
                              <w:marTop w:val="0"/>
                              <w:marBottom w:val="0"/>
                              <w:divBdr>
                                <w:top w:val="single" w:sz="2" w:space="0" w:color="auto"/>
                                <w:left w:val="single" w:sz="2" w:space="0" w:color="auto"/>
                                <w:bottom w:val="single" w:sz="2" w:space="0" w:color="auto"/>
                                <w:right w:val="single" w:sz="2" w:space="0" w:color="auto"/>
                              </w:divBdr>
                              <w:divsChild>
                                <w:div w:id="915212274">
                                  <w:marLeft w:val="-60"/>
                                  <w:marRight w:val="-60"/>
                                  <w:marTop w:val="0"/>
                                  <w:marBottom w:val="0"/>
                                  <w:divBdr>
                                    <w:top w:val="none" w:sz="0" w:space="0" w:color="auto"/>
                                    <w:left w:val="none" w:sz="0" w:space="0" w:color="auto"/>
                                    <w:bottom w:val="none" w:sz="0" w:space="0" w:color="auto"/>
                                    <w:right w:val="none" w:sz="0" w:space="0" w:color="auto"/>
                                  </w:divBdr>
                                  <w:divsChild>
                                    <w:div w:id="96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0605">
                              <w:marLeft w:val="0"/>
                              <w:marRight w:val="0"/>
                              <w:marTop w:val="0"/>
                              <w:marBottom w:val="0"/>
                              <w:divBdr>
                                <w:top w:val="single" w:sz="2" w:space="0" w:color="auto"/>
                                <w:left w:val="single" w:sz="2" w:space="0" w:color="auto"/>
                                <w:bottom w:val="single" w:sz="2" w:space="0" w:color="auto"/>
                                <w:right w:val="single" w:sz="2" w:space="0" w:color="auto"/>
                              </w:divBdr>
                              <w:divsChild>
                                <w:div w:id="607352736">
                                  <w:marLeft w:val="-60"/>
                                  <w:marRight w:val="-60"/>
                                  <w:marTop w:val="0"/>
                                  <w:marBottom w:val="0"/>
                                  <w:divBdr>
                                    <w:top w:val="none" w:sz="0" w:space="0" w:color="auto"/>
                                    <w:left w:val="none" w:sz="0" w:space="0" w:color="auto"/>
                                    <w:bottom w:val="none" w:sz="0" w:space="0" w:color="auto"/>
                                    <w:right w:val="none" w:sz="0" w:space="0" w:color="auto"/>
                                  </w:divBdr>
                                  <w:divsChild>
                                    <w:div w:id="18403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39251">
                      <w:marLeft w:val="0"/>
                      <w:marRight w:val="0"/>
                      <w:marTop w:val="0"/>
                      <w:marBottom w:val="0"/>
                      <w:divBdr>
                        <w:top w:val="none" w:sz="0" w:space="0" w:color="auto"/>
                        <w:left w:val="none" w:sz="0" w:space="0" w:color="auto"/>
                        <w:bottom w:val="none" w:sz="0" w:space="0" w:color="auto"/>
                        <w:right w:val="none" w:sz="0" w:space="0" w:color="auto"/>
                      </w:divBdr>
                      <w:divsChild>
                        <w:div w:id="1160735178">
                          <w:marLeft w:val="0"/>
                          <w:marRight w:val="0"/>
                          <w:marTop w:val="0"/>
                          <w:marBottom w:val="0"/>
                          <w:divBdr>
                            <w:top w:val="none" w:sz="0" w:space="0" w:color="auto"/>
                            <w:left w:val="none" w:sz="0" w:space="0" w:color="auto"/>
                            <w:bottom w:val="none" w:sz="0" w:space="0" w:color="auto"/>
                            <w:right w:val="none" w:sz="0" w:space="0" w:color="auto"/>
                          </w:divBdr>
                          <w:divsChild>
                            <w:div w:id="710229183">
                              <w:marLeft w:val="0"/>
                              <w:marRight w:val="0"/>
                              <w:marTop w:val="0"/>
                              <w:marBottom w:val="0"/>
                              <w:divBdr>
                                <w:top w:val="none" w:sz="0" w:space="0" w:color="auto"/>
                                <w:left w:val="none" w:sz="0" w:space="0" w:color="auto"/>
                                <w:bottom w:val="none" w:sz="0" w:space="0" w:color="auto"/>
                                <w:right w:val="none" w:sz="0" w:space="0" w:color="auto"/>
                              </w:divBdr>
                              <w:divsChild>
                                <w:div w:id="710492213">
                                  <w:marLeft w:val="0"/>
                                  <w:marRight w:val="0"/>
                                  <w:marTop w:val="0"/>
                                  <w:marBottom w:val="0"/>
                                  <w:divBdr>
                                    <w:top w:val="single" w:sz="2" w:space="0" w:color="auto"/>
                                    <w:left w:val="single" w:sz="2" w:space="0" w:color="auto"/>
                                    <w:bottom w:val="single" w:sz="2" w:space="0" w:color="auto"/>
                                    <w:right w:val="single" w:sz="2" w:space="0" w:color="auto"/>
                                  </w:divBdr>
                                </w:div>
                                <w:div w:id="1491408940">
                                  <w:marLeft w:val="0"/>
                                  <w:marRight w:val="0"/>
                                  <w:marTop w:val="0"/>
                                  <w:marBottom w:val="0"/>
                                  <w:divBdr>
                                    <w:top w:val="single" w:sz="2" w:space="0" w:color="auto"/>
                                    <w:left w:val="single" w:sz="2" w:space="0" w:color="auto"/>
                                    <w:bottom w:val="single" w:sz="2" w:space="0" w:color="auto"/>
                                    <w:right w:val="single" w:sz="2" w:space="0" w:color="auto"/>
                                  </w:divBdr>
                                </w:div>
                                <w:div w:id="16468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00679">
      <w:bodyDiv w:val="1"/>
      <w:marLeft w:val="0"/>
      <w:marRight w:val="0"/>
      <w:marTop w:val="0"/>
      <w:marBottom w:val="0"/>
      <w:divBdr>
        <w:top w:val="none" w:sz="0" w:space="0" w:color="auto"/>
        <w:left w:val="none" w:sz="0" w:space="0" w:color="auto"/>
        <w:bottom w:val="none" w:sz="0" w:space="0" w:color="auto"/>
        <w:right w:val="none" w:sz="0" w:space="0" w:color="auto"/>
      </w:divBdr>
    </w:div>
    <w:div w:id="759566590">
      <w:bodyDiv w:val="1"/>
      <w:marLeft w:val="0"/>
      <w:marRight w:val="0"/>
      <w:marTop w:val="0"/>
      <w:marBottom w:val="0"/>
      <w:divBdr>
        <w:top w:val="none" w:sz="0" w:space="0" w:color="auto"/>
        <w:left w:val="none" w:sz="0" w:space="0" w:color="auto"/>
        <w:bottom w:val="none" w:sz="0" w:space="0" w:color="auto"/>
        <w:right w:val="none" w:sz="0" w:space="0" w:color="auto"/>
      </w:divBdr>
    </w:div>
    <w:div w:id="785929737">
      <w:bodyDiv w:val="1"/>
      <w:marLeft w:val="0"/>
      <w:marRight w:val="0"/>
      <w:marTop w:val="0"/>
      <w:marBottom w:val="0"/>
      <w:divBdr>
        <w:top w:val="none" w:sz="0" w:space="0" w:color="auto"/>
        <w:left w:val="none" w:sz="0" w:space="0" w:color="auto"/>
        <w:bottom w:val="none" w:sz="0" w:space="0" w:color="auto"/>
        <w:right w:val="none" w:sz="0" w:space="0" w:color="auto"/>
      </w:divBdr>
    </w:div>
    <w:div w:id="808018848">
      <w:bodyDiv w:val="1"/>
      <w:marLeft w:val="0"/>
      <w:marRight w:val="0"/>
      <w:marTop w:val="0"/>
      <w:marBottom w:val="0"/>
      <w:divBdr>
        <w:top w:val="none" w:sz="0" w:space="0" w:color="auto"/>
        <w:left w:val="none" w:sz="0" w:space="0" w:color="auto"/>
        <w:bottom w:val="none" w:sz="0" w:space="0" w:color="auto"/>
        <w:right w:val="none" w:sz="0" w:space="0" w:color="auto"/>
      </w:divBdr>
    </w:div>
    <w:div w:id="1102804163">
      <w:bodyDiv w:val="1"/>
      <w:marLeft w:val="0"/>
      <w:marRight w:val="0"/>
      <w:marTop w:val="0"/>
      <w:marBottom w:val="0"/>
      <w:divBdr>
        <w:top w:val="none" w:sz="0" w:space="0" w:color="auto"/>
        <w:left w:val="none" w:sz="0" w:space="0" w:color="auto"/>
        <w:bottom w:val="none" w:sz="0" w:space="0" w:color="auto"/>
        <w:right w:val="none" w:sz="0" w:space="0" w:color="auto"/>
      </w:divBdr>
    </w:div>
    <w:div w:id="1181356751">
      <w:bodyDiv w:val="1"/>
      <w:marLeft w:val="0"/>
      <w:marRight w:val="0"/>
      <w:marTop w:val="0"/>
      <w:marBottom w:val="0"/>
      <w:divBdr>
        <w:top w:val="none" w:sz="0" w:space="0" w:color="auto"/>
        <w:left w:val="none" w:sz="0" w:space="0" w:color="auto"/>
        <w:bottom w:val="none" w:sz="0" w:space="0" w:color="auto"/>
        <w:right w:val="none" w:sz="0" w:space="0" w:color="auto"/>
      </w:divBdr>
    </w:div>
    <w:div w:id="1636525010">
      <w:bodyDiv w:val="1"/>
      <w:marLeft w:val="0"/>
      <w:marRight w:val="0"/>
      <w:marTop w:val="0"/>
      <w:marBottom w:val="0"/>
      <w:divBdr>
        <w:top w:val="none" w:sz="0" w:space="0" w:color="auto"/>
        <w:left w:val="none" w:sz="0" w:space="0" w:color="auto"/>
        <w:bottom w:val="none" w:sz="0" w:space="0" w:color="auto"/>
        <w:right w:val="none" w:sz="0" w:space="0" w:color="auto"/>
      </w:divBdr>
    </w:div>
    <w:div w:id="1684892066">
      <w:bodyDiv w:val="1"/>
      <w:marLeft w:val="0"/>
      <w:marRight w:val="0"/>
      <w:marTop w:val="0"/>
      <w:marBottom w:val="0"/>
      <w:divBdr>
        <w:top w:val="none" w:sz="0" w:space="0" w:color="auto"/>
        <w:left w:val="none" w:sz="0" w:space="0" w:color="auto"/>
        <w:bottom w:val="none" w:sz="0" w:space="0" w:color="auto"/>
        <w:right w:val="none" w:sz="0" w:space="0" w:color="auto"/>
      </w:divBdr>
    </w:div>
    <w:div w:id="1689789716">
      <w:bodyDiv w:val="1"/>
      <w:marLeft w:val="0"/>
      <w:marRight w:val="0"/>
      <w:marTop w:val="0"/>
      <w:marBottom w:val="0"/>
      <w:divBdr>
        <w:top w:val="none" w:sz="0" w:space="0" w:color="auto"/>
        <w:left w:val="none" w:sz="0" w:space="0" w:color="auto"/>
        <w:bottom w:val="none" w:sz="0" w:space="0" w:color="auto"/>
        <w:right w:val="none" w:sz="0" w:space="0" w:color="auto"/>
      </w:divBdr>
    </w:div>
    <w:div w:id="19360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hyperlink" Target="https://www.ncbi.nlm.nih.gov/books/NBK470382/"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books/NBK470382/" TargetMode="External"/><Relationship Id="rId2" Type="http://schemas.openxmlformats.org/officeDocument/2006/relationships/numbering" Target="numbering.xml"/><Relationship Id="rId16" Type="http://schemas.openxmlformats.org/officeDocument/2006/relationships/hyperlink" Target="https://www.ncbi.nlm.nih.gov/books/NBK4703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riskprediction.org.uk/"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business/healthcare-pharmaceuticals/us-fda-panel-says-popular-decongestant-used-cold-medicines-ineffective-2023-09-12/" TargetMode="External"/><Relationship Id="rId2" Type="http://schemas.openxmlformats.org/officeDocument/2006/relationships/hyperlink" Target="https://thennt.com/thennt-explained/" TargetMode="External"/><Relationship Id="rId1" Type="http://schemas.openxmlformats.org/officeDocument/2006/relationships/hyperlink" Target="https://www.fda.gov/media/98657/download" TargetMode="External"/><Relationship Id="rId6" Type="http://schemas.openxmlformats.org/officeDocument/2006/relationships/hyperlink" Target="https://www.webmd.com/migraines-headaches/botox-migraines" TargetMode="External"/><Relationship Id="rId5" Type="http://schemas.openxmlformats.org/officeDocument/2006/relationships/hyperlink" Target="https://www.facebook.com/watch/?v=296669711259970" TargetMode="External"/><Relationship Id="rId4" Type="http://schemas.openxmlformats.org/officeDocument/2006/relationships/hyperlink" Target="https://www.fda.gov/drugs/development-approval-process-drugs/patient-focused-drug-development-gloss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1E8152B2524C0395C5725047D67052"/>
        <w:category>
          <w:name w:val="General"/>
          <w:gallery w:val="placeholder"/>
        </w:category>
        <w:types>
          <w:type w:val="bbPlcHdr"/>
        </w:types>
        <w:behaviors>
          <w:behavior w:val="content"/>
        </w:behaviors>
        <w:guid w:val="{1D314966-8868-4E95-B973-1E0FE9B5D91A}"/>
      </w:docPartPr>
      <w:docPartBody>
        <w:p w:rsidR="007556B1" w:rsidRDefault="000240E7" w:rsidP="000240E7">
          <w:pPr>
            <w:pStyle w:val="F41E8152B2524C0395C5725047D67052"/>
          </w:pPr>
          <w:r w:rsidRPr="576062CF">
            <w:t>Abstract</w:t>
          </w:r>
        </w:p>
      </w:docPartBody>
    </w:docPart>
    <w:docPart>
      <w:docPartPr>
        <w:name w:val="AC33A4D9EC0F46A2A849281A1D274585"/>
        <w:category>
          <w:name w:val="General"/>
          <w:gallery w:val="placeholder"/>
        </w:category>
        <w:types>
          <w:type w:val="bbPlcHdr"/>
        </w:types>
        <w:behaviors>
          <w:behavior w:val="content"/>
        </w:behaviors>
        <w:guid w:val="{E8735314-202D-4B63-B339-5EBA130F657D}"/>
      </w:docPartPr>
      <w:docPartBody>
        <w:p w:rsidR="007556B1" w:rsidRDefault="000240E7" w:rsidP="000240E7">
          <w:pPr>
            <w:pStyle w:val="AC33A4D9EC0F46A2A849281A1D274585"/>
          </w:pPr>
          <w:r w:rsidRPr="00500997">
            <w:rPr>
              <w:rStyle w:val="Emphasis"/>
            </w:rPr>
            <w:t>Keywords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E7"/>
    <w:rsid w:val="000240E7"/>
    <w:rsid w:val="001C6C8E"/>
    <w:rsid w:val="00232CF3"/>
    <w:rsid w:val="0024467A"/>
    <w:rsid w:val="002D0B11"/>
    <w:rsid w:val="0030199E"/>
    <w:rsid w:val="0035267E"/>
    <w:rsid w:val="00367BD9"/>
    <w:rsid w:val="00455E1C"/>
    <w:rsid w:val="004A5AE7"/>
    <w:rsid w:val="004A5B95"/>
    <w:rsid w:val="00533AF9"/>
    <w:rsid w:val="005E6964"/>
    <w:rsid w:val="006541AA"/>
    <w:rsid w:val="006A1D58"/>
    <w:rsid w:val="006B3EE4"/>
    <w:rsid w:val="00710C91"/>
    <w:rsid w:val="007556B1"/>
    <w:rsid w:val="00766CCF"/>
    <w:rsid w:val="00794100"/>
    <w:rsid w:val="007D2BDF"/>
    <w:rsid w:val="007E6CB2"/>
    <w:rsid w:val="008024E6"/>
    <w:rsid w:val="0080398A"/>
    <w:rsid w:val="00884F1D"/>
    <w:rsid w:val="008F578F"/>
    <w:rsid w:val="00904117"/>
    <w:rsid w:val="00907D57"/>
    <w:rsid w:val="00A22E5C"/>
    <w:rsid w:val="00A304E0"/>
    <w:rsid w:val="00A62206"/>
    <w:rsid w:val="00BC70A5"/>
    <w:rsid w:val="00C52CAF"/>
    <w:rsid w:val="00C64C3B"/>
    <w:rsid w:val="00CC7EB2"/>
    <w:rsid w:val="00D12B7A"/>
    <w:rsid w:val="00D67C4C"/>
    <w:rsid w:val="00DA5342"/>
    <w:rsid w:val="00E358EB"/>
    <w:rsid w:val="00EA4EB7"/>
    <w:rsid w:val="00EE15FE"/>
    <w:rsid w:val="00F125F1"/>
    <w:rsid w:val="00FB736A"/>
    <w:rsid w:val="00FC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0E7"/>
    <w:pPr>
      <w:spacing w:after="0" w:line="480" w:lineRule="auto"/>
      <w:jc w:val="center"/>
      <w:outlineLvl w:val="0"/>
    </w:pPr>
    <w:rPr>
      <w:rFonts w:eastAsiaTheme="minorHAns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E8152B2524C0395C5725047D67052">
    <w:name w:val="F41E8152B2524C0395C5725047D67052"/>
    <w:rsid w:val="000240E7"/>
  </w:style>
  <w:style w:type="character" w:styleId="Strong">
    <w:name w:val="Strong"/>
    <w:basedOn w:val="DefaultParagraphFont"/>
    <w:uiPriority w:val="22"/>
    <w:qFormat/>
    <w:rsid w:val="000240E7"/>
    <w:rPr>
      <w:b/>
      <w:bCs/>
    </w:rPr>
  </w:style>
  <w:style w:type="character" w:styleId="Emphasis">
    <w:name w:val="Emphasis"/>
    <w:basedOn w:val="DefaultParagraphFont"/>
    <w:uiPriority w:val="20"/>
    <w:qFormat/>
    <w:rsid w:val="000240E7"/>
    <w:rPr>
      <w:i/>
      <w:iCs/>
    </w:rPr>
  </w:style>
  <w:style w:type="paragraph" w:customStyle="1" w:styleId="AC33A4D9EC0F46A2A849281A1D274585">
    <w:name w:val="AC33A4D9EC0F46A2A849281A1D274585"/>
    <w:rsid w:val="000240E7"/>
  </w:style>
  <w:style w:type="character" w:customStyle="1" w:styleId="Heading1Char">
    <w:name w:val="Heading 1 Char"/>
    <w:basedOn w:val="DefaultParagraphFont"/>
    <w:link w:val="Heading1"/>
    <w:uiPriority w:val="9"/>
    <w:rsid w:val="000240E7"/>
    <w:rPr>
      <w:rFonts w:eastAsiaTheme="minorHAnsi"/>
      <w:b/>
      <w:bCs/>
      <w:kern w:val="0"/>
      <w14:ligatures w14:val="none"/>
    </w:rPr>
  </w:style>
  <w:style w:type="character" w:styleId="PlaceholderText">
    <w:name w:val="Placeholder Text"/>
    <w:basedOn w:val="DefaultParagraphFont"/>
    <w:uiPriority w:val="99"/>
    <w:semiHidden/>
    <w:rsid w:val="00907D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CFAAF1-9AC6-49C1-8F93-C0505A7285B5}">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67A6-2DAB-4EA9-9381-D7D35E18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84</Pages>
  <Words>26949</Words>
  <Characters>153613</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Matt</dc:creator>
  <cp:keywords/>
  <dc:description/>
  <cp:lastModifiedBy>Richard Matt</cp:lastModifiedBy>
  <cp:revision>24</cp:revision>
  <cp:lastPrinted>2023-10-15T16:19:00Z</cp:lastPrinted>
  <dcterms:created xsi:type="dcterms:W3CDTF">2024-03-11T21:28:00Z</dcterms:created>
  <dcterms:modified xsi:type="dcterms:W3CDTF">2024-04-07T18:38:00Z</dcterms:modified>
</cp:coreProperties>
</file>